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031" w:type="dxa"/>
        <w:tblLayout w:type="fixed"/>
        <w:tblLook w:val="0000"/>
      </w:tblPr>
      <w:tblGrid>
        <w:gridCol w:w="5028"/>
        <w:gridCol w:w="1200"/>
        <w:gridCol w:w="3803"/>
      </w:tblGrid>
      <w:tr w:rsidR="00574594" w:rsidRPr="00812884">
        <w:trPr>
          <w:cantSplit/>
        </w:trPr>
        <w:tc>
          <w:tcPr>
            <w:tcW w:w="5028" w:type="dxa"/>
            <w:vAlign w:val="center"/>
          </w:tcPr>
          <w:p w:rsidR="00574594" w:rsidRPr="00FF7038" w:rsidRDefault="00574594"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574594" w:rsidRPr="00683FE2" w:rsidRDefault="00574594"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2"/>
            <w:vAlign w:val="center"/>
          </w:tcPr>
          <w:p w:rsidR="00574594" w:rsidRPr="00812884" w:rsidRDefault="00574594"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6" o:title=""/>
                </v:shape>
                <o:OLEObject Type="Embed" ProgID="Paint.Picture" ShapeID="_x0000_i1025" DrawAspect="Content" ObjectID="_1377085820" r:id="rId7"/>
              </w:object>
            </w:r>
          </w:p>
        </w:tc>
      </w:tr>
      <w:tr w:rsidR="00574594" w:rsidRPr="00812884">
        <w:trPr>
          <w:cantSplit/>
        </w:trPr>
        <w:tc>
          <w:tcPr>
            <w:tcW w:w="6228" w:type="dxa"/>
            <w:gridSpan w:val="2"/>
            <w:tcBorders>
              <w:bottom w:val="single" w:sz="12" w:space="0" w:color="auto"/>
            </w:tcBorders>
          </w:tcPr>
          <w:p w:rsidR="00574594" w:rsidRPr="00812884" w:rsidRDefault="00574594" w:rsidP="00082939">
            <w:pPr>
              <w:shd w:val="solid" w:color="FFFFFF" w:fill="FFFFFF"/>
              <w:spacing w:after="48"/>
              <w:rPr>
                <w:rFonts w:ascii="Verdana" w:hAnsi="Verdana" w:cs="Verdana"/>
                <w:b/>
                <w:bCs/>
              </w:rPr>
            </w:pPr>
          </w:p>
        </w:tc>
        <w:tc>
          <w:tcPr>
            <w:tcW w:w="3803" w:type="dxa"/>
            <w:tcBorders>
              <w:bottom w:val="single" w:sz="12" w:space="0" w:color="auto"/>
            </w:tcBorders>
          </w:tcPr>
          <w:p w:rsidR="00574594" w:rsidRPr="00812884" w:rsidRDefault="00574594" w:rsidP="00082939">
            <w:pPr>
              <w:shd w:val="solid" w:color="FFFFFF" w:fill="FFFFFF"/>
              <w:spacing w:after="48" w:line="240" w:lineRule="atLeast"/>
            </w:pPr>
          </w:p>
        </w:tc>
      </w:tr>
      <w:tr w:rsidR="00574594" w:rsidRPr="00812884">
        <w:trPr>
          <w:cantSplit/>
        </w:trPr>
        <w:tc>
          <w:tcPr>
            <w:tcW w:w="6228" w:type="dxa"/>
            <w:gridSpan w:val="2"/>
            <w:tcBorders>
              <w:top w:val="single" w:sz="12" w:space="0" w:color="auto"/>
            </w:tcBorders>
          </w:tcPr>
          <w:p w:rsidR="00574594" w:rsidRPr="00812884" w:rsidRDefault="00574594" w:rsidP="00082939">
            <w:pPr>
              <w:shd w:val="solid" w:color="FFFFFF" w:fill="FFFFFF"/>
              <w:spacing w:after="48"/>
              <w:rPr>
                <w:rFonts w:ascii="Verdana" w:hAnsi="Verdana" w:cs="Verdana"/>
              </w:rPr>
            </w:pPr>
          </w:p>
        </w:tc>
        <w:tc>
          <w:tcPr>
            <w:tcW w:w="3803" w:type="dxa"/>
            <w:tcBorders>
              <w:top w:val="single" w:sz="12" w:space="0" w:color="auto"/>
            </w:tcBorders>
          </w:tcPr>
          <w:p w:rsidR="00574594" w:rsidRPr="00812884" w:rsidRDefault="00574594" w:rsidP="00082939">
            <w:pPr>
              <w:shd w:val="solid" w:color="FFFFFF" w:fill="FFFFFF"/>
              <w:spacing w:after="48" w:line="240" w:lineRule="atLeast"/>
            </w:pPr>
          </w:p>
        </w:tc>
      </w:tr>
      <w:tr w:rsidR="00574594" w:rsidRPr="00812884">
        <w:trPr>
          <w:cantSplit/>
          <w:trHeight w:val="83"/>
        </w:trPr>
        <w:tc>
          <w:tcPr>
            <w:tcW w:w="6228" w:type="dxa"/>
            <w:gridSpan w:val="2"/>
            <w:vMerge w:val="restart"/>
          </w:tcPr>
          <w:p w:rsidR="00574594" w:rsidRPr="0044117D" w:rsidRDefault="00574594"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3803" w:type="dxa"/>
          </w:tcPr>
          <w:p w:rsidR="00574594" w:rsidRPr="00812884" w:rsidRDefault="00574594" w:rsidP="00082939">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SG-RFC/2011-2-14</w:t>
            </w:r>
          </w:p>
        </w:tc>
      </w:tr>
      <w:tr w:rsidR="00574594" w:rsidRPr="00812884">
        <w:trPr>
          <w:cantSplit/>
          <w:trHeight w:val="81"/>
        </w:trPr>
        <w:tc>
          <w:tcPr>
            <w:tcW w:w="6228" w:type="dxa"/>
            <w:gridSpan w:val="2"/>
            <w:vMerge/>
          </w:tcPr>
          <w:p w:rsidR="00574594" w:rsidRPr="0044117D" w:rsidRDefault="00574594" w:rsidP="000A504D">
            <w:pPr>
              <w:shd w:val="solid" w:color="FFFFFF" w:fill="FFFFFF"/>
              <w:spacing w:after="240"/>
              <w:ind w:left="1134" w:hanging="1134"/>
              <w:rPr>
                <w:rFonts w:ascii="Verdana" w:hAnsi="Verdana" w:cs="Verdana"/>
                <w:sz w:val="20"/>
                <w:szCs w:val="20"/>
              </w:rPr>
            </w:pPr>
          </w:p>
        </w:tc>
        <w:tc>
          <w:tcPr>
            <w:tcW w:w="3803" w:type="dxa"/>
          </w:tcPr>
          <w:p w:rsidR="00574594" w:rsidRPr="00812884" w:rsidRDefault="00574594" w:rsidP="000A504D">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8 September</w:t>
            </w:r>
            <w:r w:rsidRPr="00812884">
              <w:rPr>
                <w:rFonts w:ascii="Verdana" w:hAnsi="Verdana" w:cs="Verdana"/>
                <w:b/>
                <w:bCs/>
                <w:sz w:val="20"/>
                <w:szCs w:val="20"/>
                <w:lang w:eastAsia="zh-CN"/>
              </w:rPr>
              <w:t xml:space="preserve"> 2010</w:t>
            </w:r>
          </w:p>
        </w:tc>
      </w:tr>
      <w:tr w:rsidR="00574594" w:rsidRPr="00812884">
        <w:trPr>
          <w:cantSplit/>
          <w:trHeight w:val="81"/>
        </w:trPr>
        <w:tc>
          <w:tcPr>
            <w:tcW w:w="6228" w:type="dxa"/>
            <w:gridSpan w:val="2"/>
            <w:vMerge/>
          </w:tcPr>
          <w:p w:rsidR="00574594" w:rsidRPr="0044117D" w:rsidRDefault="00574594" w:rsidP="000A504D">
            <w:pPr>
              <w:shd w:val="solid" w:color="FFFFFF" w:fill="FFFFFF"/>
              <w:spacing w:after="240"/>
              <w:ind w:left="1134" w:hanging="1134"/>
              <w:rPr>
                <w:rFonts w:ascii="Verdana" w:hAnsi="Verdana" w:cs="Verdana"/>
                <w:sz w:val="20"/>
                <w:szCs w:val="20"/>
              </w:rPr>
            </w:pPr>
          </w:p>
        </w:tc>
        <w:tc>
          <w:tcPr>
            <w:tcW w:w="3803" w:type="dxa"/>
          </w:tcPr>
          <w:p w:rsidR="00574594" w:rsidRPr="00812884" w:rsidRDefault="00574594"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574594" w:rsidRPr="00812884">
        <w:trPr>
          <w:cantSplit/>
        </w:trPr>
        <w:tc>
          <w:tcPr>
            <w:tcW w:w="10031" w:type="dxa"/>
            <w:gridSpan w:val="3"/>
          </w:tcPr>
          <w:p w:rsidR="00574594" w:rsidRPr="00683FE2" w:rsidRDefault="00574594" w:rsidP="00082939">
            <w:pPr>
              <w:pStyle w:val="Source"/>
              <w:rPr>
                <w:lang w:eastAsia="zh-CN"/>
              </w:rPr>
            </w:pPr>
            <w:bookmarkStart w:id="3" w:name="dsource" w:colFirst="0" w:colLast="0"/>
            <w:bookmarkEnd w:id="2"/>
            <w:r w:rsidRPr="00683FE2">
              <w:t>STEERING GROUP ON RADIO FREQUENCY COORDINATION (SG-RFC)</w:t>
            </w:r>
          </w:p>
        </w:tc>
      </w:tr>
      <w:tr w:rsidR="00574594" w:rsidRPr="00DD32FB">
        <w:trPr>
          <w:cantSplit/>
        </w:trPr>
        <w:tc>
          <w:tcPr>
            <w:tcW w:w="10031" w:type="dxa"/>
            <w:gridSpan w:val="3"/>
          </w:tcPr>
          <w:p w:rsidR="00574594" w:rsidRPr="00DD32FB" w:rsidRDefault="00574594" w:rsidP="00082939">
            <w:pPr>
              <w:pStyle w:val="RepNo"/>
              <w:rPr>
                <w:b/>
                <w:bCs/>
                <w:lang w:val="en-US" w:eastAsia="zh-CN"/>
              </w:rPr>
            </w:pPr>
            <w:bookmarkStart w:id="4" w:name="drec" w:colFirst="0" w:colLast="0"/>
            <w:bookmarkEnd w:id="3"/>
            <w:r w:rsidRPr="00DD32FB">
              <w:rPr>
                <w:lang w:val="en-US" w:eastAsia="zh-CN"/>
              </w:rPr>
              <w:t>SG-RFC F</w:t>
            </w:r>
            <w:r w:rsidRPr="00DD32FB">
              <w:rPr>
                <w:caps w:val="0"/>
                <w:lang w:val="en-US" w:eastAsia="zh-CN"/>
              </w:rPr>
              <w:t>ocal</w:t>
            </w:r>
            <w:r w:rsidRPr="00DD32FB">
              <w:rPr>
                <w:lang w:val="en-US" w:eastAsia="zh-CN"/>
              </w:rPr>
              <w:t xml:space="preserve"> P</w:t>
            </w:r>
            <w:r w:rsidRPr="00DD32FB">
              <w:rPr>
                <w:caps w:val="0"/>
                <w:lang w:val="en-US" w:eastAsia="zh-CN"/>
              </w:rPr>
              <w:t xml:space="preserve">oint on </w:t>
            </w:r>
            <w:r w:rsidRPr="00DD32FB">
              <w:rPr>
                <w:lang w:val="en-US" w:eastAsia="zh-CN"/>
              </w:rPr>
              <w:t>EESS (</w:t>
            </w:r>
            <w:r w:rsidRPr="00DD32FB">
              <w:rPr>
                <w:caps w:val="0"/>
                <w:lang w:val="en-US" w:eastAsia="zh-CN"/>
              </w:rPr>
              <w:t>passive</w:t>
            </w:r>
            <w:r w:rsidRPr="00DD32FB">
              <w:rPr>
                <w:lang w:val="en-US" w:eastAsia="zh-CN"/>
              </w:rPr>
              <w:t>)</w:t>
            </w:r>
          </w:p>
        </w:tc>
      </w:tr>
      <w:tr w:rsidR="00574594" w:rsidRPr="00812884">
        <w:trPr>
          <w:cantSplit/>
        </w:trPr>
        <w:tc>
          <w:tcPr>
            <w:tcW w:w="10031" w:type="dxa"/>
            <w:gridSpan w:val="3"/>
          </w:tcPr>
          <w:p w:rsidR="00574594" w:rsidRPr="00891B49" w:rsidRDefault="00574594" w:rsidP="00082939">
            <w:pPr>
              <w:pStyle w:val="Reptitle"/>
              <w:rPr>
                <w:b w:val="0"/>
                <w:bCs w:val="0"/>
                <w:lang w:eastAsia="zh-CN"/>
              </w:rPr>
            </w:pPr>
            <w:bookmarkStart w:id="5" w:name="dtitle1" w:colFirst="0" w:colLast="0"/>
            <w:bookmarkEnd w:id="4"/>
            <w:r>
              <w:rPr>
                <w:b w:val="0"/>
                <w:bCs w:val="0"/>
              </w:rPr>
              <w:t>WMO SG-RFC Report on EESS (passive) Issues</w:t>
            </w:r>
          </w:p>
        </w:tc>
      </w:tr>
      <w:bookmarkEnd w:id="5"/>
    </w:tbl>
    <w:p w:rsidR="00574594" w:rsidRPr="00683FE2" w:rsidRDefault="00574594" w:rsidP="000A504D">
      <w:pPr>
        <w:shd w:val="clear" w:color="auto" w:fill="FFFFFF"/>
        <w:jc w:val="center"/>
        <w:outlineLvl w:val="1"/>
        <w:rPr>
          <w:rFonts w:ascii="Helvetica" w:hAnsi="Helvetica" w:cs="Helvetica"/>
          <w:b/>
          <w:bCs/>
          <w:sz w:val="28"/>
          <w:szCs w:val="28"/>
        </w:rPr>
      </w:pPr>
    </w:p>
    <w:p w:rsidR="00574594" w:rsidRDefault="00574594" w:rsidP="00A409CB">
      <w:pPr>
        <w:jc w:val="center"/>
        <w:rPr>
          <w:b/>
          <w:bCs/>
          <w:sz w:val="28"/>
          <w:szCs w:val="28"/>
        </w:rPr>
      </w:pPr>
    </w:p>
    <w:p w:rsidR="00574594" w:rsidRDefault="00574594" w:rsidP="00A409CB">
      <w:r>
        <w:t>This document provides a status update on issues affecting passive remote sensing that may be of interest to SG-RFC members.  Agenda items for the 2012 World Radiocommunication Conference (WRC-12) include AIs 1.6, 1.8, 1.20 and 8.1.1 (Issue C).  Recent work within Working Party 7C of the ITU-R Study Group 7 is also summarized.  Finally, a few items currently outside of the ITU-R are also discussed.</w:t>
      </w:r>
    </w:p>
    <w:p w:rsidR="00574594" w:rsidRDefault="00574594" w:rsidP="00A409CB">
      <w:r>
        <w:rPr>
          <w:b/>
          <w:bCs/>
          <w:u w:val="single"/>
        </w:rPr>
        <w:t>WRC-12 Agenda item 1.6</w:t>
      </w:r>
    </w:p>
    <w:p w:rsidR="00574594" w:rsidRDefault="00574594" w:rsidP="00A409CB">
      <w:r>
        <w:t xml:space="preserve">This Agenda item deals with consideration of an update to No. </w:t>
      </w:r>
      <w:r w:rsidRPr="00A409CB">
        <w:rPr>
          <w:b/>
          <w:bCs/>
        </w:rPr>
        <w:t>5.565</w:t>
      </w:r>
      <w:r>
        <w:t xml:space="preserve"> of the Radio Regulations (RR) primarily concerning passive services such as EESS (passive) between 275 and 3 000 GHz.  CEPT, APT, RRC and the CITEL appear to be in alignment on this issue.  All are proposing to update RR No. </w:t>
      </w:r>
      <w:r>
        <w:rPr>
          <w:b/>
          <w:bCs/>
        </w:rPr>
        <w:t>5.565</w:t>
      </w:r>
      <w:r>
        <w:t xml:space="preserve"> as given in the method in the CPM text which is in line with the WMO position on this agenda item,.</w:t>
      </w:r>
    </w:p>
    <w:p w:rsidR="00574594" w:rsidRDefault="00574594" w:rsidP="00A409CB">
      <w:r>
        <w:rPr>
          <w:b/>
          <w:bCs/>
          <w:u w:val="single"/>
        </w:rPr>
        <w:t>WRC-12 Agenda Item 1.8</w:t>
      </w:r>
    </w:p>
    <w:p w:rsidR="00574594" w:rsidRDefault="00574594" w:rsidP="00A409CB">
      <w:r>
        <w:t>This Agenda item deals with the fixed service between 71 and 238 GHz.  Studies within ITU-R Working Party 5C (Fixed Wireless Systems) have indicated that in order to protect passive remote sensing systems operating in the band 86-92 GHz which is allocated exclusively to passive services, an out-of-band (OoB) emission mask for the fixed service systems operating above and below that band is required.  CEPT is proposing implementing this OoB emission mask as a “hard limit” (i.e., mandatory limit) in the Radio Regulations which is in line with the WMO position on this agenda item.  The APT and CITEL are proposing NOC (i.e., No Change) with respect to this agenda item.  Both groups state that the EESS (passive) can be protected through national regulations and WRC-12 action is not required.</w:t>
      </w:r>
    </w:p>
    <w:p w:rsidR="00574594" w:rsidRDefault="00574594" w:rsidP="00A409CB">
      <w:r>
        <w:rPr>
          <w:b/>
          <w:bCs/>
          <w:u w:val="single"/>
        </w:rPr>
        <w:t>WRC-12 Agenda Item 1.20</w:t>
      </w:r>
    </w:p>
    <w:p w:rsidR="00574594" w:rsidRDefault="00574594" w:rsidP="00A409CB">
      <w:r>
        <w:t xml:space="preserve">This Agenda item deals with possible identification of spectrum for gateway links of high altitude platform systems (HAPS) in the 5 850-7 075 MHz band.  This band includes the band 6 425-7 075 MHz which is called out in RR No. </w:t>
      </w:r>
      <w:r w:rsidRPr="00113766">
        <w:rPr>
          <w:b/>
          <w:bCs/>
        </w:rPr>
        <w:t>5.458</w:t>
      </w:r>
      <w:r>
        <w:rPr>
          <w:b/>
          <w:bCs/>
        </w:rPr>
        <w:t xml:space="preserve"> </w:t>
      </w:r>
      <w:r>
        <w:t>for consideration.  While not an actual recognized allocation, HAPS gateway uplinks within this band would cause harmful interference to the EESS (passive) sensors operating in the band as documented in ITU-R studies within WP 5C.  CEPT, APT and CITEL are all proposing NOC for this agenda item which is in line with the WMO position on this agenda item.</w:t>
      </w:r>
    </w:p>
    <w:p w:rsidR="00574594" w:rsidRDefault="00574594" w:rsidP="00167708">
      <w:pPr>
        <w:keepNext/>
        <w:keepLines/>
      </w:pPr>
      <w:r>
        <w:rPr>
          <w:b/>
          <w:bCs/>
          <w:u w:val="single"/>
        </w:rPr>
        <w:t>WRC-12 Agenda Item 8.1.1 (Issue C)</w:t>
      </w:r>
    </w:p>
    <w:p w:rsidR="00574594" w:rsidRDefault="00574594" w:rsidP="00167708">
      <w:pPr>
        <w:keepNext/>
        <w:keepLines/>
      </w:pPr>
      <w:r>
        <w:t xml:space="preserve">Issue C under this Agenda item deals with enhancing the recognition of the global importance and benefits of Earth observation systems which include passive remote sensing systems.  Much work was done in the ITU-R in Study Group 7 and, in particular, Working Party 7C on this topic over the Study Cycle (see WP 7C summary below).  The results of these studies, including a new EESS Handbook and an RS-Series Report in the ITU-R, are partial answers to this issue and agenda item.  However, the possibility of modifying Resolution </w:t>
      </w:r>
      <w:r w:rsidRPr="008D24C5">
        <w:rPr>
          <w:b/>
          <w:bCs/>
        </w:rPr>
        <w:t>673</w:t>
      </w:r>
      <w:r>
        <w:rPr>
          <w:b/>
          <w:bCs/>
        </w:rPr>
        <w:t xml:space="preserve"> (WRC-07)</w:t>
      </w:r>
      <w:r>
        <w:t xml:space="preserve"> to make this recognition more permanent in the Radio Regulations along with a possible addition to Article </w:t>
      </w:r>
      <w:r w:rsidRPr="008D24C5">
        <w:rPr>
          <w:b/>
          <w:bCs/>
        </w:rPr>
        <w:t>4, 5</w:t>
      </w:r>
      <w:r>
        <w:t xml:space="preserve"> or another Article in the Radio Regulations pointing to the modified Resolution </w:t>
      </w:r>
      <w:r>
        <w:rPr>
          <w:b/>
          <w:bCs/>
        </w:rPr>
        <w:t>673 (WRC-07)</w:t>
      </w:r>
      <w:r>
        <w:t xml:space="preserve"> are also desirable.  While most Regional Groups appear to support modification to Resolution </w:t>
      </w:r>
      <w:r>
        <w:rPr>
          <w:b/>
          <w:bCs/>
        </w:rPr>
        <w:t>673 (WRC-07)</w:t>
      </w:r>
      <w:r>
        <w:t>, it is not clear if there will be widespread support to add a pointer within the Articles of the Radio Regulations in order to accentuate this result.</w:t>
      </w:r>
    </w:p>
    <w:p w:rsidR="00574594" w:rsidRDefault="00574594" w:rsidP="00A409CB">
      <w:r>
        <w:rPr>
          <w:b/>
          <w:bCs/>
          <w:u w:val="single"/>
        </w:rPr>
        <w:t>ITU-R Working Party 7C</w:t>
      </w:r>
    </w:p>
    <w:p w:rsidR="00574594" w:rsidRDefault="00574594" w:rsidP="00A409CB">
      <w:r>
        <w:t>During the 2007-2011 Study Cycle, most of the work concerning passive sensors dealt with the aforementioned WRC-12 Agenda items.  The following are the Reports and Recommendations recently completed within the ITU-R:</w:t>
      </w:r>
    </w:p>
    <w:p w:rsidR="00574594" w:rsidRDefault="00574594" w:rsidP="0036338C">
      <w:pPr>
        <w:rPr>
          <w:b/>
          <w:bCs/>
        </w:rPr>
      </w:pPr>
      <w:r>
        <w:rPr>
          <w:b/>
          <w:bCs/>
        </w:rPr>
        <w:t>ITU-R Reports:</w:t>
      </w:r>
    </w:p>
    <w:p w:rsidR="00574594" w:rsidRDefault="00574594" w:rsidP="0036338C">
      <w:hyperlink r:id="rId8" w:history="1">
        <w:r w:rsidRPr="00A30EDB">
          <w:rPr>
            <w:rStyle w:val="Hyperlink"/>
            <w:b/>
            <w:bCs/>
          </w:rPr>
          <w:t>RS.2178</w:t>
        </w:r>
        <w:r w:rsidRPr="00A30EDB">
          <w:rPr>
            <w:rStyle w:val="Hyperlink"/>
          </w:rPr>
          <w:t xml:space="preserve"> </w:t>
        </w:r>
      </w:hyperlink>
      <w:r>
        <w:t xml:space="preserve"> “The essential role and global importance of radio spectrum use for Earth observations and for related applications”</w:t>
      </w:r>
    </w:p>
    <w:p w:rsidR="00574594" w:rsidRDefault="00574594" w:rsidP="0036338C">
      <w:hyperlink r:id="rId9" w:history="1">
        <w:r w:rsidRPr="00A30EDB">
          <w:rPr>
            <w:rStyle w:val="Hyperlink"/>
            <w:b/>
            <w:bCs/>
          </w:rPr>
          <w:t>RS.2194</w:t>
        </w:r>
      </w:hyperlink>
      <w:r>
        <w:rPr>
          <w:b/>
          <w:bCs/>
        </w:rPr>
        <w:t xml:space="preserve">  “</w:t>
      </w:r>
      <w:r w:rsidRPr="0036338C">
        <w:t xml:space="preserve">Passive bands of scientific interest to </w:t>
      </w:r>
      <w:r>
        <w:t>EESS/SRS from 275 to 3 000 GHz”</w:t>
      </w:r>
    </w:p>
    <w:p w:rsidR="00574594" w:rsidRPr="0036338C" w:rsidRDefault="00574594" w:rsidP="0036338C">
      <w:pPr>
        <w:rPr>
          <w:b/>
          <w:bCs/>
        </w:rPr>
      </w:pPr>
      <w:r>
        <w:rPr>
          <w:b/>
          <w:bCs/>
        </w:rPr>
        <w:t>Recommendations:</w:t>
      </w:r>
    </w:p>
    <w:p w:rsidR="00574594" w:rsidRDefault="00574594" w:rsidP="0036338C">
      <w:hyperlink r:id="rId10" w:history="1">
        <w:r w:rsidRPr="00A30EDB">
          <w:rPr>
            <w:rStyle w:val="Hyperlink"/>
            <w:b/>
            <w:bCs/>
          </w:rPr>
          <w:t>RS.1813</w:t>
        </w:r>
      </w:hyperlink>
      <w:r>
        <w:rPr>
          <w:b/>
          <w:bCs/>
        </w:rPr>
        <w:t xml:space="preserve">  “</w:t>
      </w:r>
      <w:r>
        <w:t>Reference antenna pattern for passive sensors operating in the Earth exploration-satellite service (passive) to be used in compatibility analyses in the frequency range 1.4-100 GHz”</w:t>
      </w:r>
    </w:p>
    <w:p w:rsidR="00574594" w:rsidRDefault="00574594" w:rsidP="0036338C">
      <w:hyperlink r:id="rId11" w:history="1">
        <w:r w:rsidRPr="00A30EDB">
          <w:rPr>
            <w:rStyle w:val="Hyperlink"/>
            <w:b/>
            <w:bCs/>
          </w:rPr>
          <w:t>RS.1858</w:t>
        </w:r>
      </w:hyperlink>
      <w:r>
        <w:t xml:space="preserve">  “Characterization and assessment of aggregate interference to the Earth exploration-satellite service (passive) sensor operations from multiple sources of man-made emissions”</w:t>
      </w:r>
    </w:p>
    <w:p w:rsidR="00574594" w:rsidRDefault="00574594" w:rsidP="0036338C">
      <w:hyperlink r:id="rId12" w:history="1">
        <w:r w:rsidRPr="00C34014">
          <w:rPr>
            <w:rStyle w:val="Hyperlink"/>
            <w:b/>
            <w:bCs/>
          </w:rPr>
          <w:t>RS.1859</w:t>
        </w:r>
      </w:hyperlink>
      <w:r>
        <w:t xml:space="preserve">  “Use of remote sensing systems for data collection to be used in the event of natural disasters and similar emergencies”</w:t>
      </w:r>
    </w:p>
    <w:p w:rsidR="00574594" w:rsidRDefault="00574594" w:rsidP="0036338C">
      <w:hyperlink r:id="rId13" w:history="1">
        <w:r w:rsidRPr="00C34014">
          <w:rPr>
            <w:rStyle w:val="Hyperlink"/>
            <w:b/>
            <w:bCs/>
          </w:rPr>
          <w:t>RS.1861</w:t>
        </w:r>
      </w:hyperlink>
      <w:r>
        <w:t xml:space="preserve">  “Typical technical and operational characteristics of Earth exploration-satellite service (passive) systems using allocations between 1.4 and 275 GHz”</w:t>
      </w:r>
    </w:p>
    <w:p w:rsidR="00574594" w:rsidRDefault="00574594" w:rsidP="0036338C">
      <w:hyperlink r:id="rId14" w:history="1">
        <w:r w:rsidRPr="00C34014">
          <w:rPr>
            <w:rStyle w:val="Hyperlink"/>
            <w:b/>
            <w:bCs/>
          </w:rPr>
          <w:t>RS.1883</w:t>
        </w:r>
      </w:hyperlink>
      <w:r>
        <w:t xml:space="preserve">  “Use of remote sensing systems in the study of climate change and the effects thereof”</w:t>
      </w:r>
    </w:p>
    <w:p w:rsidR="00574594" w:rsidRDefault="00574594" w:rsidP="0036338C">
      <w:r>
        <w:t xml:space="preserve">Also published in June of 2011 is the first edition of the </w:t>
      </w:r>
      <w:hyperlink r:id="rId15" w:history="1">
        <w:r w:rsidRPr="0036338C">
          <w:rPr>
            <w:rStyle w:val="Hyperlink"/>
          </w:rPr>
          <w:t>ITU-R Handbook on the Earth Exploration-Satellite Service</w:t>
        </w:r>
      </w:hyperlink>
      <w:r>
        <w:t>.</w:t>
      </w:r>
    </w:p>
    <w:p w:rsidR="00574594" w:rsidRDefault="00574594" w:rsidP="00F30103">
      <w:r>
        <w:t>Other work underway within Working Party 7C are a report on sharing in the 31.5-31.8 GHz band between EESS (passive) and the fixed and mobile services and a Preliminary Draft New Recommendation ITU-R RS.[</w:t>
      </w:r>
      <w:r w:rsidRPr="00F30103">
        <w:t>PERF_INTERF</w:t>
      </w:r>
      <w:r>
        <w:t>] on p</w:t>
      </w:r>
      <w:r w:rsidRPr="00F30103">
        <w:t>erformance and interference criteria for satellite passive remote sensing</w:t>
      </w:r>
      <w:r>
        <w:t xml:space="preserve"> which combines existing Recommendations ITU-R RS.1028 and 1029 and adds information on the bands above 275 GHz and a Preliminary Draft Revised Recommendation ITU-R RS.515 on frequency bands and bandwidths used for satellite passive sensing which updates the bands above 275 GHz.</w:t>
      </w:r>
    </w:p>
    <w:p w:rsidR="00574594" w:rsidRDefault="00574594" w:rsidP="00F30103">
      <w:r>
        <w:rPr>
          <w:b/>
          <w:bCs/>
          <w:u w:val="single"/>
        </w:rPr>
        <w:t>Other Passive Sensing Issues</w:t>
      </w:r>
    </w:p>
    <w:p w:rsidR="00574594" w:rsidRDefault="00574594" w:rsidP="00F30103">
      <w:r>
        <w:t xml:space="preserve">Other items affecting passive remote sensing spectrum are concerns about out-of-band (OoB) emissions, especially into bands subject to RR No. </w:t>
      </w:r>
      <w:r>
        <w:rPr>
          <w:b/>
          <w:bCs/>
        </w:rPr>
        <w:t>5.340</w:t>
      </w:r>
      <w:r>
        <w:t>.  While this was the subject of Agenda item 1.20 at WRC-07, in many case the OoB emission limits were adopted by WRC-07 as recommended limits rather than mandatory limits which means that individual administrations may not implement these limits in their own domestic regulations.  Furthermore, AI 1.20 at WRC-07 only dealt with bands up to around 56 GHz.  OoB emissions may be a cause for concern in bands above 56 GHz in the future as the active radiocommunications services develop systems in this frequency range.  This is seen in AI 1.8 for WRC-12, for example as described previously.</w:t>
      </w:r>
    </w:p>
    <w:p w:rsidR="00574594" w:rsidRPr="00C34014" w:rsidRDefault="00574594" w:rsidP="00F30103">
      <w:r>
        <w:t>Finally, the lack of information on the filter characteristics for most passive sensors makes it difficult to perform studies that are needed to protect existing operations from transmitters operating in adjacent and nearby bands to the bands used by the passive sensors.  There is an effort with the Space Frequency Coordination Group (</w:t>
      </w:r>
      <w:hyperlink r:id="rId16" w:history="1">
        <w:r w:rsidRPr="007A73F8">
          <w:rPr>
            <w:rStyle w:val="Hyperlink"/>
          </w:rPr>
          <w:t>SFCG</w:t>
        </w:r>
      </w:hyperlink>
      <w:r>
        <w:t xml:space="preserve">) to gather such filter information into an SFCG Report that would be publicly available for this purpose.  However, this effort needs to be supported by passive sensor operators to help obtain the filter characteristics. </w:t>
      </w:r>
    </w:p>
    <w:sectPr w:rsidR="00574594" w:rsidRPr="00C34014" w:rsidSect="00167708">
      <w:headerReference w:type="default" r:id="rId17"/>
      <w:pgSz w:w="11907" w:h="16840" w:code="9"/>
      <w:pgMar w:top="1134" w:right="1134"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594" w:rsidRDefault="00574594" w:rsidP="007A73F8">
      <w:pPr>
        <w:spacing w:before="0" w:after="0"/>
      </w:pPr>
      <w:r>
        <w:separator/>
      </w:r>
    </w:p>
  </w:endnote>
  <w:endnote w:type="continuationSeparator" w:id="1">
    <w:p w:rsidR="00574594" w:rsidRDefault="00574594" w:rsidP="007A73F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594" w:rsidRDefault="00574594" w:rsidP="007A73F8">
      <w:pPr>
        <w:spacing w:before="0" w:after="0"/>
      </w:pPr>
      <w:r>
        <w:separator/>
      </w:r>
    </w:p>
  </w:footnote>
  <w:footnote w:type="continuationSeparator" w:id="1">
    <w:p w:rsidR="00574594" w:rsidRDefault="00574594" w:rsidP="007A73F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594" w:rsidRPr="009C443D" w:rsidRDefault="00574594"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574594" w:rsidRDefault="00574594" w:rsidP="009C443D">
    <w:pPr>
      <w:pStyle w:val="Header"/>
      <w:spacing w:beforeAutospacing="0" w:afterAutospacing="0"/>
      <w:jc w:val="center"/>
      <w:rPr>
        <w:sz w:val="18"/>
        <w:szCs w:val="18"/>
      </w:rPr>
    </w:pPr>
    <w:r>
      <w:rPr>
        <w:sz w:val="18"/>
        <w:szCs w:val="18"/>
      </w:rPr>
      <w:t>SG-RFC/2011-2-14</w:t>
    </w:r>
    <w:r w:rsidRPr="009C443D">
      <w:rPr>
        <w:sz w:val="18"/>
        <w:szCs w:val="18"/>
      </w:rPr>
      <w:t>-E</w:t>
    </w:r>
  </w:p>
  <w:p w:rsidR="00574594" w:rsidRPr="009C443D" w:rsidRDefault="00574594" w:rsidP="009C443D">
    <w:pPr>
      <w:pStyle w:val="Header"/>
      <w:spacing w:beforeAutospacing="0" w:afterAutospacing="0"/>
      <w:jc w:val="center"/>
      <w:rPr>
        <w:sz w:val="18"/>
        <w:szCs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embedSystemFont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09CB"/>
    <w:rsid w:val="00082939"/>
    <w:rsid w:val="000859CC"/>
    <w:rsid w:val="000A504D"/>
    <w:rsid w:val="000E1510"/>
    <w:rsid w:val="000E608D"/>
    <w:rsid w:val="00102305"/>
    <w:rsid w:val="00113766"/>
    <w:rsid w:val="0014262E"/>
    <w:rsid w:val="00167708"/>
    <w:rsid w:val="00176000"/>
    <w:rsid w:val="0018521E"/>
    <w:rsid w:val="00192600"/>
    <w:rsid w:val="001F570C"/>
    <w:rsid w:val="00207420"/>
    <w:rsid w:val="002140B3"/>
    <w:rsid w:val="00321891"/>
    <w:rsid w:val="00347E8E"/>
    <w:rsid w:val="0036338C"/>
    <w:rsid w:val="00403383"/>
    <w:rsid w:val="0044117D"/>
    <w:rsid w:val="00502AB1"/>
    <w:rsid w:val="00574594"/>
    <w:rsid w:val="005763F1"/>
    <w:rsid w:val="00604C1A"/>
    <w:rsid w:val="00683FE2"/>
    <w:rsid w:val="006B4441"/>
    <w:rsid w:val="006F6C6E"/>
    <w:rsid w:val="00701FDB"/>
    <w:rsid w:val="007777CB"/>
    <w:rsid w:val="007A73F8"/>
    <w:rsid w:val="007B046A"/>
    <w:rsid w:val="007D5AF1"/>
    <w:rsid w:val="007F5683"/>
    <w:rsid w:val="008075D2"/>
    <w:rsid w:val="00812884"/>
    <w:rsid w:val="008276D1"/>
    <w:rsid w:val="008579FC"/>
    <w:rsid w:val="00891B49"/>
    <w:rsid w:val="008D24C5"/>
    <w:rsid w:val="0093198A"/>
    <w:rsid w:val="00981B74"/>
    <w:rsid w:val="009C443D"/>
    <w:rsid w:val="009E6BD8"/>
    <w:rsid w:val="00A30EDB"/>
    <w:rsid w:val="00A409CB"/>
    <w:rsid w:val="00A97839"/>
    <w:rsid w:val="00BB2405"/>
    <w:rsid w:val="00C34014"/>
    <w:rsid w:val="00CA0ED3"/>
    <w:rsid w:val="00D027EB"/>
    <w:rsid w:val="00DC1CA7"/>
    <w:rsid w:val="00DD32FB"/>
    <w:rsid w:val="00E30F56"/>
    <w:rsid w:val="00E730DD"/>
    <w:rsid w:val="00E76FCF"/>
    <w:rsid w:val="00F30103"/>
    <w:rsid w:val="00F74D07"/>
    <w:rsid w:val="00FB7F60"/>
    <w:rsid w:val="00FD7ED5"/>
    <w:rsid w:val="00FE6264"/>
    <w:rsid w:val="00FF70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basedOn w:val="DefaultParagraphFont"/>
    <w:uiPriority w:val="99"/>
    <w:rsid w:val="0036338C"/>
    <w:rPr>
      <w:color w:val="0000FF"/>
      <w:u w:val="single"/>
    </w:rPr>
  </w:style>
  <w:style w:type="character" w:styleId="FollowedHyperlink">
    <w:name w:val="FollowedHyperlink"/>
    <w:basedOn w:val="DefaultParagraphFont"/>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basedOn w:val="DefaultParagraphFont"/>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basedOn w:val="DefaultParagraphFont"/>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basedOn w:val="DefaultParagraphFont"/>
    <w:link w:val="Arttitle"/>
    <w:uiPriority w:val="99"/>
    <w:locked/>
    <w:rsid w:val="009C443D"/>
    <w:rPr>
      <w:b/>
      <w:bCs/>
      <w:sz w:val="28"/>
      <w:szCs w:val="28"/>
      <w:lang w:val="en-GB" w:eastAsia="en-US"/>
    </w:rPr>
  </w:style>
  <w:style w:type="paragraph" w:customStyle="1" w:styleId="CharChar27">
    <w:name w:val="Char Char27"/>
    <w:basedOn w:val="Normal"/>
    <w:uiPriority w:val="99"/>
    <w:rsid w:val="00DD32FB"/>
    <w:pPr>
      <w:spacing w:before="0" w:beforeAutospacing="0" w:after="0" w:afterAutospacing="0"/>
    </w:pPr>
    <w:rPr>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u.int/pub/R-REP-RS.2178-2010" TargetMode="External"/><Relationship Id="rId13" Type="http://schemas.openxmlformats.org/officeDocument/2006/relationships/hyperlink" Target="http://www.itu.int/rec/R-REC-RS.1861-0-201001-I/e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yperlink" Target="http://www.itu.int/rec/R-REC-RS.1859-0-201001-I/en"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fcgonline.or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itu.int/rec/R-REC-RS.1858-0-201001-I/en" TargetMode="External"/><Relationship Id="rId5" Type="http://schemas.openxmlformats.org/officeDocument/2006/relationships/endnotes" Target="endnotes.xml"/><Relationship Id="rId15" Type="http://schemas.openxmlformats.org/officeDocument/2006/relationships/hyperlink" Target="http://www.itu.int/pub/R-HDB-56" TargetMode="External"/><Relationship Id="rId10" Type="http://schemas.openxmlformats.org/officeDocument/2006/relationships/hyperlink" Target="http://www.itu.int/rec/R-REC-RS.1813-1-201102-I/e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itu.int/pub/R-REP-RS.2194-2010" TargetMode="External"/><Relationship Id="rId14" Type="http://schemas.openxmlformats.org/officeDocument/2006/relationships/hyperlink" Target="http://www.itu.int/rec/R-REC-RS.1883-0-201102-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3</Pages>
  <Words>1100</Words>
  <Characters>6272</Characters>
  <Application>Microsoft Office Outlook</Application>
  <DocSecurity>0</DocSecurity>
  <Lines>0</Lines>
  <Paragraphs>0</Paragraphs>
  <ScaleCrop>false</ScaleCrop>
  <Company>NASA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Report on Passive Sensors</dc:title>
  <dc:subject>Passive Sensor Spectrum Issues</dc:subject>
  <dc:creator>John Zuzek</dc:creator>
  <cp:keywords/>
  <dc:description/>
  <cp:lastModifiedBy>AVassiliev</cp:lastModifiedBy>
  <cp:revision>11</cp:revision>
  <cp:lastPrinted>2011-09-09T13:01:00Z</cp:lastPrinted>
  <dcterms:created xsi:type="dcterms:W3CDTF">2011-09-09T07:01:00Z</dcterms:created>
  <dcterms:modified xsi:type="dcterms:W3CDTF">2011-09-09T13:04:00Z</dcterms:modified>
</cp:coreProperties>
</file>