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8AF" w:rsidRDefault="003203EE">
      <w:pPr>
        <w:pStyle w:val="NormalWeb"/>
        <w:spacing w:before="0" w:beforeAutospacing="0" w:after="0" w:afterAutospacing="0"/>
        <w:rPr>
          <w:rFonts w:ascii="Calibri" w:hAnsi="Calibri" w:cs="Calibri"/>
        </w:rPr>
      </w:pPr>
      <w:r>
        <w:rPr>
          <w:rFonts w:ascii="Calibri" w:hAnsi="Calibri" w:cs="Calibri"/>
          <w:sz w:val="34"/>
          <w:szCs w:val="34"/>
        </w:rPr>
        <w:t>IPET-MDI Status update</w:t>
      </w:r>
      <w:r>
        <w:rPr>
          <w:rFonts w:ascii="Calibri" w:hAnsi="Calibri" w:cs="Calibri"/>
          <w:i/>
          <w:iCs/>
          <w:sz w:val="28"/>
          <w:szCs w:val="28"/>
        </w:rPr>
        <w:t xml:space="preserve"> (Sept 2010)</w:t>
      </w:r>
      <w:r>
        <w:rPr>
          <w:rFonts w:ascii="Calibri" w:hAnsi="Calibri" w:cs="Calibri"/>
          <w:i/>
          <w:iCs/>
          <w:sz w:val="28"/>
          <w:szCs w:val="28"/>
        </w:rPr>
        <w:br/>
      </w:r>
      <w:r>
        <w:rPr>
          <w:rFonts w:ascii="Calibri" w:hAnsi="Calibri" w:cs="Calibri"/>
          <w:sz w:val="28"/>
          <w:szCs w:val="28"/>
        </w:rPr>
        <w:t>Prepared for ICT-ISS (Geneva, 2010)</w:t>
      </w:r>
    </w:p>
    <w:p w:rsidR="006B08AF" w:rsidRDefault="003203EE">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24 September 2010</w:t>
      </w:r>
    </w:p>
    <w:p w:rsidR="006B08AF" w:rsidRDefault="003203EE">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13:19</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IPET-MDI Terms of Reference</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Development of a WMO core profile of the ISO 191xx series of standards for metadata and data, encompassing the WMO Metadata core profile of the ISO metadata standard, including relevant ISO 191xx feature catalogues, application schema(ta) and data product specification(s);</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Further develop procedures and guidance for the interoperability of metadata and data, including BUFR, CREX, GRIB, XML, NetCDF and HDF, and liaise with the NetCDF and the Climate and Forecast (CF) communities in this respect , in particular develop and maintain a WMO conceptual data model to facilitate the interoperability of metadata and data;</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Develop a WMO inter-programme metadata and data representation policy, including governance;</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Coordinate extensions to the WMO core profile needed to satisfy the requirements of all WMO Programmes;</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Develop guidance for the implementation and use of the data representation systems, metadata and the WMO core profile, including training aspects;</w:t>
      </w:r>
    </w:p>
    <w:p w:rsidR="006B08AF" w:rsidRDefault="003203E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Propose extensions to the ISO 191xx series of standards required for the WMO core profile and liaise with ISO and OGC as required.</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Status against OPAG-ISS work-plan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Where appropriate, the discussion split to align with the two main themes of activity undertaken by IPET-MDI:</w:t>
      </w:r>
    </w:p>
    <w:p w:rsidR="006B08AF" w:rsidRDefault="003203EE">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Supporting metadata implementation for WIS; and</w:t>
      </w:r>
    </w:p>
    <w:p w:rsidR="006B08AF" w:rsidRDefault="003203EE">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Mitigating against further fragmentation in data exchange standards for weather and climate information.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VETS JIRA issue tracking system (kindly provided by NCAR) has proved effective in managing the issues arising from IPET-MDI activities. I would like to thank NCAR for this facility and recommend that ISS continues to exploit this capability, noting that we may gain even further benefits if training were provided to (as a minimum) the chairs of the ISS Expert Teams. Additionally, the allocation of explicit delivery milestones, with clear rationale for what those milestones will require, may prove particularly effective in focusing activity across expert teams for specific delivery targets.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status of issues allocated to IPET-MDI can be found in Annex 1.</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Excerpts from the OPAG-ISS work-plan allocated to IPET-MDI are shown in the following table.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06"/>
        <w:gridCol w:w="628"/>
        <w:gridCol w:w="624"/>
        <w:gridCol w:w="2116"/>
        <w:gridCol w:w="727"/>
        <w:gridCol w:w="789"/>
        <w:gridCol w:w="900"/>
        <w:gridCol w:w="574"/>
        <w:gridCol w:w="1404"/>
        <w:gridCol w:w="718"/>
      </w:tblGrid>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OPAG</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ET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Task</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Deliverable/Activity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Id</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Source Cttee</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Source id</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Due</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JIRA issue number &amp; status</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1F497D"/>
                <w:sz w:val="22"/>
                <w:szCs w:val="22"/>
              </w:rPr>
            </w:pPr>
            <w:r>
              <w:rPr>
                <w:rFonts w:ascii="Calibri" w:hAnsi="Calibri" w:cs="Calibri"/>
                <w:b/>
                <w:bCs/>
                <w:color w:val="1F497D"/>
                <w:sz w:val="22"/>
                <w:szCs w:val="22"/>
              </w:rPr>
              <w:t>JIRA sub-issues</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DRC-c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Confirmed with IOS that the discovery metadata required for lightning data is available. (EC 3.1.10)</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ISS09-29</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 3.1.10</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Aug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WIS-119</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DRC-c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Specify use cases that will be used to drive further development of data and metadata standards, including as minimum: GISC, GEOSS, INSPIRE and Emergency Management</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ISS09-30</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WIS-120</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Fixed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community  engagement plan to identify existing data &amp; metadata standards adoption profile / issues plus training requirements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ISS09-31</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WIS-121</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Ensure CCl and other Programmes are aware of consultation so they can include data rescue and IPY aspects (EC 3.5.3.4)</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ISS09-32</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3.5.3.4</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WIS-123</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Plan published for interoperability of BUFR, GRIB, CREX, NetCDF, HDF and XML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ISS09-33</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Oct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WIS-125</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review of existing metadata &amp; environmental information standards landscape - including usage &amp; adoption profiles and development roadmaps where known</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ISS09-34</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Nov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Incomplete</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MDI-f</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Engage with OGC Meteorology Domain Working Group to review proposed met-ocean profile for OGC Web Map Service specification</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ISS09-35</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Dec 09</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Incomplete</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MDI-b</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initial proposal for WMO Conceptual Data Model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ISS09-36</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Feb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WIS-133</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WIS-137</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MDI-a</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Recommendation of metadata for delivery of high priority information to user communities to support hazard warnings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ISS09-37</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Feb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WIS-135</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MDI-b</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With IPET-DRC publish mappings of existing data representations to WMO Conceptual Data Model; amending as appropriate. Clearly define which features of existing data representations will be retained/discarded when mapped to conceptual data model. (EC 3.5.2.11)</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ISS09-38</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3.5.2.11</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Mar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WIS-137</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Consultation on format for delivery of aviation information to end users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ISS09-39</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Apr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Complete</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MDI-a</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conclusions on requirements for feature data dictionaries and feature catalogues and plans for implementing the functionality these were intended to achieve (EC 3.5.2.13)</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ISS09-40</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3.5.2.13</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May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recommended best practice for metadata usage and adoption plan (EC 3.5.1.12)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ISS09-41</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WIS-127</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WIS-173</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WIS-176</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WIS-177</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WIS-180</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WIS-185</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WIS-186</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WIS-188</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WIS-193</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WIS-194</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WIS-201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WIS-209</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Propose metadata governance procedures to IPET-DRC</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ISS09-42</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results study to determine feasibility for WMO to host &amp; maintain standard software libraries to encode / decode / transform binary data representations. (EC 3.5.1.12)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ISS09-43</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WIS-130</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Incomplete</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Send to ET-OI updated contributions to Manual on GTS updated to include interaction with WIS centres (EC 3.5.2.1, 3.5.2.2)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ISS09-44</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3.5.2.1, 3.5.2.2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WIS-128</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Proposals to make WMO Core and Marine Metadata Profiles interoperable or better (EC 3.5.1.12)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ISS09-45</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Jul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WIS-126</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Metadata governance procedures (including the mechanisms for all Programmes to propose changes and how these proposals will be managed) (EC 3.5.1.12)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ISS09-46</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WIS-124</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metadata usage training material and best practice guides. (EC 3.5.1.4) (EC 3.5.1.12)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ISS09-47</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3.5.1.4, 3.5.1.12</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Oct 10</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r w:rsidR="006B08AF">
        <w:trPr>
          <w:divId w:val="741148399"/>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0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79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4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12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b/>
          <w:bCs/>
          <w:color w:val="3F3F3F"/>
          <w:sz w:val="22"/>
          <w:szCs w:val="22"/>
        </w:rPr>
        <w:t>note: missing JIRA tickets are likely due to incorrect 'coding' of issues within JIRA to component other than IPET-MDI</w:t>
      </w:r>
      <w:r>
        <w:rPr>
          <w:rFonts w:ascii="Calibri" w:hAnsi="Calibri" w:cs="Calibri"/>
          <w:sz w:val="22"/>
          <w:szCs w:val="22"/>
        </w:rPr>
        <w: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Whilst the majority of these issues state '</w:t>
      </w:r>
      <w:r>
        <w:rPr>
          <w:rFonts w:ascii="Calibri" w:hAnsi="Calibri" w:cs="Calibri"/>
          <w:b/>
          <w:bCs/>
          <w:color w:val="C00000"/>
          <w:sz w:val="22"/>
          <w:szCs w:val="22"/>
        </w:rPr>
        <w:t>UNRESOLVED</w:t>
      </w:r>
      <w:r>
        <w:rPr>
          <w:rFonts w:ascii="Calibri" w:hAnsi="Calibri" w:cs="Calibri"/>
          <w:sz w:val="22"/>
          <w:szCs w:val="22"/>
        </w:rPr>
        <w:t xml:space="preserve">', progress has been made in most areas. However, the work is not yet complete. For more information on the status of the JIRA tickets (those listed above, and others allocated to IPET-MDI), please refer to Annex 1.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color w:val="366092"/>
          <w:sz w:val="22"/>
          <w:szCs w:val="22"/>
        </w:rPr>
        <w:t>Metadata development and implementation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Metadata guidance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main efforts from the members of IPET-MDI concern the development of guidance materials to support metadata implementation for WIS.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04"/>
        <w:gridCol w:w="702"/>
        <w:gridCol w:w="667"/>
        <w:gridCol w:w="2405"/>
        <w:gridCol w:w="793"/>
        <w:gridCol w:w="526"/>
        <w:gridCol w:w="919"/>
        <w:gridCol w:w="544"/>
        <w:gridCol w:w="1427"/>
        <w:gridCol w:w="699"/>
      </w:tblGrid>
      <w:tr w:rsidR="006B08AF">
        <w:trPr>
          <w:divId w:val="1546797764"/>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7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recommended best practice for metadata usage and adoption plan (EC 3.5.1.12)</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5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WIS-127</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3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WIS-173</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WIS-176</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WIS-177</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WIS-180</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WIS-185</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WIS-186</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WIS-188</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WIS-193</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WIS-194</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WIS-201</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WIS-209</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sz w:val="22"/>
          <w:szCs w:val="22"/>
        </w:rPr>
      </w:pPr>
      <w:r>
        <w:rPr>
          <w:rFonts w:ascii="Calibri" w:hAnsi="Calibri" w:cs="Calibri"/>
          <w:sz w:val="22"/>
          <w:szCs w:val="22"/>
        </w:rPr>
        <w:t>Following a request for clarification concerning DAR metadata [</w:t>
      </w:r>
      <w:hyperlink r:id="rId6" w:history="1">
        <w:r>
          <w:rPr>
            <w:rStyle w:val="Hyperlink"/>
            <w:rFonts w:ascii="Calibri" w:hAnsi="Calibri" w:cs="Calibri"/>
            <w:sz w:val="22"/>
            <w:szCs w:val="22"/>
          </w:rPr>
          <w:t>http://www.wmo.int/pages/prog/www/WIS/wiswiki/tiki-download_wiki_attachment.php?attId=151&amp;download=y</w:t>
        </w:r>
      </w:hyperlink>
      <w:r>
        <w:rPr>
          <w:rFonts w:ascii="Calibri" w:hAnsi="Calibri" w:cs="Calibri"/>
          <w:sz w:val="22"/>
          <w:szCs w:val="22"/>
        </w:rPr>
        <w:t>] (prepared by DWD, CMA and Met</w:t>
      </w:r>
      <w:r>
        <w:rPr>
          <w:rFonts w:ascii="Arial" w:hAnsi="Arial" w:cs="Arial"/>
          <w:sz w:val="22"/>
          <w:szCs w:val="22"/>
        </w:rPr>
        <w:t>é</w:t>
      </w:r>
      <w:r>
        <w:rPr>
          <w:rFonts w:ascii="Calibri" w:hAnsi="Calibri" w:cs="Calibri"/>
          <w:sz w:val="22"/>
          <w:szCs w:val="22"/>
        </w:rPr>
        <w:t>o France), IPET-MDI agreed to focus attention on resolution of these concerns during IPET-MDI-1 (Geneva, 2010). All concerns from this clarification request were resolved, plus those arising from ICG-WIS 6 (Seoul, 2010). The IPET-MDI-1 meeting report [</w:t>
      </w:r>
      <w:hyperlink r:id="rId7" w:history="1">
        <w:r>
          <w:rPr>
            <w:rStyle w:val="Hyperlink"/>
            <w:rFonts w:ascii="Calibri" w:hAnsi="Calibri" w:cs="Calibri"/>
            <w:sz w:val="22"/>
            <w:szCs w:val="22"/>
          </w:rPr>
          <w:t>http://www.wmo.int/pages/prog/www/WDM/IPET-MDI-I/report/Report_IPETMDI_I_20100503.htm</w:t>
        </w:r>
      </w:hyperlink>
      <w:r>
        <w:rPr>
          <w:rFonts w:ascii="Calibri" w:hAnsi="Calibri" w:cs="Calibri"/>
          <w:sz w:val="22"/>
          <w:szCs w:val="22"/>
        </w:rPr>
        <w:t>] provides in depth guidance on many aspects regarding  use of the WMO Core Profile within the WIS framework.</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A total of 62 recommendations were made during the meeting, the vast majority of them pertaining to guidance about the use of WMO Core Profile.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meeting raised 27 further actions aiming to further enhance this guidance. Details can be found on the IPET-MDI pages of the WIS wiki: </w:t>
      </w:r>
      <w:hyperlink r:id="rId8" w:history="1">
        <w:r>
          <w:rPr>
            <w:rStyle w:val="Hyperlink"/>
            <w:rFonts w:ascii="Calibri" w:hAnsi="Calibri" w:cs="Calibri"/>
            <w:sz w:val="22"/>
            <w:szCs w:val="22"/>
          </w:rPr>
          <w:t>http://www.wmo.int/pages/prog/www/WDM/IPET-MDI-I/report/Report_IPETMDI_I_20100503.htm</w:t>
        </w:r>
      </w:hyperlink>
      <w:r>
        <w:rPr>
          <w:rFonts w:ascii="Calibri" w:hAnsi="Calibri" w:cs="Calibri"/>
          <w:sz w:val="22"/>
          <w:szCs w:val="22"/>
        </w:rPr>
        <w:t>. Additionally,  Annex 2 provides a link to a 'snapshot' of this information included within this IPET-MDI report.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Guidance was provided on the following subjects: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File-naming conventions;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Metadata identifiers;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Relating data-files to metadata-files;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Metadata versioning;</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Metadata hierarchies;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Geographic metadata conventions &amp; machine-readable gazetteer for Volume A;</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Automated validation;</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Human readable metadata  &amp; SRU query response;</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Controlled vocabularies and ontologies;</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Miscellaneous metadata conventions - including how to cater for dataset distribution from GISC-caches alongside 'source' data access services provided by the data steward;</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 xml:space="preserve">Metadata management policies; and </w:t>
      </w:r>
    </w:p>
    <w:p w:rsidR="006B08AF" w:rsidRDefault="003203EE">
      <w:pPr>
        <w:numPr>
          <w:ilvl w:val="0"/>
          <w:numId w:val="3"/>
        </w:numPr>
        <w:ind w:left="540"/>
        <w:textAlignment w:val="center"/>
        <w:rPr>
          <w:rFonts w:eastAsia="Times New Roman"/>
        </w:rPr>
      </w:pPr>
      <w:r>
        <w:rPr>
          <w:rFonts w:ascii="Calibri" w:eastAsia="Times New Roman" w:hAnsi="Calibri" w:cs="Calibri"/>
          <w:sz w:val="22"/>
          <w:szCs w:val="22"/>
        </w:rPr>
        <w:t>Metadata standards maintenance.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Following IPET-MDI-1, progress has been made to resolve the outstanding actions. The recent OGC Technical Committee meeting (Toulouse, 2010) gave the opportunity for some of the members of IPET-MDI to meet face-to-face. Notes on from this ad-hoc meeting can be found in Annex 3.</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seeks to propose the amendments and additional constraints identified during IPET-MDI-1  as WMO Core Profile 1.2 - and requests endorsement from CBS.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83"/>
        <w:gridCol w:w="784"/>
        <w:gridCol w:w="717"/>
        <w:gridCol w:w="2993"/>
        <w:gridCol w:w="870"/>
        <w:gridCol w:w="600"/>
        <w:gridCol w:w="1157"/>
        <w:gridCol w:w="663"/>
        <w:gridCol w:w="429"/>
        <w:gridCol w:w="390"/>
      </w:tblGrid>
      <w:tr w:rsidR="006B08AF">
        <w:trPr>
          <w:divId w:val="1161582748"/>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7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metadata usage training material and best practice guides. (EC 3.5.1.4) (EC 3.5.1.12)</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ISS09-47</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7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3.5.1.4, 3.5.1.12</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Oct 10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c>
          <w:tcPr>
            <w:tcW w:w="82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At this point in time, lack of resources have prevented the guidance developed by IPET-MDI experts has not yet been compiled into best practice guides or training materials. However, note that it is the expectation of IPET-MDI that for each official release of the WMO Core Profile, a package of resources will be provided.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package will include:</w:t>
      </w:r>
    </w:p>
    <w:p w:rsidR="006B08AF" w:rsidRDefault="003203EE">
      <w:pPr>
        <w:numPr>
          <w:ilvl w:val="0"/>
          <w:numId w:val="4"/>
        </w:numPr>
        <w:ind w:left="540"/>
        <w:textAlignment w:val="center"/>
        <w:rPr>
          <w:rFonts w:eastAsia="Times New Roman"/>
        </w:rPr>
      </w:pPr>
      <w:r>
        <w:rPr>
          <w:rFonts w:ascii="Calibri" w:eastAsia="Times New Roman" w:hAnsi="Calibri" w:cs="Calibri"/>
          <w:sz w:val="22"/>
          <w:szCs w:val="22"/>
        </w:rPr>
        <w:t>Schema(s) iso19139 + WMO extensions (if required)</w:t>
      </w:r>
    </w:p>
    <w:p w:rsidR="006B08AF" w:rsidRDefault="003203EE">
      <w:pPr>
        <w:numPr>
          <w:ilvl w:val="0"/>
          <w:numId w:val="4"/>
        </w:numPr>
        <w:ind w:left="540"/>
        <w:textAlignment w:val="center"/>
        <w:rPr>
          <w:rFonts w:eastAsia="Times New Roman"/>
        </w:rPr>
      </w:pPr>
      <w:r>
        <w:rPr>
          <w:rFonts w:ascii="Calibri" w:eastAsia="Times New Roman" w:hAnsi="Calibri" w:cs="Calibri"/>
          <w:sz w:val="22"/>
          <w:szCs w:val="22"/>
        </w:rPr>
        <w:t>Schematron rules for automated validation</w:t>
      </w:r>
      <w:r>
        <w:rPr>
          <w:rFonts w:ascii="Calibri" w:eastAsia="Times New Roman" w:hAnsi="Calibri" w:cs="Calibri"/>
          <w:sz w:val="22"/>
          <w:szCs w:val="22"/>
          <w:vertAlign w:val="superscript"/>
        </w:rPr>
        <w:t>1</w:t>
      </w:r>
    </w:p>
    <w:p w:rsidR="006B08AF" w:rsidRDefault="003203EE">
      <w:pPr>
        <w:numPr>
          <w:ilvl w:val="0"/>
          <w:numId w:val="4"/>
        </w:numPr>
        <w:ind w:left="540"/>
        <w:textAlignment w:val="center"/>
        <w:rPr>
          <w:rFonts w:eastAsia="Times New Roman"/>
        </w:rPr>
      </w:pPr>
      <w:r>
        <w:rPr>
          <w:rFonts w:ascii="Calibri" w:eastAsia="Times New Roman" w:hAnsi="Calibri" w:cs="Calibri"/>
          <w:sz w:val="22"/>
          <w:szCs w:val="22"/>
        </w:rPr>
        <w:t>Controlled vocabularies, code-list extensions (&amp; gazetteers)</w:t>
      </w:r>
      <w:r>
        <w:rPr>
          <w:rFonts w:ascii="Calibri" w:eastAsia="Times New Roman" w:hAnsi="Calibri" w:cs="Calibri"/>
          <w:sz w:val="22"/>
          <w:szCs w:val="22"/>
          <w:vertAlign w:val="superscript"/>
        </w:rPr>
        <w:t>2</w:t>
      </w:r>
    </w:p>
    <w:p w:rsidR="006B08AF" w:rsidRDefault="003203EE">
      <w:pPr>
        <w:numPr>
          <w:ilvl w:val="0"/>
          <w:numId w:val="5"/>
        </w:numPr>
        <w:ind w:left="540"/>
        <w:textAlignment w:val="center"/>
        <w:rPr>
          <w:rFonts w:eastAsia="Times New Roman"/>
        </w:rPr>
      </w:pPr>
      <w:r>
        <w:rPr>
          <w:rFonts w:ascii="Calibri" w:eastAsia="Times New Roman" w:hAnsi="Calibri" w:cs="Calibri"/>
          <w:sz w:val="22"/>
          <w:szCs w:val="22"/>
        </w:rPr>
        <w:t>Guidance notes – wiki (&amp; later PDF document compiled by WISPO-contractor)</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Sample metadata</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Static metadata components</w:t>
      </w:r>
      <w:r>
        <w:rPr>
          <w:rFonts w:ascii="Calibri" w:eastAsia="Times New Roman" w:hAnsi="Calibri" w:cs="Calibri"/>
          <w:sz w:val="22"/>
          <w:szCs w:val="22"/>
          <w:vertAlign w:val="superscript"/>
        </w:rPr>
        <w:t>3</w:t>
      </w:r>
      <w:r>
        <w:rPr>
          <w:rFonts w:ascii="Calibri" w:eastAsia="Times New Roman" w:hAnsi="Calibri" w:cs="Calibri"/>
          <w:sz w:val="22"/>
          <w:szCs w:val="22"/>
        </w:rPr>
        <w:t xml:space="preserve"> &amp; component management tools</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Conformance tests</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Stylesheets + ‘rubric tests’ [prioritize ‘minimum metadata’ requirements]</w:t>
      </w:r>
      <w:r>
        <w:rPr>
          <w:rFonts w:ascii="Calibri" w:eastAsia="Times New Roman" w:hAnsi="Calibri" w:cs="Calibri"/>
          <w:sz w:val="22"/>
          <w:szCs w:val="22"/>
          <w:vertAlign w:val="superscript"/>
        </w:rPr>
        <w:t>4</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Metadata editor stylesheets; template metadata</w:t>
      </w:r>
    </w:p>
    <w:p w:rsidR="006B08AF" w:rsidRDefault="003203EE">
      <w:pPr>
        <w:numPr>
          <w:ilvl w:val="0"/>
          <w:numId w:val="6"/>
        </w:numPr>
        <w:ind w:left="540"/>
        <w:textAlignment w:val="center"/>
        <w:rPr>
          <w:rFonts w:eastAsia="Times New Roman"/>
        </w:rPr>
      </w:pPr>
      <w:r>
        <w:rPr>
          <w:rFonts w:ascii="Calibri" w:eastAsia="Times New Roman" w:hAnsi="Calibri" w:cs="Calibri"/>
          <w:sz w:val="22"/>
          <w:szCs w:val="22"/>
        </w:rPr>
        <w:t>UML</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1</w:t>
      </w:r>
      <w:r>
        <w:rPr>
          <w:rFonts w:ascii="Calibri" w:hAnsi="Calibri" w:cs="Calibri"/>
          <w:sz w:val="22"/>
          <w:szCs w:val="22"/>
        </w:rPr>
        <w:t xml:space="preserve"> each version release will have an associated set of conformance tests. To ensure robustness within the WIS framework, validation tools will mark discontinued practices as DEPRECATED (i.e. a </w:t>
      </w:r>
      <w:r>
        <w:rPr>
          <w:rFonts w:ascii="Calibri" w:hAnsi="Calibri" w:cs="Calibri"/>
          <w:b/>
          <w:bCs/>
          <w:sz w:val="22"/>
          <w:szCs w:val="22"/>
        </w:rPr>
        <w:t>warning</w:t>
      </w:r>
      <w:r>
        <w:rPr>
          <w:rFonts w:ascii="Calibri" w:hAnsi="Calibri" w:cs="Calibri"/>
          <w:sz w:val="22"/>
          <w:szCs w:val="22"/>
        </w:rPr>
        <w:t xml:space="preserve"> only) until such time as CBS endorses a change that may inhibit backward compatibility (perhaps at the next 'major' release version). At this stage, validation rules will become BINDING, and OPAG-ISS will need to provide migration tooling to update existing metadata records.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2</w:t>
      </w:r>
      <w:r>
        <w:rPr>
          <w:rFonts w:ascii="Calibri" w:hAnsi="Calibri" w:cs="Calibri"/>
          <w:sz w:val="22"/>
          <w:szCs w:val="22"/>
        </w:rPr>
        <w:t xml:space="preserve"> to support successful roll-out and adoption of metadata amongst the WMO community, it is essential to establish web-accessible, standards-based catalogues of controlled vocabularies and code-lists; additional information such as the observation station information from Vol A should also be exposed in this manner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3</w:t>
      </w:r>
      <w:r>
        <w:rPr>
          <w:rFonts w:ascii="Calibri" w:hAnsi="Calibri" w:cs="Calibri"/>
          <w:sz w:val="22"/>
          <w:szCs w:val="22"/>
        </w:rPr>
        <w:t xml:space="preserve"> including the ISO19115-specified 'extension object' required by all instances that claim conformance to a given 'profile'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4</w:t>
      </w:r>
      <w:r>
        <w:rPr>
          <w:rFonts w:ascii="Calibri" w:hAnsi="Calibri" w:cs="Calibri"/>
          <w:sz w:val="22"/>
          <w:szCs w:val="22"/>
        </w:rPr>
        <w:t xml:space="preserve"> a 'rubric' is a concept developed at NGDC; in essence it is a style-sheet that 'scores' your metadata for conformance. Typically, NGDC use these are training tools to help develop awareness amongst metadata publishers. Multiple rubrics will exist, each offering increasing levels of sophistication. The requirement from WMO is to initially focus on the 'minimum metadata footprint'.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majority of items within this list are the subject of JIRA tickets allocated to IPET-MDI members. Please refer to the JIRA tickets themselves for more information.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Without this 'collateral' material, one must be an expert user to manage and maintain WMO Core Profile metadata; thus lack of documentation (etc.) provides a significant barrier to adoption.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recognises that to achieve endorsement of WMO Core Profile 1.2, the majority of these items will need to be available to the WIS Community.</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Draft metadata for WIS 'Initial Operating Capability'</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IPET-MDI accepted a request from ET-GDDP to assist with the creation of the 'DRAFT' metadata records that will pre-populate the WIS DAR catalogue, whilst the appropriate responsible parties gain expertise in creating and managing their own metadata.</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Whilst IPET-MDI are still aiming to provide these DRAFT metadata records, courtesy of Mr JP. Aubagnac (France), I believe that the 'pre-validation' assistance requested from the WMO secretariat has yet to be realized. IPET-MDI-1 meeting report notes: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595959"/>
          <w:sz w:val="22"/>
          <w:szCs w:val="22"/>
        </w:rPr>
      </w:pPr>
      <w:r>
        <w:rPr>
          <w:rFonts w:ascii="Calibri" w:hAnsi="Calibri" w:cs="Calibri"/>
          <w:i/>
          <w:iCs/>
          <w:color w:val="595959"/>
          <w:sz w:val="22"/>
          <w:szCs w:val="22"/>
        </w:rPr>
        <w:t>2.1.2.51   Procedure for generation and validation of baseline metadata records</w:t>
      </w:r>
    </w:p>
    <w:p w:rsidR="006B08AF" w:rsidRDefault="003203EE">
      <w:pPr>
        <w:pStyle w:val="NormalWeb"/>
        <w:spacing w:before="0" w:beforeAutospacing="0" w:after="0" w:afterAutospacing="0"/>
        <w:rPr>
          <w:rFonts w:ascii="Calibri" w:hAnsi="Calibri" w:cs="Calibri"/>
          <w:color w:val="595959"/>
          <w:sz w:val="22"/>
          <w:szCs w:val="22"/>
        </w:rPr>
      </w:pPr>
      <w:r>
        <w:rPr>
          <w:rFonts w:ascii="Calibri" w:hAnsi="Calibri" w:cs="Calibri"/>
          <w:i/>
          <w:iCs/>
          <w:color w:val="595959"/>
          <w:sz w:val="22"/>
          <w:szCs w:val="22"/>
        </w:rPr>
        <w:t>                Météo-France proposed the following procedure for the generation and validatio</w:t>
      </w:r>
      <w:r w:rsidR="00BD6713">
        <w:rPr>
          <w:rFonts w:ascii="Calibri" w:hAnsi="Calibri" w:cs="Calibri"/>
          <w:i/>
          <w:iCs/>
          <w:color w:val="595959"/>
          <w:sz w:val="22"/>
          <w:szCs w:val="22"/>
        </w:rPr>
        <w:t xml:space="preserve">n of the catalogue of metadata </w:t>
      </w:r>
      <w:r>
        <w:rPr>
          <w:rFonts w:ascii="Calibri" w:hAnsi="Calibri" w:cs="Calibri"/>
          <w:i/>
          <w:iCs/>
          <w:color w:val="595959"/>
          <w:sz w:val="22"/>
          <w:szCs w:val="22"/>
        </w:rPr>
        <w:t>records for the bulletins of Volume C1:</w:t>
      </w:r>
    </w:p>
    <w:p w:rsidR="006B08AF" w:rsidRDefault="003203EE">
      <w:pPr>
        <w:pStyle w:val="NormalWeb"/>
        <w:spacing w:before="0" w:beforeAutospacing="0" w:after="0" w:afterAutospacing="0"/>
        <w:rPr>
          <w:rFonts w:ascii="Calibri" w:hAnsi="Calibri" w:cs="Calibri"/>
          <w:color w:val="595959"/>
          <w:sz w:val="22"/>
          <w:szCs w:val="22"/>
        </w:rPr>
      </w:pPr>
      <w:r>
        <w:rPr>
          <w:rFonts w:ascii="Calibri" w:hAnsi="Calibri" w:cs="Calibri"/>
          <w:i/>
          <w:iCs/>
          <w:color w:val="595959"/>
          <w:sz w:val="22"/>
          <w:szCs w:val="22"/>
        </w:rPr>
        <w:t> </w:t>
      </w:r>
    </w:p>
    <w:p w:rsidR="006B08AF" w:rsidRDefault="003203EE">
      <w:pPr>
        <w:numPr>
          <w:ilvl w:val="0"/>
          <w:numId w:val="7"/>
        </w:numPr>
        <w:spacing w:after="120"/>
        <w:ind w:left="1080"/>
        <w:textAlignment w:val="center"/>
        <w:rPr>
          <w:rFonts w:eastAsia="Times New Roman"/>
          <w:color w:val="595959"/>
        </w:rPr>
      </w:pPr>
      <w:r>
        <w:rPr>
          <w:rFonts w:ascii="Calibri" w:eastAsia="Times New Roman" w:hAnsi="Calibri" w:cs="Calibri"/>
          <w:i/>
          <w:iCs/>
          <w:color w:val="595959"/>
          <w:sz w:val="22"/>
          <w:szCs w:val="22"/>
        </w:rPr>
        <w:t xml:space="preserve">With the assistance of the Secretariat, Météo-France will implement the pre-validation procedure defined in paragraph 4 of IPET-MDI-I/Doc. 2.1.2(3); </w:t>
      </w:r>
    </w:p>
    <w:p w:rsidR="006B08AF" w:rsidRDefault="003203EE">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Procedures for transition from Vol-C1 to WIS DAR catalogue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26"/>
        <w:gridCol w:w="725"/>
        <w:gridCol w:w="681"/>
        <w:gridCol w:w="2526"/>
        <w:gridCol w:w="815"/>
        <w:gridCol w:w="547"/>
        <w:gridCol w:w="926"/>
        <w:gridCol w:w="585"/>
        <w:gridCol w:w="1517"/>
        <w:gridCol w:w="338"/>
      </w:tblGrid>
      <w:tr w:rsidR="006B08AF">
        <w:trPr>
          <w:divId w:val="38554288"/>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77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Metadata governance procedures (including the mechanisms for all Programmes to propose changes and how these proposals will be managed) (EC 3.5.1.12)</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ISS09-46</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10</w:t>
            </w:r>
          </w:p>
        </w:tc>
        <w:tc>
          <w:tcPr>
            <w:tcW w:w="201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WIS-124</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Unfortunately I can report no progress on this activity. JIRA ticket </w:t>
      </w:r>
      <w:r>
        <w:rPr>
          <w:rFonts w:ascii="Calibri" w:hAnsi="Calibri" w:cs="Calibri"/>
          <w:b/>
          <w:bCs/>
          <w:sz w:val="22"/>
          <w:szCs w:val="22"/>
        </w:rPr>
        <w:t>WIS-124</w:t>
      </w:r>
      <w:r>
        <w:rPr>
          <w:rFonts w:ascii="Calibri" w:hAnsi="Calibri" w:cs="Calibri"/>
          <w:sz w:val="22"/>
          <w:szCs w:val="22"/>
        </w:rPr>
        <w:t xml:space="preserve"> refers.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recognises the importance of providing clear guidance to members during this transitional period.</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Procedures for metadata (standards) governance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606"/>
        <w:gridCol w:w="809"/>
        <w:gridCol w:w="732"/>
        <w:gridCol w:w="3430"/>
        <w:gridCol w:w="893"/>
        <w:gridCol w:w="462"/>
        <w:gridCol w:w="437"/>
        <w:gridCol w:w="854"/>
        <w:gridCol w:w="496"/>
        <w:gridCol w:w="467"/>
      </w:tblGrid>
      <w:tr w:rsidR="006B08AF">
        <w:trPr>
          <w:divId w:val="1963613552"/>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77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Propose metadata governance procedures to IPET-DRC</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16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0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proposes this item for discussion during ICT-ISS (Geneva, 2010).</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It is important that the responsibility of the IPET-MDI and IPET-DRC are both clear and allow their activities to be complementary in support data management within WMO. This task is equally relevant to the management of emerging </w:t>
      </w:r>
      <w:r>
        <w:rPr>
          <w:rFonts w:ascii="Calibri" w:hAnsi="Calibri" w:cs="Calibri"/>
          <w:b/>
          <w:bCs/>
          <w:sz w:val="22"/>
          <w:szCs w:val="22"/>
        </w:rPr>
        <w:t>data</w:t>
      </w:r>
      <w:r>
        <w:rPr>
          <w:rFonts w:ascii="Calibri" w:hAnsi="Calibri" w:cs="Calibri"/>
          <w:sz w:val="22"/>
          <w:szCs w:val="22"/>
        </w:rPr>
        <w:t xml:space="preserve"> standards, but for simplicity, the concern is raised here.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For initial discussion, I propose that: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IPET-MDI</w:t>
      </w:r>
      <w:r>
        <w:rPr>
          <w:rFonts w:ascii="Calibri" w:hAnsi="Calibri" w:cs="Calibri"/>
          <w:sz w:val="22"/>
          <w:szCs w:val="22"/>
        </w:rPr>
        <w:t xml:space="preserve"> </w:t>
      </w:r>
      <w:r>
        <w:rPr>
          <w:rFonts w:ascii="Calibri" w:hAnsi="Calibri" w:cs="Calibri"/>
          <w:i/>
          <w:iCs/>
          <w:sz w:val="22"/>
          <w:szCs w:val="22"/>
        </w:rPr>
        <w:t>may</w:t>
      </w:r>
      <w:r>
        <w:rPr>
          <w:rFonts w:ascii="Calibri" w:hAnsi="Calibri" w:cs="Calibri"/>
          <w:sz w:val="22"/>
          <w:szCs w:val="22"/>
        </w:rPr>
        <w:t xml:space="preserve"> focus on establishing the 'ground-rules' for data management, for example:</w:t>
      </w:r>
    </w:p>
    <w:p w:rsidR="006B08AF" w:rsidRDefault="003203EE">
      <w:pPr>
        <w:numPr>
          <w:ilvl w:val="0"/>
          <w:numId w:val="8"/>
        </w:numPr>
        <w:ind w:left="540"/>
        <w:textAlignment w:val="center"/>
        <w:rPr>
          <w:rFonts w:eastAsia="Times New Roman"/>
        </w:rPr>
      </w:pPr>
      <w:r>
        <w:rPr>
          <w:rFonts w:ascii="Calibri" w:eastAsia="Times New Roman" w:hAnsi="Calibri" w:cs="Calibri"/>
          <w:sz w:val="22"/>
          <w:szCs w:val="22"/>
        </w:rPr>
        <w:t>Modelling frameworks (see current conceptual modelling activity for examples)</w:t>
      </w:r>
    </w:p>
    <w:p w:rsidR="006B08AF" w:rsidRDefault="003203EE">
      <w:pPr>
        <w:numPr>
          <w:ilvl w:val="0"/>
          <w:numId w:val="8"/>
        </w:numPr>
        <w:ind w:left="540"/>
        <w:textAlignment w:val="center"/>
        <w:rPr>
          <w:rFonts w:eastAsia="Times New Roman"/>
        </w:rPr>
      </w:pPr>
      <w:r>
        <w:rPr>
          <w:rFonts w:ascii="Calibri" w:eastAsia="Times New Roman" w:hAnsi="Calibri" w:cs="Calibri"/>
          <w:sz w:val="22"/>
          <w:szCs w:val="22"/>
        </w:rPr>
        <w:t>Identifying new / additional encoding frameworks to support WMO user community (such as the addition of XML (GML)-based encodings to support Aviation community, or CAP)</w:t>
      </w:r>
    </w:p>
    <w:p w:rsidR="006B08AF" w:rsidRDefault="003203EE">
      <w:pPr>
        <w:numPr>
          <w:ilvl w:val="0"/>
          <w:numId w:val="8"/>
        </w:numPr>
        <w:ind w:left="540"/>
        <w:textAlignment w:val="center"/>
        <w:rPr>
          <w:rFonts w:eastAsia="Times New Roman"/>
        </w:rPr>
      </w:pPr>
      <w:r>
        <w:rPr>
          <w:rFonts w:ascii="Calibri" w:eastAsia="Times New Roman" w:hAnsi="Calibri" w:cs="Calibri"/>
          <w:sz w:val="22"/>
          <w:szCs w:val="22"/>
        </w:rPr>
        <w:t>Specifying rules for encoding content within specified formats</w:t>
      </w:r>
    </w:p>
    <w:p w:rsidR="006B08AF" w:rsidRDefault="003203EE">
      <w:pPr>
        <w:numPr>
          <w:ilvl w:val="0"/>
          <w:numId w:val="8"/>
        </w:numPr>
        <w:ind w:left="540"/>
        <w:textAlignment w:val="center"/>
        <w:rPr>
          <w:rFonts w:eastAsia="Times New Roman"/>
        </w:rPr>
      </w:pPr>
      <w:r>
        <w:rPr>
          <w:rFonts w:ascii="Calibri" w:eastAsia="Times New Roman" w:hAnsi="Calibri" w:cs="Calibri"/>
          <w:sz w:val="22"/>
          <w:szCs w:val="22"/>
        </w:rPr>
        <w:t>Identifying new 'classes' (or types) of content - or si</w:t>
      </w:r>
      <w:r w:rsidR="00BD6713">
        <w:rPr>
          <w:rFonts w:ascii="Calibri" w:eastAsia="Times New Roman" w:hAnsi="Calibri" w:cs="Calibri"/>
          <w:sz w:val="22"/>
          <w:szCs w:val="22"/>
        </w:rPr>
        <w:t>gnificant changes</w:t>
      </w:r>
      <w:r w:rsidR="00BD6713" w:rsidRPr="00BD6713">
        <w:rPr>
          <w:rFonts w:ascii="Calibri" w:eastAsia="Times New Roman" w:hAnsi="Calibri" w:cs="Calibri"/>
          <w:sz w:val="22"/>
          <w:szCs w:val="22"/>
          <w:vertAlign w:val="superscript"/>
        </w:rPr>
        <w:t>1</w:t>
      </w:r>
      <w:r>
        <w:rPr>
          <w:rFonts w:ascii="Calibri" w:eastAsia="Times New Roman" w:hAnsi="Calibri" w:cs="Calibri"/>
          <w:sz w:val="22"/>
          <w:szCs w:val="22"/>
        </w:rPr>
        <w:t>, for example where backward compatibility may be at risk</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IPET-DRC</w:t>
      </w:r>
      <w:r>
        <w:rPr>
          <w:rFonts w:ascii="Calibri" w:hAnsi="Calibri" w:cs="Calibri"/>
          <w:sz w:val="22"/>
          <w:szCs w:val="22"/>
        </w:rPr>
        <w:t xml:space="preserve"> </w:t>
      </w:r>
      <w:r>
        <w:rPr>
          <w:rFonts w:ascii="Calibri" w:hAnsi="Calibri" w:cs="Calibri"/>
          <w:i/>
          <w:iCs/>
          <w:sz w:val="22"/>
          <w:szCs w:val="22"/>
        </w:rPr>
        <w:t>may</w:t>
      </w:r>
      <w:r>
        <w:rPr>
          <w:rFonts w:ascii="Calibri" w:hAnsi="Calibri" w:cs="Calibri"/>
          <w:sz w:val="22"/>
          <w:szCs w:val="22"/>
        </w:rPr>
        <w:t xml:space="preserve"> focus on maintenance of 'ground-rules' for data management, for example:</w:t>
      </w:r>
    </w:p>
    <w:p w:rsidR="006B08AF" w:rsidRDefault="003203EE">
      <w:pPr>
        <w:numPr>
          <w:ilvl w:val="0"/>
          <w:numId w:val="9"/>
        </w:numPr>
        <w:ind w:left="540"/>
        <w:textAlignment w:val="center"/>
        <w:rPr>
          <w:rFonts w:eastAsia="Times New Roman"/>
        </w:rPr>
      </w:pPr>
      <w:r>
        <w:rPr>
          <w:rFonts w:ascii="Calibri" w:eastAsia="Times New Roman" w:hAnsi="Calibri" w:cs="Calibri"/>
          <w:sz w:val="22"/>
          <w:szCs w:val="22"/>
        </w:rPr>
        <w:t>Managing amendments to reference data &amp; controlled vocabularies; similar to existing efforts on maintaining code-tables</w:t>
      </w:r>
    </w:p>
    <w:p w:rsidR="006B08AF" w:rsidRDefault="003203EE">
      <w:pPr>
        <w:numPr>
          <w:ilvl w:val="0"/>
          <w:numId w:val="9"/>
        </w:numPr>
        <w:ind w:left="540"/>
        <w:textAlignment w:val="center"/>
        <w:rPr>
          <w:rFonts w:eastAsia="Times New Roman"/>
        </w:rPr>
      </w:pPr>
      <w:r>
        <w:rPr>
          <w:rFonts w:ascii="Calibri" w:eastAsia="Times New Roman" w:hAnsi="Calibri" w:cs="Calibri"/>
          <w:sz w:val="22"/>
          <w:szCs w:val="22"/>
        </w:rPr>
        <w:t>Managing amendments to encoding rules</w:t>
      </w:r>
    </w:p>
    <w:p w:rsidR="006B08AF" w:rsidRDefault="003203EE">
      <w:pPr>
        <w:numPr>
          <w:ilvl w:val="0"/>
          <w:numId w:val="9"/>
        </w:numPr>
        <w:ind w:left="540"/>
        <w:textAlignment w:val="center"/>
        <w:rPr>
          <w:rFonts w:eastAsia="Times New Roman"/>
        </w:rPr>
      </w:pPr>
      <w:r>
        <w:rPr>
          <w:rFonts w:ascii="Calibri" w:eastAsia="Times New Roman" w:hAnsi="Calibri" w:cs="Calibri"/>
          <w:sz w:val="22"/>
          <w:szCs w:val="22"/>
        </w:rPr>
        <w:t>Maintenance of existing 'classes' of content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 we move forward, </w:t>
      </w:r>
      <w:r>
        <w:rPr>
          <w:rFonts w:ascii="Calibri" w:hAnsi="Calibri" w:cs="Calibri"/>
          <w:b/>
          <w:bCs/>
          <w:sz w:val="22"/>
          <w:szCs w:val="22"/>
        </w:rPr>
        <w:t>the use of software and tooling becomes increasingly important to drive adoption of standards</w:t>
      </w:r>
      <w:r>
        <w:rPr>
          <w:rFonts w:ascii="Calibri" w:hAnsi="Calibri" w:cs="Calibri"/>
          <w:sz w:val="22"/>
          <w:szCs w:val="22"/>
        </w:rPr>
        <w:t xml:space="preserve"> amongst diverse communities; a pre-requisite for achieving interoperability! Perhaps</w:t>
      </w:r>
      <w:r>
        <w:rPr>
          <w:rFonts w:ascii="Calibri" w:hAnsi="Calibri" w:cs="Calibri"/>
          <w:b/>
          <w:bCs/>
          <w:sz w:val="22"/>
          <w:szCs w:val="22"/>
        </w:rPr>
        <w:t xml:space="preserve"> IPET-DRC could be well placed (with the addition of pertinent expertise) to manage standard software libraries or (open-source) tools on behalf of the WMO community</w:t>
      </w:r>
      <w:r w:rsidR="00BD6713" w:rsidRPr="00BD6713">
        <w:rPr>
          <w:rFonts w:ascii="Calibri" w:hAnsi="Calibri" w:cs="Calibri"/>
          <w:sz w:val="22"/>
          <w:szCs w:val="22"/>
          <w:vertAlign w:val="superscript"/>
        </w:rPr>
        <w:t>2</w:t>
      </w:r>
      <w:r>
        <w:rPr>
          <w:rFonts w:ascii="Calibri" w:hAnsi="Calibri" w:cs="Calibri"/>
          <w:sz w:val="22"/>
          <w:szCs w:val="22"/>
        </w:rPr>
        <w:t xml:space="preserve">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BD6713">
      <w:pPr>
        <w:pStyle w:val="NormalWeb"/>
        <w:spacing w:before="0" w:beforeAutospacing="0" w:after="0" w:afterAutospacing="0"/>
        <w:rPr>
          <w:rFonts w:ascii="Calibri" w:hAnsi="Calibri" w:cs="Calibri"/>
          <w:sz w:val="22"/>
          <w:szCs w:val="22"/>
        </w:rPr>
      </w:pPr>
      <w:r w:rsidRPr="00BD6713">
        <w:rPr>
          <w:rFonts w:ascii="Calibri" w:hAnsi="Calibri" w:cs="Calibri"/>
          <w:sz w:val="22"/>
          <w:szCs w:val="22"/>
          <w:vertAlign w:val="superscript"/>
        </w:rPr>
        <w:t>1</w:t>
      </w:r>
      <w:r w:rsidR="003203EE">
        <w:rPr>
          <w:rFonts w:ascii="Calibri" w:hAnsi="Calibri" w:cs="Calibri"/>
          <w:sz w:val="22"/>
          <w:szCs w:val="22"/>
        </w:rPr>
        <w:t xml:space="preserve"> one of the key points to debate will be the question of when a change becomes 'significant'!</w:t>
      </w:r>
    </w:p>
    <w:p w:rsidR="006B08AF" w:rsidRDefault="00BD6713">
      <w:pPr>
        <w:pStyle w:val="NormalWeb"/>
        <w:spacing w:before="0" w:beforeAutospacing="0" w:after="0" w:afterAutospacing="0"/>
        <w:rPr>
          <w:rFonts w:ascii="Calibri" w:hAnsi="Calibri" w:cs="Calibri"/>
          <w:sz w:val="22"/>
          <w:szCs w:val="22"/>
        </w:rPr>
      </w:pPr>
      <w:r w:rsidRPr="00BD6713">
        <w:rPr>
          <w:rFonts w:ascii="Calibri" w:hAnsi="Calibri" w:cs="Calibri"/>
          <w:sz w:val="22"/>
          <w:szCs w:val="22"/>
          <w:vertAlign w:val="superscript"/>
        </w:rPr>
        <w:t>2</w:t>
      </w:r>
      <w:r w:rsidR="003203EE">
        <w:rPr>
          <w:rFonts w:ascii="Calibri" w:hAnsi="Calibri" w:cs="Calibri"/>
          <w:sz w:val="22"/>
          <w:szCs w:val="22"/>
        </w:rPr>
        <w:t xml:space="preserve"> my intention is to explicitly exclude the provision of software support to the community; responsibility would be to ensure that the software tools were kept in-step with the amended standards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Updates to WMO Technical Regulations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27"/>
        <w:gridCol w:w="715"/>
        <w:gridCol w:w="681"/>
        <w:gridCol w:w="2622"/>
        <w:gridCol w:w="804"/>
        <w:gridCol w:w="547"/>
        <w:gridCol w:w="905"/>
        <w:gridCol w:w="566"/>
        <w:gridCol w:w="1471"/>
        <w:gridCol w:w="348"/>
      </w:tblGrid>
      <w:tr w:rsidR="006B08AF">
        <w:trPr>
          <w:divId w:val="80393564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9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Send to ET-OI updated contributions to Manual on GTS updated to include interaction with WIS centres (EC 3.5.2.1, 3.5.2.2)</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ISS09-44</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3.5.2.1, 3.5.2.2</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Jun 10</w:t>
            </w:r>
          </w:p>
        </w:tc>
        <w:tc>
          <w:tcPr>
            <w:tcW w:w="1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WIS-128</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9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br/>
        <w:t>There has been limited explicit engagement between IPET-MDI and ET-OI. From the perspective of the chair of IPET-MDI, the majority of engagement from IPET-MDI 'metadata experts' has been via GISC implementation projects executed by the member-states.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Following request for comment on the Draft WIS Technical documentation (Manual on WIS &amp; Guide on WIS), Mr M. Burek (US) provided feedback on behalf of IPET-MDI (8-Sept-2010). A copy of this feedback can be found in Annex 4.</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Establishment of cross-Commission Liaisons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primary focus of IPET-MDI has been the development of metadata implementation guidance for the WIS implementation community. However, several additional relationships have been evolved through 2010. These are set out below:</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color w:val="366092"/>
          <w:sz w:val="22"/>
          <w:szCs w:val="22"/>
        </w:rPr>
        <w:t>JCOMM</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JCOMM</w:t>
      </w:r>
      <w:r>
        <w:rPr>
          <w:rFonts w:ascii="Calibri" w:hAnsi="Calibri" w:cs="Calibri"/>
          <w:sz w:val="22"/>
          <w:szCs w:val="22"/>
        </w:rPr>
        <w:t xml:space="preserve"> has been represented within these activities through their representative Mr G. Reed (Australia); in particular Mr G. Reed was able to provide excellent insight into metadata implementation within the Oceanography community. Mr G. Reed is tasked with obtaining thematic vocabularies from the oceanographic domain for reference / inclusion in the WMO Core Profile.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32"/>
        <w:gridCol w:w="730"/>
        <w:gridCol w:w="684"/>
        <w:gridCol w:w="2638"/>
        <w:gridCol w:w="819"/>
        <w:gridCol w:w="551"/>
        <w:gridCol w:w="928"/>
        <w:gridCol w:w="519"/>
        <w:gridCol w:w="1460"/>
        <w:gridCol w:w="325"/>
      </w:tblGrid>
      <w:tr w:rsidR="006B08AF">
        <w:trPr>
          <w:divId w:val="991327807"/>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6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Proposals to make WMO Core and Marine Metadata Profiles interoperable or better (EC 3.5.1.12)</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1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3.5.1.12</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Jul 10</w:t>
            </w:r>
          </w:p>
        </w:tc>
        <w:tc>
          <w:tcPr>
            <w:tcW w:w="16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WIS-126</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7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pPr>
      <w:r>
        <w:rPr>
          <w:rFonts w:ascii="Calibri" w:hAnsi="Calibri" w:cs="Calibri"/>
          <w:sz w:val="22"/>
          <w:szCs w:val="22"/>
        </w:rPr>
        <w:t xml:space="preserve">Extract from JIRA ticket: </w:t>
      </w:r>
      <w:r>
        <w:rPr>
          <w:rFonts w:ascii="Arial" w:hAnsi="Arial" w:cs="Arial"/>
          <w:sz w:val="18"/>
          <w:szCs w:val="18"/>
        </w:rPr>
        <w:t xml:space="preserve">It is anticipated that improved interoperability with Marine metadata profiles will be delivered by close liason with JCOMM / IOC - namely with assistance of Greg Reed. The first step is to obtain thematic vocabularies for oceanography.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color w:val="366092"/>
          <w:sz w:val="22"/>
          <w:szCs w:val="22"/>
        </w:rPr>
        <w:t>CAS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During ICG-WIS 6 (Seoul, 2010) it was identified that </w:t>
      </w:r>
      <w:r>
        <w:rPr>
          <w:rFonts w:ascii="Calibri" w:hAnsi="Calibri" w:cs="Calibri"/>
          <w:b/>
          <w:bCs/>
          <w:sz w:val="22"/>
          <w:szCs w:val="22"/>
        </w:rPr>
        <w:t>CAS</w:t>
      </w:r>
      <w:r>
        <w:rPr>
          <w:rFonts w:ascii="Calibri" w:hAnsi="Calibri" w:cs="Calibri"/>
          <w:sz w:val="22"/>
          <w:szCs w:val="22"/>
        </w:rPr>
        <w:t xml:space="preserve"> urgently required advice and guidance regarding metadata implementation. This support has not yet been delivered.</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color w:val="366092"/>
          <w:sz w:val="22"/>
          <w:szCs w:val="22"/>
        </w:rPr>
        <w:t>CCI</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38"/>
        <w:gridCol w:w="736"/>
        <w:gridCol w:w="688"/>
        <w:gridCol w:w="2631"/>
        <w:gridCol w:w="825"/>
        <w:gridCol w:w="557"/>
        <w:gridCol w:w="821"/>
        <w:gridCol w:w="596"/>
        <w:gridCol w:w="1463"/>
        <w:gridCol w:w="331"/>
      </w:tblGrid>
      <w:tr w:rsidR="006B08AF">
        <w:trPr>
          <w:divId w:val="1626958554"/>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76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Ensure CCl and other Programmes are aware of consultation so they can include data rescue and IPY aspects (EC 3.5.3.4)</w:t>
            </w:r>
          </w:p>
        </w:tc>
        <w:tc>
          <w:tcPr>
            <w:tcW w:w="12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3.5.3.4</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6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WIS-123</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79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CCI are in the process of assigning an expert to represent the Climatology Commission within IPET-MDI; this is likely to be Mr B. Bannerman (Australia), pending confirmation.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Engagement with CCI is in the early stages. Following a the first meeting of the 'Surface Temperatures' project* (hosted by UK Met Office, September 2010) Mr J. Tandy (UK), chair IPET-MDI, was invited to participate in developing the specification of the databank information system. This will provide a great opportunity to engage with colleagues from CCI.</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Additionally, Mr J. Tandy (UK) has been invited by the chair of ET-Climate Data Management Systems, Mr S. Palmer, to participate in their Expert Team meeting in October.</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Whilst nothing tangible has yet been delivered from these new relationships, the development of such cross-Commission engagement is a tremendously positive step.</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Surface Temperatures [</w:t>
      </w:r>
      <w:hyperlink r:id="rId9" w:history="1">
        <w:r>
          <w:rPr>
            <w:rStyle w:val="Hyperlink"/>
            <w:rFonts w:ascii="Calibri" w:hAnsi="Calibri" w:cs="Calibri"/>
            <w:sz w:val="22"/>
            <w:szCs w:val="22"/>
          </w:rPr>
          <w:t>http://www.surfacetemperatures.org</w:t>
        </w:r>
      </w:hyperlink>
      <w:r>
        <w:rPr>
          <w:rFonts w:ascii="Calibri" w:hAnsi="Calibri" w:cs="Calibri"/>
          <w:sz w:val="22"/>
          <w:szCs w:val="22"/>
        </w:rPr>
        <w:t>] is an initiative</w:t>
      </w:r>
      <w:r w:rsidR="00BD6713">
        <w:rPr>
          <w:rFonts w:ascii="Calibri" w:hAnsi="Calibri" w:cs="Calibri"/>
          <w:sz w:val="22"/>
          <w:szCs w:val="22"/>
        </w:rPr>
        <w:t xml:space="preserve"> sponsored by CCI</w:t>
      </w:r>
      <w:r>
        <w:rPr>
          <w:rFonts w:ascii="Calibri" w:hAnsi="Calibri" w:cs="Calibri"/>
          <w:sz w:val="22"/>
          <w:szCs w:val="22"/>
        </w:rPr>
        <w:t xml:space="preserve"> to create, for the first time, a single comprehensive international databank of the actual surface meteorological observations taken globally at monthly, daily and sub-daily resolutions. The databank will be version controlled and employ rich metadata to ascertain data provenance and enable researchers to drill down to the original data record.</w:t>
      </w:r>
    </w:p>
    <w:p w:rsidR="006B08AF" w:rsidRDefault="003203EE">
      <w:pPr>
        <w:pStyle w:val="NormalWeb"/>
        <w:spacing w:before="0" w:beforeAutospacing="0" w:after="0" w:afterAutospacing="0"/>
        <w:rPr>
          <w:rFonts w:ascii="Arial" w:hAnsi="Arial" w:cs="Arial"/>
          <w:sz w:val="20"/>
          <w:szCs w:val="20"/>
        </w:rPr>
      </w:pPr>
      <w:r>
        <w:rPr>
          <w:rFonts w:ascii="Arial" w:hAnsi="Arial" w:cs="Arial"/>
          <w:sz w:val="20"/>
          <w:szCs w:val="20"/>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color w:val="366092"/>
          <w:sz w:val="22"/>
          <w:szCs w:val="22"/>
        </w:rPr>
        <w:t>Development of WMO data models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Open Geospatial Consortium engagement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Open Geospatial Consortium (OGC) [</w:t>
      </w:r>
      <w:hyperlink r:id="rId10" w:history="1">
        <w:r>
          <w:rPr>
            <w:rStyle w:val="Hyperlink"/>
            <w:rFonts w:ascii="Calibri" w:hAnsi="Calibri" w:cs="Calibri"/>
            <w:sz w:val="22"/>
            <w:szCs w:val="22"/>
          </w:rPr>
          <w:t>http://www.opengeospatial.org/</w:t>
        </w:r>
      </w:hyperlink>
      <w:r>
        <w:rPr>
          <w:rFonts w:ascii="Calibri" w:hAnsi="Calibri" w:cs="Calibri"/>
          <w:sz w:val="22"/>
          <w:szCs w:val="22"/>
        </w:rPr>
        <w:t>] is a non-profit voluntary consensus standards organisation with a membership comprising commerce, government and academia. OGC leads the development of geospatial and location based standards. The modus-operandi of the OGC enables the organization to engage it's membership in consensus development of standards at a significantly greater pace than that achievable by 'heavy-weight' standards organisations such as ISO or WMO. As such, the OGC often appears to act as an incubator for ISO geographic information standards.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Recognising this, WMO and OGC established a Memorandum of Understanding (MoU) in November 2009. The WMO-OGC MoU is instrumental in providing the mechanism for the co-ordination between activities carried out by the OGC Met Oceans DWG and Hydrology DWG, and the activities carried out by the expert teams of WMO CBS OPAG-ISS with a view to developing the use of ISO/OGC standards for the WIS. Refer to Annex 5 for more information about the WMO-OGC MoU.</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At the recent OGC Technical Committee meeting (Toulouse, 2010), following a suggestion from the chair IPET-MDI, the OGC passed a motion to allow standards organisations affiliated with OGC (OASIS, IETF, W3C, ISO, WMO etc.) to engage directly with the OGC Architecture Board; the group that stewards the development of ALL the OGC standards such that they remain consistent. A quarterly teleconference will be convened to discuss any 'standards co-ordination' issues. This should afford WMO, through it's nominated representative, greater influence over the evolution of OGC standards.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For information, a list of OGC Domain working groups relevant to WMO is included:</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Met-Ocean DWG</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Hydrology DWG</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Emergency and Disaster Management DWG</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Earth Systems Science DWG</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Metadata DWG</w:t>
      </w:r>
    </w:p>
    <w:p w:rsidR="006B08AF" w:rsidRDefault="003203EE">
      <w:pPr>
        <w:numPr>
          <w:ilvl w:val="0"/>
          <w:numId w:val="10"/>
        </w:numPr>
        <w:ind w:left="540"/>
        <w:textAlignment w:val="center"/>
        <w:rPr>
          <w:rFonts w:eastAsia="Times New Roman"/>
        </w:rPr>
      </w:pPr>
      <w:r>
        <w:rPr>
          <w:rFonts w:ascii="Calibri" w:eastAsia="Times New Roman" w:hAnsi="Calibri" w:cs="Calibri"/>
          <w:sz w:val="22"/>
          <w:szCs w:val="22"/>
        </w:rPr>
        <w:t>Aviation DWG</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Conceptual Modelling activity; OGC Met-Ocean Domain Working Group</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To exploit the OGC's rapid incubation environment and cross-sector membership, IPET-MDI successful gained acceptance from the Met-Ocean Domain Working Group to create a 'conceptual modelling' activity, within which WMO would participate.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65"/>
        <w:gridCol w:w="778"/>
        <w:gridCol w:w="706"/>
        <w:gridCol w:w="3215"/>
        <w:gridCol w:w="838"/>
        <w:gridCol w:w="406"/>
        <w:gridCol w:w="374"/>
        <w:gridCol w:w="629"/>
        <w:gridCol w:w="1265"/>
        <w:gridCol w:w="410"/>
      </w:tblGrid>
      <w:tr w:rsidR="006B08AF">
        <w:trPr>
          <w:divId w:val="567961085"/>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2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MDI-f</w:t>
            </w:r>
          </w:p>
        </w:tc>
        <w:tc>
          <w:tcPr>
            <w:tcW w:w="85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Engage with OGC Meteorology Domain Working Group to review proposed met-ocean profile for OGC Web Map Service specification</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Dec 09</w:t>
            </w:r>
          </w:p>
        </w:tc>
        <w:tc>
          <w:tcPr>
            <w:tcW w:w="14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Incomplete</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JIRA ticket WIS-132 (above) indicates the IPET-MDI should also engage Met-Ocean DWG regarding a profile of WMS. This work has proceeded slower than anticipated and is yet to publish its recommendations. Furthermore, this is not yet considered to be a high-priority activity. As a result, IPET-MDI have not actively engaged in this process.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72"/>
        <w:gridCol w:w="773"/>
        <w:gridCol w:w="710"/>
        <w:gridCol w:w="3333"/>
        <w:gridCol w:w="843"/>
        <w:gridCol w:w="414"/>
        <w:gridCol w:w="381"/>
        <w:gridCol w:w="625"/>
        <w:gridCol w:w="1124"/>
        <w:gridCol w:w="411"/>
      </w:tblGrid>
      <w:tr w:rsidR="006B08AF">
        <w:trPr>
          <w:divId w:val="1165708507"/>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MDI-d</w:t>
            </w:r>
          </w:p>
        </w:tc>
        <w:tc>
          <w:tcPr>
            <w:tcW w:w="87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Consultation on format for delivery of aviation information to end users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ISS09-39</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Apr 10</w:t>
            </w:r>
          </w:p>
        </w:tc>
        <w:tc>
          <w:tcPr>
            <w:tcW w:w="13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WIS-122</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Complete</w:t>
            </w:r>
          </w:p>
        </w:tc>
        <w:tc>
          <w:tcPr>
            <w:tcW w:w="9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establishment of the conceptual modelling activity within the Met-Ocean DWG has lead to a positive and sustained engagement with representatives from a broad cross-section of NMHS's, academia, INSPIRE</w:t>
      </w:r>
      <w:r>
        <w:rPr>
          <w:rFonts w:ascii="Calibri" w:hAnsi="Calibri" w:cs="Calibri"/>
          <w:sz w:val="22"/>
          <w:szCs w:val="22"/>
          <w:vertAlign w:val="superscript"/>
        </w:rPr>
        <w:t>1</w:t>
      </w:r>
      <w:r>
        <w:rPr>
          <w:rFonts w:ascii="Calibri" w:hAnsi="Calibri" w:cs="Calibri"/>
          <w:sz w:val="22"/>
          <w:szCs w:val="22"/>
        </w:rPr>
        <w:t xml:space="preserve">  &amp; </w:t>
      </w:r>
      <w:r>
        <w:rPr>
          <w:rFonts w:ascii="Calibri" w:hAnsi="Calibri" w:cs="Calibri"/>
          <w:b/>
          <w:bCs/>
          <w:sz w:val="22"/>
          <w:szCs w:val="22"/>
        </w:rPr>
        <w:t>Aviation</w:t>
      </w:r>
      <w:r>
        <w:rPr>
          <w:rFonts w:ascii="Calibri" w:hAnsi="Calibri" w:cs="Calibri"/>
          <w:sz w:val="22"/>
          <w:szCs w:val="22"/>
          <w:vertAlign w:val="superscript"/>
        </w:rPr>
        <w:t>2</w:t>
      </w:r>
      <w:r>
        <w:rPr>
          <w:rFonts w:ascii="Calibri" w:hAnsi="Calibri" w:cs="Calibri"/>
          <w:sz w:val="22"/>
          <w:szCs w:val="22"/>
        </w:rPr>
        <w:t>. This has lead to cross-Commission engagement within WMO, as OGC members participate who are also members of other WMO Expert Teams.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58"/>
        <w:gridCol w:w="726"/>
        <w:gridCol w:w="701"/>
        <w:gridCol w:w="3135"/>
        <w:gridCol w:w="831"/>
        <w:gridCol w:w="394"/>
        <w:gridCol w:w="364"/>
        <w:gridCol w:w="614"/>
        <w:gridCol w:w="1466"/>
        <w:gridCol w:w="397"/>
      </w:tblGrid>
      <w:tr w:rsidR="006B08AF">
        <w:trPr>
          <w:divId w:val="734821433"/>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MDI-c</w:t>
            </w:r>
          </w:p>
        </w:tc>
        <w:tc>
          <w:tcPr>
            <w:tcW w:w="8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community  engagement plan to identify existing data &amp; metadata standards adoption profile / issues plus training requirements</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WIS-121</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Whilst not explicitly published as an 'engagement plan', the adoption of the OGC Domain Working Group mechanism has enabled significant community engagement.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Information concerning the Conceptual Modelling stream of the Met-Ocean DWG can be found on the OGC External Twiki: </w:t>
      </w:r>
      <w:hyperlink r:id="rId11" w:history="1">
        <w:r>
          <w:rPr>
            <w:rStyle w:val="Hyperlink"/>
            <w:rFonts w:ascii="Calibri" w:hAnsi="Calibri" w:cs="Calibri"/>
            <w:sz w:val="22"/>
            <w:szCs w:val="22"/>
          </w:rPr>
          <w:t>http://external.opengeospatial.org/twiki_public/bin/view/MetOceanDWG/WebHome</w:t>
        </w:r>
      </w:hyperlink>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goal of the Conceptual Modelling sub-group is to establish a core conceptual model that meets the needs of our stakeholder community, including WMO, INSPIRE, Aviation and Earth Science. The model must maintain compatibility with existing data encodings such as GRIB, BUFR and netCDF, thus providing a mechanism to map content from one format to another.</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61"/>
        <w:gridCol w:w="762"/>
        <w:gridCol w:w="704"/>
        <w:gridCol w:w="3086"/>
        <w:gridCol w:w="834"/>
        <w:gridCol w:w="399"/>
        <w:gridCol w:w="368"/>
        <w:gridCol w:w="607"/>
        <w:gridCol w:w="1476"/>
        <w:gridCol w:w="389"/>
      </w:tblGrid>
      <w:tr w:rsidR="006B08AF">
        <w:trPr>
          <w:divId w:val="876158744"/>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MDI-e</w:t>
            </w:r>
          </w:p>
        </w:tc>
        <w:tc>
          <w:tcPr>
            <w:tcW w:w="75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Plan published for interoperability of BUFR, GRIB, CREX, NetCDF, HDF and XML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ISS09-33</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Oct 09</w:t>
            </w:r>
          </w:p>
        </w:tc>
        <w:tc>
          <w:tcPr>
            <w:tcW w:w="16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WIS-125</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9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goal has been published within the OGC Met-Ocean DWG. Whilst it is plausible, more work must be completed to </w:t>
      </w:r>
      <w:r>
        <w:rPr>
          <w:rFonts w:ascii="Calibri" w:hAnsi="Calibri" w:cs="Calibri"/>
          <w:b/>
          <w:bCs/>
          <w:sz w:val="22"/>
          <w:szCs w:val="22"/>
        </w:rPr>
        <w:t>prove</w:t>
      </w:r>
      <w:r>
        <w:rPr>
          <w:rFonts w:ascii="Calibri" w:hAnsi="Calibri" w:cs="Calibri"/>
          <w:sz w:val="22"/>
          <w:szCs w:val="22"/>
        </w:rPr>
        <w:t xml:space="preserve"> that this (easily stated!) goal can be achieved.</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OGC standard 'Observations and Measurement' (now ISO/DIS 19156 Geographic Information - Observations and Measurements) (O&amp;M)has been identified by participants of the Conceptual Modelling sub-group as the best candidate to serve as the basis of the Common Conceptual Model for Meteorology. Furthermore, it is worth noting that O&amp;M also forms the basis of WXXM2.0, thus giving a significant opportunity for alignment with the information standards being developed at the behest of ICAO.</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61"/>
        <w:gridCol w:w="761"/>
        <w:gridCol w:w="703"/>
        <w:gridCol w:w="2766"/>
        <w:gridCol w:w="833"/>
        <w:gridCol w:w="398"/>
        <w:gridCol w:w="367"/>
        <w:gridCol w:w="615"/>
        <w:gridCol w:w="1445"/>
        <w:gridCol w:w="737"/>
      </w:tblGrid>
      <w:tr w:rsidR="006B08AF">
        <w:trPr>
          <w:divId w:val="2066490770"/>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1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MDI-b</w:t>
            </w:r>
          </w:p>
        </w:tc>
        <w:tc>
          <w:tcPr>
            <w:tcW w:w="74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Publish initial proposal for WMO Conceptual Data Model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ISS09-36</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Feb 10</w:t>
            </w:r>
          </w:p>
        </w:tc>
        <w:tc>
          <w:tcPr>
            <w:tcW w:w="15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WIS-133</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WIS-137</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initial proposal for WMO Conceptual Data Model is 'ISO/DIS 19156 Geographic Information - Observations and Measurements'. The objective of the Conceptual Modelling sub-group is to establish a </w:t>
      </w:r>
      <w:r>
        <w:rPr>
          <w:rFonts w:ascii="Calibri" w:hAnsi="Calibri" w:cs="Calibri"/>
          <w:b/>
          <w:bCs/>
          <w:sz w:val="22"/>
          <w:szCs w:val="22"/>
        </w:rPr>
        <w:t>profile</w:t>
      </w:r>
      <w:r>
        <w:rPr>
          <w:rFonts w:ascii="Calibri" w:hAnsi="Calibri" w:cs="Calibri"/>
          <w:sz w:val="22"/>
          <w:szCs w:val="22"/>
        </w:rPr>
        <w:t xml:space="preserve"> of O&amp;M such that it is bound to the information management concerns of the Met-Ocean DWG stakeholders. Again, more work is required to achieve this goal.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process adopted by the Conceptual Modelling sub-group is based on the INSPIRE methodology (detailed in INSPIRE document D2.6: </w:t>
      </w:r>
      <w:hyperlink r:id="rId12" w:history="1">
        <w:r>
          <w:rPr>
            <w:rStyle w:val="Hyperlink"/>
            <w:rFonts w:ascii="Calibri" w:hAnsi="Calibri" w:cs="Calibri"/>
            <w:sz w:val="22"/>
            <w:szCs w:val="22"/>
          </w:rPr>
          <w:t>http://inspire.jrc.ec.europa.eu/reports/ImplementingRules/DataSpecifications/D2.6_v3.0.pdf</w:t>
        </w:r>
      </w:hyperlink>
      <w:r>
        <w:rPr>
          <w:rFonts w:ascii="Calibri" w:hAnsi="Calibri" w:cs="Calibri"/>
          <w:sz w:val="22"/>
          <w:szCs w:val="22"/>
        </w:rPr>
        <w:t>). Normally, the INSPIRE method seeks to build a new conceptual model from analysis of the domain expertise. However, in this case we are starting with the assumption that O&amp;M will be our candidate model.</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assumption is </w:t>
      </w:r>
      <w:r>
        <w:rPr>
          <w:rFonts w:ascii="Calibri" w:hAnsi="Calibri" w:cs="Calibri"/>
          <w:b/>
          <w:bCs/>
          <w:sz w:val="22"/>
          <w:szCs w:val="22"/>
        </w:rPr>
        <w:t>not</w:t>
      </w:r>
      <w:r>
        <w:rPr>
          <w:rFonts w:ascii="Calibri" w:hAnsi="Calibri" w:cs="Calibri"/>
          <w:sz w:val="22"/>
          <w:szCs w:val="22"/>
        </w:rPr>
        <w:t xml:space="preserve"> a wild assertion; experience from a number of groups including OGC Hydrology DWG (WaterML2), NNEW-project (WXXM2.0) and UK-NERC (CSML3) all indicate that O&amp;M provides significant utility. Our challenge will be aligning O&amp;M with the conceptual model </w:t>
      </w:r>
      <w:r>
        <w:rPr>
          <w:rFonts w:ascii="Calibri" w:hAnsi="Calibri" w:cs="Calibri"/>
          <w:i/>
          <w:iCs/>
          <w:sz w:val="22"/>
          <w:szCs w:val="22"/>
        </w:rPr>
        <w:t>implied</w:t>
      </w:r>
      <w:r>
        <w:rPr>
          <w:rFonts w:ascii="Calibri" w:hAnsi="Calibri" w:cs="Calibri"/>
          <w:sz w:val="22"/>
          <w:szCs w:val="22"/>
        </w:rPr>
        <w:t xml:space="preserve"> by BUFR.</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Step 1</w:t>
      </w:r>
      <w:r>
        <w:rPr>
          <w:rFonts w:ascii="Calibri" w:hAnsi="Calibri" w:cs="Calibri"/>
          <w:sz w:val="22"/>
          <w:szCs w:val="22"/>
        </w:rPr>
        <w:t xml:space="preserve"> of the process requires the definition of use-cases. The narrative of each use case is based on realistic and focused user-scenarios. The closer the 'examples' are to reality, the more likely the resulting standard will be applicable.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84"/>
        <w:gridCol w:w="751"/>
        <w:gridCol w:w="710"/>
        <w:gridCol w:w="3561"/>
        <w:gridCol w:w="852"/>
        <w:gridCol w:w="429"/>
        <w:gridCol w:w="393"/>
        <w:gridCol w:w="638"/>
        <w:gridCol w:w="835"/>
        <w:gridCol w:w="433"/>
      </w:tblGrid>
      <w:tr w:rsidR="006B08AF">
        <w:trPr>
          <w:divId w:val="99649890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DRC-c</w:t>
            </w:r>
          </w:p>
        </w:tc>
        <w:tc>
          <w:tcPr>
            <w:tcW w:w="88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Specify use cases that will be used to drive further development of data and metadata standards, including as minimum: GISC, GEOSS, INSPIRE and Emergency Management</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Sep 09</w:t>
            </w:r>
          </w:p>
        </w:tc>
        <w:tc>
          <w:tcPr>
            <w:tcW w:w="12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WIS-120</w:t>
            </w:r>
          </w:p>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Fixed</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use-cases cover a number of scenarios:</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Current aviation</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Future aviation</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Wildfire</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Severe weather warning service</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Sustained polar science campaign</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Climate assessment (both past climatology and future seasonal / climate prediction)</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Land-falling hurricane</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Plume forecasting for emergency response</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Winter highways maintenance</w:t>
      </w:r>
    </w:p>
    <w:p w:rsidR="006B08AF" w:rsidRDefault="003203EE">
      <w:pPr>
        <w:numPr>
          <w:ilvl w:val="0"/>
          <w:numId w:val="11"/>
        </w:numPr>
        <w:ind w:left="540"/>
        <w:textAlignment w:val="center"/>
        <w:rPr>
          <w:rFonts w:eastAsia="Times New Roman"/>
        </w:rPr>
      </w:pPr>
      <w:r>
        <w:rPr>
          <w:rFonts w:ascii="Calibri" w:eastAsia="Times New Roman" w:hAnsi="Calibri" w:cs="Calibri"/>
          <w:sz w:val="22"/>
          <w:szCs w:val="22"/>
        </w:rPr>
        <w:t>Riverine flood forecasting</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Each of the use-cases is chosen to be challenging with respect to the data management. For example, the Land-falling hurricane use-case makes use of ensemble forecasting. For more information on the use-cases, please refer to the OGC twiki: </w:t>
      </w:r>
      <w:hyperlink r:id="rId13" w:history="1">
        <w:r>
          <w:rPr>
            <w:rStyle w:val="Hyperlink"/>
            <w:rFonts w:ascii="Calibri" w:hAnsi="Calibri" w:cs="Calibri"/>
            <w:sz w:val="22"/>
            <w:szCs w:val="22"/>
          </w:rPr>
          <w:t>http://external.opengeospatial.org/twiki_public/bin/view/MetOceanDWG/MetOceanUseCases</w:t>
        </w:r>
      </w:hyperlink>
      <w:r>
        <w:rPr>
          <w:rFonts w:ascii="Calibri" w:hAnsi="Calibri" w:cs="Calibri"/>
          <w:sz w:val="22"/>
          <w:szCs w:val="22"/>
        </w:rPr>
        <w:t xml:space="preserve">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Step 2</w:t>
      </w:r>
      <w:r>
        <w:rPr>
          <w:rFonts w:ascii="Calibri" w:hAnsi="Calibri" w:cs="Calibri"/>
          <w:sz w:val="22"/>
          <w:szCs w:val="22"/>
        </w:rPr>
        <w:t xml:space="preserve"> (in-progress): extract example datasets from existing (or postulated) workflows described within each use case.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Step 3</w:t>
      </w:r>
      <w:r>
        <w:rPr>
          <w:rFonts w:ascii="Calibri" w:hAnsi="Calibri" w:cs="Calibri"/>
          <w:sz w:val="22"/>
          <w:szCs w:val="22"/>
        </w:rPr>
        <w:t xml:space="preserve"> (pending): attempt to map content of datasets onto O&amp;M model. During this process we expect to identifying restrictions, constraints, controlled vocabularies etc.; all the collateral information required to create a domain profile of an abstract standard. This additional information will enable the team to establish whether O&amp;M is indeed suitable as a basis for the WMO Conceptual data model.</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Step 4</w:t>
      </w:r>
      <w:r>
        <w:rPr>
          <w:rFonts w:ascii="Calibri" w:hAnsi="Calibri" w:cs="Calibri"/>
          <w:sz w:val="22"/>
          <w:szCs w:val="22"/>
        </w:rPr>
        <w:t xml:space="preserve"> (pending): identify the compatibility of existing encodings (BUFR, GRIB, CF-netCDF etc.) with the proposed O&amp;M profile. The is likely to require the development of conventions (or amendments) for their use with the common conceptual model. If the team is successful, the common conceptual model will be compatible with existing tooling and practices within the community, leading to a much simpler adoption path.</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98"/>
        <w:gridCol w:w="675"/>
        <w:gridCol w:w="664"/>
        <w:gridCol w:w="2803"/>
        <w:gridCol w:w="780"/>
        <w:gridCol w:w="521"/>
        <w:gridCol w:w="904"/>
        <w:gridCol w:w="601"/>
        <w:gridCol w:w="1442"/>
        <w:gridCol w:w="298"/>
      </w:tblGrid>
      <w:tr w:rsidR="006B08AF">
        <w:trPr>
          <w:divId w:val="702292714"/>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w:t>
            </w:r>
          </w:p>
        </w:tc>
        <w:tc>
          <w:tcPr>
            <w:tcW w:w="102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IPET-MDI</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MDI-b</w:t>
            </w:r>
          </w:p>
        </w:tc>
        <w:tc>
          <w:tcPr>
            <w:tcW w:w="84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With IPET-DRC publish mappings of existing data representations to WMO Conceptual Data Model; amending as appropriate. Clearly define which features of existing data representations will be retained/discarded when mapped to conceptual data model. (EC 3.5.2.11)</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ISS09-38</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EC-LXI</w:t>
            </w:r>
          </w:p>
        </w:tc>
        <w:tc>
          <w:tcPr>
            <w:tcW w:w="9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rPr>
                <w:rFonts w:ascii="Calibri" w:hAnsi="Calibri" w:cs="Calibri"/>
                <w:color w:val="3F3F3F"/>
                <w:sz w:val="22"/>
                <w:szCs w:val="22"/>
              </w:rPr>
            </w:pPr>
            <w:r>
              <w:rPr>
                <w:rFonts w:ascii="Calibri" w:hAnsi="Calibri" w:cs="Calibri"/>
                <w:b/>
                <w:bCs/>
                <w:color w:val="3F3F3F"/>
                <w:sz w:val="22"/>
                <w:szCs w:val="22"/>
              </w:rPr>
              <w:t>3.5.2.11</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Mar 10</w:t>
            </w:r>
          </w:p>
        </w:tc>
        <w:tc>
          <w:tcPr>
            <w:tcW w:w="16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WIS-137</w:t>
            </w:r>
          </w:p>
          <w:p w:rsidR="006B08AF" w:rsidRDefault="003203EE">
            <w:pPr>
              <w:pStyle w:val="NormalWeb"/>
              <w:spacing w:before="0" w:beforeAutospacing="0" w:after="0" w:afterAutospacing="0"/>
              <w:jc w:val="right"/>
              <w:rPr>
                <w:rFonts w:ascii="Calibri" w:hAnsi="Calibri" w:cs="Calibri"/>
                <w:color w:val="C00000"/>
                <w:sz w:val="22"/>
                <w:szCs w:val="22"/>
              </w:rPr>
            </w:pPr>
            <w:r>
              <w:rPr>
                <w:rFonts w:ascii="Calibri" w:hAnsi="Calibri" w:cs="Calibri"/>
                <w:b/>
                <w:bCs/>
                <w:color w:val="C00000"/>
                <w:sz w:val="22"/>
                <w:szCs w:val="22"/>
                <w:shd w:val="clear" w:color="auto" w:fill="F2F2F2"/>
              </w:rPr>
              <w:t>UNRESOLVED</w:t>
            </w:r>
          </w:p>
        </w:tc>
        <w:tc>
          <w:tcPr>
            <w:tcW w:w="8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B08AF" w:rsidRDefault="003203EE">
            <w:pPr>
              <w:pStyle w:val="NormalWeb"/>
              <w:spacing w:before="0" w:beforeAutospacing="0" w:after="0" w:afterAutospacing="0"/>
              <w:jc w:val="right"/>
              <w:rPr>
                <w:rFonts w:ascii="Calibri" w:hAnsi="Calibri" w:cs="Calibri"/>
                <w:color w:val="3F3F3F"/>
                <w:sz w:val="22"/>
                <w:szCs w:val="22"/>
              </w:rPr>
            </w:pPr>
            <w:r>
              <w:rPr>
                <w:rFonts w:ascii="Calibri" w:hAnsi="Calibri" w:cs="Calibri"/>
                <w:b/>
                <w:bCs/>
                <w:color w:val="3F3F3F"/>
                <w:sz w:val="22"/>
                <w:szCs w:val="22"/>
              </w:rPr>
              <w:t> </w:t>
            </w:r>
          </w:p>
        </w:tc>
      </w:tr>
    </w:tbl>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Expertise from IPET-DRC will be required in order to progress steps (3) and (4).</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Please refer to Annex 6 for further information on the OGC Met-Ocean DWG Conceptual Modelling activity.</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Timelines for the next phase of activities within the Conceptual Modelling sub-group are currently being developed. </w:t>
      </w:r>
      <w:r>
        <w:rPr>
          <w:rFonts w:ascii="Calibri" w:hAnsi="Calibri" w:cs="Calibri"/>
          <w:b/>
          <w:bCs/>
          <w:sz w:val="22"/>
          <w:szCs w:val="22"/>
        </w:rPr>
        <w:t>This provides an excellent opportunity to align them with new work-plans from OPAG-ISS.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Also note that following recognition that Meteorology and Hydrology domains have considerable overlaps in the data modelling challenges faced,  formal engagement between OGC Hydrology DWG, co-chaired by Mr U. Looser (Germany)</w:t>
      </w:r>
      <w:r>
        <w:rPr>
          <w:rFonts w:ascii="Calibri" w:hAnsi="Calibri" w:cs="Calibri"/>
          <w:sz w:val="22"/>
          <w:szCs w:val="22"/>
          <w:vertAlign w:val="superscript"/>
        </w:rPr>
        <w:t>3</w:t>
      </w:r>
      <w:r>
        <w:rPr>
          <w:rFonts w:ascii="Calibri" w:hAnsi="Calibri" w:cs="Calibri"/>
          <w:sz w:val="22"/>
          <w:szCs w:val="22"/>
        </w:rPr>
        <w:t xml:space="preserve"> , and Met-Ocean DWG was agreed at the OGC Technical Committee meeting, Toulouse 2010. The engagement will take the form of joint Interoperability Experiments covering as much of the water-cycle as possible, seeking to test data exchange based on the WaterML2 and the WMO Common Conceptual Model. Starting timescales for this activity are likely to be Q3 2011.</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1</w:t>
      </w:r>
      <w:r>
        <w:rPr>
          <w:rFonts w:ascii="Calibri" w:hAnsi="Calibri" w:cs="Calibri"/>
          <w:sz w:val="22"/>
          <w:szCs w:val="22"/>
        </w:rPr>
        <w:t xml:space="preserve"> INSPIRE Atmospheric Conditions and Meteorological Features thematic working group</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2</w:t>
      </w:r>
      <w:r>
        <w:rPr>
          <w:rFonts w:ascii="Calibri" w:hAnsi="Calibri" w:cs="Calibri"/>
          <w:sz w:val="22"/>
          <w:szCs w:val="22"/>
        </w:rPr>
        <w:t xml:space="preserve"> Aviation community is represented through participation from the FAA's 'NextGeneration-Network Enabled Weather' project; these participants are instrumental in the development of WXXM.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vertAlign w:val="superscript"/>
        </w:rPr>
        <w:t>3</w:t>
      </w:r>
      <w:r>
        <w:rPr>
          <w:rFonts w:ascii="Calibri" w:hAnsi="Calibri" w:cs="Calibri"/>
          <w:sz w:val="22"/>
          <w:szCs w:val="22"/>
        </w:rPr>
        <w:t xml:space="preserve"> Mr U. Looser (Germany) represents WMO Chy within OGC and is Head of WMO's Global Runoff Data Centre (GRDC)</w:t>
      </w:r>
    </w:p>
    <w:p w:rsidR="006B08AF" w:rsidRDefault="003203EE">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Evolution of OPMET data representation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 </w:t>
      </w:r>
      <w:r>
        <w:rPr>
          <w:rFonts w:ascii="Calibri" w:hAnsi="Calibri" w:cs="Calibri"/>
          <w:b/>
          <w:bCs/>
          <w:sz w:val="22"/>
          <w:szCs w:val="22"/>
        </w:rPr>
        <w:t>Update on OPMET Migration Towards Table-Driven Data Representation</w:t>
      </w:r>
      <w:r>
        <w:rPr>
          <w:rFonts w:ascii="Calibri" w:hAnsi="Calibri" w:cs="Calibri"/>
          <w:sz w:val="22"/>
          <w:szCs w:val="22"/>
        </w:rPr>
        <w:t xml:space="preserve"> [</w:t>
      </w:r>
      <w:hyperlink r:id="rId14" w:history="1">
        <w:r>
          <w:rPr>
            <w:rStyle w:val="Hyperlink"/>
            <w:rFonts w:ascii="Calibri" w:hAnsi="Calibri" w:cs="Calibri"/>
            <w:sz w:val="22"/>
            <w:szCs w:val="22"/>
          </w:rPr>
          <w:t>http://www.wmo.int/pages/prog/www/ISS/Meetings/IPET-DRC_Brasilia2010/Documents/METG20%20IP08%20-%20ICAO%20-%20Update%20on%20OPMET%20migration%20to%20TDCF.pdf</w:t>
        </w:r>
      </w:hyperlink>
      <w:r>
        <w:rPr>
          <w:rFonts w:ascii="Calibri" w:hAnsi="Calibri" w:cs="Calibri"/>
          <w:sz w:val="22"/>
          <w:szCs w:val="22"/>
        </w:rPr>
        <w:t>] was presented at the 20th meeting of ICAO's Meteorology Group of the EPANG (METG) (Paris, 2010). This provides an informed view of the current status of Aviation OPMET data representation, and was discussed at length by IPET-DRC.</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Amongst the notable points is the successful demonstration facilitated by ET-ODR regarding the transfer of XML-encoded content across GTS / AFTN. From the perspective of IPET-MDI, the success of this activity was purely in demonstrating the ability of those legacy networks to transfer XML content. The XML was constructed from a literal encoding of the associated BUFR message, and did not relate to the ISO TC/211 Geographic Information standards in any way.</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excellent work undertaken by Mr G. Ross (UK) in creating a 'canonical' XML form from BUFR takes us closer by providing automated rules to map between an </w:t>
      </w:r>
      <w:r>
        <w:rPr>
          <w:rFonts w:ascii="Calibri" w:hAnsi="Calibri" w:cs="Calibri"/>
          <w:b/>
          <w:bCs/>
          <w:sz w:val="22"/>
          <w:szCs w:val="22"/>
        </w:rPr>
        <w:t>intermediate</w:t>
      </w:r>
      <w:r>
        <w:rPr>
          <w:rFonts w:ascii="Calibri" w:hAnsi="Calibri" w:cs="Calibri"/>
          <w:sz w:val="22"/>
          <w:szCs w:val="22"/>
        </w:rPr>
        <w:t xml:space="preserve"> XML encoding and BUFR. The clear advantage of the intermediate (canonical) form is that it is significantly less complex  than BUFR itself, having resolved all the 'modal-switching' behaviour of a BUFR instance.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next step is to understand how to map this intermediate form into the ISO TC/211 Geographic Information space; with the ul</w:t>
      </w:r>
      <w:r w:rsidR="00BD6713">
        <w:rPr>
          <w:rFonts w:ascii="Calibri" w:hAnsi="Calibri" w:cs="Calibri"/>
          <w:sz w:val="22"/>
          <w:szCs w:val="22"/>
        </w:rPr>
        <w:t>timate goal of harmonizing BUFR</w:t>
      </w:r>
      <w:r>
        <w:rPr>
          <w:rFonts w:ascii="Calibri" w:hAnsi="Calibri" w:cs="Calibri"/>
          <w:sz w:val="22"/>
          <w:szCs w:val="22"/>
        </w:rPr>
        <w:t xml:space="preserve"> with O&amp;M (as discussed previously).  Mr G. Ross (UK) has kindly agreed to assist IPET-MDI in this undertaking; providing his wealth of experience to steps (3) and (4) of the conceptual modelling process.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Representatives from FAA's</w:t>
      </w:r>
      <w:r>
        <w:rPr>
          <w:rFonts w:ascii="Calibri" w:hAnsi="Calibri" w:cs="Calibri"/>
          <w:b/>
          <w:bCs/>
          <w:sz w:val="22"/>
          <w:szCs w:val="22"/>
        </w:rPr>
        <w:t xml:space="preserve"> NextGen-Network Enabled Weather</w:t>
      </w:r>
      <w:r>
        <w:rPr>
          <w:rFonts w:ascii="Calibri" w:hAnsi="Calibri" w:cs="Calibri"/>
          <w:sz w:val="22"/>
          <w:szCs w:val="22"/>
        </w:rPr>
        <w:t xml:space="preserve"> (NNEW) project are fully engaged in the process to create such a harmonized model. Assuming that the EUMETNET bid for work-packages in EUROCONTROL's </w:t>
      </w:r>
      <w:r>
        <w:rPr>
          <w:rFonts w:ascii="Calibri" w:hAnsi="Calibri" w:cs="Calibri"/>
          <w:b/>
          <w:bCs/>
          <w:sz w:val="22"/>
          <w:szCs w:val="22"/>
        </w:rPr>
        <w:t>SESAR</w:t>
      </w:r>
      <w:r>
        <w:rPr>
          <w:rFonts w:ascii="Calibri" w:hAnsi="Calibri" w:cs="Calibri"/>
          <w:sz w:val="22"/>
          <w:szCs w:val="22"/>
        </w:rPr>
        <w:t xml:space="preserve"> project is successful,  these project teams will also be fully engaged; the membership of the EUMETNET Consortium overlaps significantly with the existing participants in the OGC Met-Ocean DWG.</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was an expectation that further tests regarding the transmission of XML-encodings of Table-Driven Representations would be undertaken by IPET-MDI / ET-ODR in the second half of 2010. This has not occurred (yet!). It should be noted that WXXM2.0 is published as the "candidate for industry implementation and further standardization". There are likely to be one or more 'point' releases over the coming months, which should give opportunity to test working 'prototypes' of XML-encoded Table-Driven Representations that are harmonized with ISO TC/211 and O&amp;M ahead of WMO EC (June 2011). At the very least, the 'canonical' XML form proposed by Mr G. Ross (UK) may provide an alternate solution if the ISO TC/211 harmonization is elusive.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proposes that further tests are undertaken in Q1 2011* to transfer working 'prototypes' of XML-encoded Table-Driven Representations that are harmonized with ISO TC/211 and O&amp;M across legacy WMO / ICAO networks</w:t>
      </w:r>
      <w:r>
        <w:rPr>
          <w:rFonts w:ascii="Calibri" w:hAnsi="Calibri" w:cs="Calibri"/>
          <w:sz w:val="22"/>
          <w:szCs w:val="22"/>
        </w:rPr>
        <w:t>. It will be imperative to demonstrate lossless conversion from TAC to XML encoded BUFR and back again to support ICAO's desire for bi-lateral agreements, wherein it is highly likely that a given message will begin 'life' as TAC, be converted to XML under bi-lateral agreement, the converted back to TAC for on-going transmission. Guidelines for assessing 'readiness' for XML exchange of OPMET should also be provided, such as ensuring that the network segments involved are able to transmit XML documents that are significantly larger that existing TAC-bulletins.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In order to mitigate problems associated with the verbosity of XML, IPET-MDI recommend that binary XML encodings are investigated for OPMET data transfer; i.e. W3C's Efficient XML Interchange [</w:t>
      </w:r>
      <w:hyperlink r:id="rId15" w:history="1">
        <w:r>
          <w:rPr>
            <w:rStyle w:val="Hyperlink"/>
            <w:rFonts w:ascii="Calibri" w:hAnsi="Calibri" w:cs="Calibri"/>
            <w:sz w:val="22"/>
            <w:szCs w:val="22"/>
          </w:rPr>
          <w:t>http://www.w3.org/XML/EXI/</w:t>
        </w:r>
      </w:hyperlink>
      <w:r>
        <w:rPr>
          <w:rFonts w:ascii="Calibri" w:hAnsi="Calibri" w:cs="Calibri"/>
          <w:sz w:val="22"/>
          <w:szCs w:val="22"/>
        </w:rPr>
        <w:t>], or Fast Infoset [</w:t>
      </w:r>
      <w:hyperlink r:id="rId16" w:history="1">
        <w:r>
          <w:rPr>
            <w:rStyle w:val="Hyperlink"/>
            <w:rFonts w:ascii="Calibri" w:hAnsi="Calibri" w:cs="Calibri"/>
            <w:sz w:val="22"/>
            <w:szCs w:val="22"/>
          </w:rPr>
          <w:t>http://en.wikipedia.org/wiki/Fast_Infoset</w:t>
        </w:r>
      </w:hyperlink>
      <w:r>
        <w:rPr>
          <w:rFonts w:ascii="Calibri" w:hAnsi="Calibri" w:cs="Calibri"/>
          <w:sz w:val="22"/>
          <w:szCs w:val="22"/>
        </w:rPr>
        <w: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suggests that ET-CTS (?) assess binary XML for suitability as a encoding of OPMET data.</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will this provide sufficient time ahead of WMO EC?</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 xml:space="preserve">Issues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color w:val="366092"/>
          <w:sz w:val="22"/>
          <w:szCs w:val="22"/>
        </w:rPr>
        <w:t>Lack of funding to convene physical meetings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chair of IPET-MDI notes that funding for the first meeting of IPET-MDI was not available until the financial year 2010-11. The meeting was convened at the earliest possible opportunity and succeeded in resolving many of the issues identified from within the WIS implementation community. However, this late start has meant that IPET-MDI have not managed to achieve the levels of anticipated progress.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physical meetings are doubly important; not only do they provide a superb environment for debate amongst team members and fast-track resolution of issues, they also focus the activities of participants in the weeks preceding and following the meeting. Beyond these 'windows of opportunity' it is very difficult for the Expert Team members to maintain priority activity for WMO against challenging domestic tasking.</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Future opportunities</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i/>
          <w:iCs/>
          <w:color w:val="366092"/>
          <w:sz w:val="22"/>
          <w:szCs w:val="22"/>
        </w:rPr>
        <w:t>OASIS Emergency Management standardization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Common Alerting Protocol (CAP) is a member of a family of standards being developed by OASIS Emergency Management Technical Committee. IPET-MDI asserts that the current version requires modifications prior to general applicability; for example vertical levels can only be represented in 'feet'. Future adoption appears to be appropriate in order to standardise (globally-exchanged) disaster and emergency response information. Propose that WMO engages with OASIS Emergency Management Technical Committee and OGC Emergency and Disaster Management Domain Working Group* to ensure that the standard is developed through consensus until it is fit for purpose.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b/>
          <w:bCs/>
          <w:sz w:val="22"/>
          <w:szCs w:val="22"/>
        </w:rPr>
        <w:t>The chair of IPET-MDI recommends the use of a pilot project to ensure that CAP (&amp; other members of the OASIS EM standards family) are fit for purpose prior to receiving endorsement from WMO.</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It should be noted that OGC is already engaged within the OASIS Emergency Management Technical Committee as Chair of the EM GIS Sub-committee. It may prove effective to exploit the Memorandum of Understanding between OGC and WMO to influence further development of standards from OASIS Emergency Management TC.</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1</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IPET-MDI open issue Summary (25-Sept-2010)</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A total of 67 Issues are specified for the IPET-MDI component* . In summary:</w:t>
      </w:r>
    </w:p>
    <w:p w:rsidR="006B08AF" w:rsidRDefault="003203EE">
      <w:pPr>
        <w:numPr>
          <w:ilvl w:val="0"/>
          <w:numId w:val="12"/>
        </w:numPr>
        <w:ind w:left="540"/>
        <w:textAlignment w:val="center"/>
        <w:rPr>
          <w:rFonts w:eastAsia="Times New Roman"/>
        </w:rPr>
      </w:pPr>
      <w:r>
        <w:rPr>
          <w:rFonts w:ascii="Calibri" w:eastAsia="Times New Roman" w:hAnsi="Calibri" w:cs="Calibri"/>
          <w:sz w:val="22"/>
          <w:szCs w:val="22"/>
        </w:rPr>
        <w:t xml:space="preserve">44 remain </w:t>
      </w:r>
      <w:r>
        <w:rPr>
          <w:rFonts w:ascii="Calibri" w:eastAsia="Times New Roman" w:hAnsi="Calibri" w:cs="Calibri"/>
          <w:b/>
          <w:bCs/>
          <w:sz w:val="22"/>
          <w:szCs w:val="22"/>
        </w:rPr>
        <w:t>unresolved</w:t>
      </w:r>
    </w:p>
    <w:p w:rsidR="006B08AF" w:rsidRDefault="003203EE">
      <w:pPr>
        <w:numPr>
          <w:ilvl w:val="0"/>
          <w:numId w:val="12"/>
        </w:numPr>
        <w:ind w:left="540"/>
        <w:textAlignment w:val="center"/>
        <w:rPr>
          <w:rFonts w:eastAsia="Times New Roman"/>
        </w:rPr>
      </w:pPr>
      <w:r>
        <w:rPr>
          <w:rFonts w:ascii="Calibri" w:eastAsia="Times New Roman" w:hAnsi="Calibri" w:cs="Calibri"/>
          <w:sz w:val="22"/>
          <w:szCs w:val="22"/>
        </w:rPr>
        <w:t xml:space="preserve">3 are </w:t>
      </w:r>
      <w:r>
        <w:rPr>
          <w:rFonts w:ascii="Calibri" w:eastAsia="Times New Roman" w:hAnsi="Calibri" w:cs="Calibri"/>
          <w:b/>
          <w:bCs/>
          <w:sz w:val="22"/>
          <w:szCs w:val="22"/>
        </w:rPr>
        <w:t>incomplete</w:t>
      </w:r>
      <w:r>
        <w:rPr>
          <w:rFonts w:ascii="Calibri" w:eastAsia="Times New Roman" w:hAnsi="Calibri" w:cs="Calibri"/>
          <w:sz w:val="22"/>
          <w:szCs w:val="22"/>
        </w:rPr>
        <w:t>; no further work on these issues is expected</w:t>
      </w:r>
    </w:p>
    <w:p w:rsidR="006B08AF" w:rsidRDefault="003203EE">
      <w:pPr>
        <w:numPr>
          <w:ilvl w:val="0"/>
          <w:numId w:val="12"/>
        </w:numPr>
        <w:ind w:left="540"/>
        <w:textAlignment w:val="center"/>
        <w:rPr>
          <w:rFonts w:eastAsia="Times New Roman"/>
        </w:rPr>
      </w:pPr>
      <w:r>
        <w:rPr>
          <w:rFonts w:ascii="Calibri" w:eastAsia="Times New Roman" w:hAnsi="Calibri" w:cs="Calibri"/>
          <w:sz w:val="22"/>
          <w:szCs w:val="22"/>
        </w:rPr>
        <w:t xml:space="preserve">19 </w:t>
      </w:r>
      <w:r>
        <w:rPr>
          <w:rFonts w:ascii="Calibri" w:eastAsia="Times New Roman" w:hAnsi="Calibri" w:cs="Calibri"/>
          <w:b/>
          <w:bCs/>
          <w:sz w:val="22"/>
          <w:szCs w:val="22"/>
        </w:rPr>
        <w:t>fixed</w:t>
      </w:r>
      <w:r>
        <w:rPr>
          <w:rFonts w:ascii="Calibri" w:eastAsia="Times New Roman" w:hAnsi="Calibri" w:cs="Calibri"/>
          <w:sz w:val="22"/>
          <w:szCs w:val="22"/>
        </w:rPr>
        <w:t xml:space="preserve"> or </w:t>
      </w:r>
      <w:r>
        <w:rPr>
          <w:rFonts w:ascii="Calibri" w:eastAsia="Times New Roman" w:hAnsi="Calibri" w:cs="Calibri"/>
          <w:b/>
          <w:bCs/>
          <w:sz w:val="22"/>
          <w:szCs w:val="22"/>
        </w:rPr>
        <w:t>complete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The allocation of issues amongst IPET-MDI members (25-Sept-2010) is shown in the chart A1.i below</w:t>
      </w:r>
    </w:p>
    <w:p w:rsidR="006B08AF" w:rsidRDefault="003203EE">
      <w:pPr>
        <w:pStyle w:val="NormalWeb"/>
        <w:spacing w:before="0" w:beforeAutospacing="0" w:after="0" w:afterAutospacing="0"/>
      </w:pPr>
      <w:r>
        <w:rPr>
          <w:noProof/>
        </w:rPr>
        <w:drawing>
          <wp:inline distT="0" distB="0" distL="0" distR="0">
            <wp:extent cx="5886450" cy="3790950"/>
            <wp:effectExtent l="0" t="0" r="0" b="0"/>
            <wp:docPr id="1" name="Picture 1" descr="Machine generated alternative text: Ted Habermann = 8&#10;Jeremy Tandy = 37&#10;Michael Btirek = 7&#10;—Jean—Pierre = 5&#10;Manuel Fuentes = 4&#10;________— Eiji = 3&#10;G. Reed = 2&#10;Guofu Wanggf = 1&#10;Total Issues: 67 Statistic Type: Assign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Ted Habermann = 8&#10;Jeremy Tandy = 37&#10;Michael Btirek = 7&#10;—Jean—Pierre = 5&#10;Manuel Fuentes = 4&#10;________— Eiji = 3&#10;G. Reed = 2&#10;Guofu Wanggf = 1&#10;Total Issues: 67 Statistic Type: Assignee"/>
                    <pic:cNvPicPr>
                      <a:picLocks noChangeAspect="1" noChangeArrowheads="1"/>
                    </pic:cNvPicPr>
                  </pic:nvPicPr>
                  <pic:blipFill>
                    <a:blip r:link="rId17">
                      <a:extLst>
                        <a:ext uri="{28A0092B-C50C-407E-A947-70E740481C1C}">
                          <a14:useLocalDpi xmlns:a14="http://schemas.microsoft.com/office/drawing/2010/main" val="0"/>
                        </a:ext>
                      </a:extLst>
                    </a:blip>
                    <a:srcRect/>
                    <a:stretch>
                      <a:fillRect/>
                    </a:stretch>
                  </pic:blipFill>
                  <pic:spPr bwMode="auto">
                    <a:xfrm>
                      <a:off x="0" y="0"/>
                      <a:ext cx="5886450" cy="3790950"/>
                    </a:xfrm>
                    <a:prstGeom prst="rect">
                      <a:avLst/>
                    </a:prstGeom>
                    <a:noFill/>
                    <a:ln>
                      <a:noFill/>
                    </a:ln>
                  </pic:spPr>
                </pic:pic>
              </a:graphicData>
            </a:graphic>
          </wp:inline>
        </w:drawing>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Chart A1.i: Allocation of JIRA issues amongst IPET-MDI members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summary of the issues can be found in accompanying document: </w:t>
      </w:r>
      <w:r w:rsidR="00BD6713" w:rsidRPr="00BD6713">
        <w:rPr>
          <w:rFonts w:ascii="Calibri" w:hAnsi="Calibri" w:cs="Calibri"/>
          <w:b/>
          <w:sz w:val="22"/>
          <w:szCs w:val="22"/>
        </w:rPr>
        <w:t xml:space="preserve">(Annex 1A) </w:t>
      </w:r>
      <w:r>
        <w:rPr>
          <w:rFonts w:ascii="Calibri" w:hAnsi="Calibri" w:cs="Calibri"/>
          <w:b/>
          <w:bCs/>
          <w:sz w:val="22"/>
          <w:szCs w:val="22"/>
        </w:rPr>
        <w:t>VETS JIRA - Issue Tracking - IPET-MDI issues 20100925-SUMMARY.pdf</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full description of the issues can be found in accompanying document: </w:t>
      </w:r>
      <w:r w:rsidR="00BD6713" w:rsidRPr="00BD6713">
        <w:rPr>
          <w:rFonts w:ascii="Calibri" w:hAnsi="Calibri" w:cs="Calibri"/>
          <w:b/>
          <w:sz w:val="22"/>
          <w:szCs w:val="22"/>
        </w:rPr>
        <w:t>(Annex 1</w:t>
      </w:r>
      <w:r w:rsidR="00BD6713">
        <w:rPr>
          <w:rFonts w:ascii="Calibri" w:hAnsi="Calibri" w:cs="Calibri"/>
          <w:b/>
          <w:sz w:val="22"/>
          <w:szCs w:val="22"/>
        </w:rPr>
        <w:t>B</w:t>
      </w:r>
      <w:r w:rsidR="00BD6713" w:rsidRPr="00BD6713">
        <w:rPr>
          <w:rFonts w:ascii="Calibri" w:hAnsi="Calibri" w:cs="Calibri"/>
          <w:b/>
          <w:sz w:val="22"/>
          <w:szCs w:val="22"/>
        </w:rPr>
        <w:t xml:space="preserve">) </w:t>
      </w:r>
      <w:r>
        <w:rPr>
          <w:rFonts w:ascii="Calibri" w:hAnsi="Calibri" w:cs="Calibri"/>
          <w:b/>
          <w:bCs/>
          <w:sz w:val="22"/>
          <w:szCs w:val="22"/>
        </w:rPr>
        <w:t>VETS JIRA - Issue Tracking - IPET-MDI issues 20100925.doc</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r>
        <w:rPr>
          <w:rFonts w:ascii="Calibri" w:hAnsi="Calibri" w:cs="Calibri"/>
          <w:b/>
          <w:bCs/>
          <w:sz w:val="22"/>
          <w:szCs w:val="22"/>
        </w:rPr>
        <w:t>component</w:t>
      </w:r>
      <w:r>
        <w:rPr>
          <w:rFonts w:ascii="Calibri" w:hAnsi="Calibri" w:cs="Calibri"/>
          <w:sz w:val="22"/>
          <w:szCs w:val="22"/>
        </w:rPr>
        <w:t>' refers to the terminology used with the JIRA system to partition issues amongst the ISS expert teams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2</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IPET-MDI-1 meeting actions - status 'snapshot' 25/09/2010</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Please refer to accompanying document: </w:t>
      </w:r>
      <w:r w:rsidR="00BD6713" w:rsidRPr="00BD6713">
        <w:rPr>
          <w:rFonts w:ascii="Calibri" w:hAnsi="Calibri" w:cs="Calibri"/>
          <w:b/>
          <w:sz w:val="22"/>
          <w:szCs w:val="22"/>
        </w:rPr>
        <w:t xml:space="preserve">(Annex 2) </w:t>
      </w:r>
      <w:r>
        <w:rPr>
          <w:rFonts w:ascii="Calibri" w:hAnsi="Calibri" w:cs="Calibri"/>
          <w:b/>
          <w:bCs/>
          <w:sz w:val="22"/>
          <w:szCs w:val="22"/>
        </w:rPr>
        <w:t>IPET-MDI-1 meeting actions summary 20100925.pdf</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3</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Notes from ad-hoc IPET-MDI meeting during OGC Technical Committee meeting, Toulouse 2010</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Please refer to accompanying document: </w:t>
      </w:r>
      <w:r w:rsidR="00BD6713" w:rsidRPr="00BD6713">
        <w:rPr>
          <w:rFonts w:ascii="Calibri" w:hAnsi="Calibri" w:cs="Calibri"/>
          <w:b/>
          <w:sz w:val="22"/>
          <w:szCs w:val="22"/>
        </w:rPr>
        <w:t xml:space="preserve">(Annex </w:t>
      </w:r>
      <w:r w:rsidR="00BD6713">
        <w:rPr>
          <w:rFonts w:ascii="Calibri" w:hAnsi="Calibri" w:cs="Calibri"/>
          <w:b/>
          <w:sz w:val="22"/>
          <w:szCs w:val="22"/>
        </w:rPr>
        <w:t>3</w:t>
      </w:r>
      <w:r w:rsidR="00BD6713" w:rsidRPr="00BD6713">
        <w:rPr>
          <w:rFonts w:ascii="Calibri" w:hAnsi="Calibri" w:cs="Calibri"/>
          <w:b/>
          <w:sz w:val="22"/>
          <w:szCs w:val="22"/>
        </w:rPr>
        <w:t xml:space="preserve">) </w:t>
      </w:r>
      <w:r>
        <w:rPr>
          <w:rFonts w:ascii="Calibri" w:hAnsi="Calibri" w:cs="Calibri"/>
          <w:b/>
          <w:bCs/>
          <w:sz w:val="22"/>
          <w:szCs w:val="22"/>
        </w:rPr>
        <w:t>Notes from ad-hoc meeting of WMO IPET-MDI Sept2010.pdf</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4</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IPET-MDI feedback* on (DRAFT) WIS documentation:</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color w:val="366092"/>
          <w:sz w:val="22"/>
          <w:szCs w:val="22"/>
        </w:rPr>
        <w:t>Guide to WIS:</w:t>
      </w:r>
    </w:p>
    <w:p w:rsidR="006B08AF" w:rsidRDefault="003203EE">
      <w:pPr>
        <w:numPr>
          <w:ilvl w:val="0"/>
          <w:numId w:val="13"/>
        </w:numPr>
        <w:ind w:left="540"/>
        <w:textAlignment w:val="center"/>
        <w:rPr>
          <w:rFonts w:eastAsia="Times New Roman"/>
        </w:rPr>
      </w:pPr>
      <w:r>
        <w:rPr>
          <w:rFonts w:ascii="Calibri" w:eastAsia="Times New Roman" w:hAnsi="Calibri" w:cs="Calibri"/>
          <w:sz w:val="22"/>
          <w:szCs w:val="22"/>
        </w:rPr>
        <w:t>Section 5.2.3 that stipulates that metadata must be present before data is transmitted. Section 5.10.1 Requires metadata be synchronized once per day, which appears to have the potential for a race condition, that is, the data, which must be propagated in as little as two minutes, arriving up to a day before the required synchronization of metadata between GISCs.</w:t>
      </w:r>
    </w:p>
    <w:p w:rsidR="006B08AF" w:rsidRDefault="003203EE">
      <w:pPr>
        <w:numPr>
          <w:ilvl w:val="0"/>
          <w:numId w:val="13"/>
        </w:numPr>
        <w:ind w:left="540"/>
        <w:textAlignment w:val="center"/>
        <w:rPr>
          <w:rFonts w:eastAsia="Times New Roman"/>
        </w:rPr>
      </w:pPr>
      <w:r>
        <w:rPr>
          <w:rFonts w:ascii="Calibri" w:eastAsia="Times New Roman" w:hAnsi="Calibri" w:cs="Calibri"/>
          <w:sz w:val="22"/>
          <w:szCs w:val="22"/>
        </w:rPr>
        <w:t>Is this requirement uniform among the three data transmission modes per "Manual on WIS" Section 2.7?</w:t>
      </w:r>
    </w:p>
    <w:p w:rsidR="006B08AF" w:rsidRDefault="003203EE">
      <w:pPr>
        <w:numPr>
          <w:ilvl w:val="0"/>
          <w:numId w:val="13"/>
        </w:numPr>
        <w:ind w:left="540"/>
        <w:textAlignment w:val="center"/>
        <w:rPr>
          <w:rFonts w:eastAsia="Times New Roman"/>
        </w:rPr>
      </w:pPr>
      <w:r>
        <w:rPr>
          <w:rFonts w:ascii="Calibri" w:eastAsia="Times New Roman" w:hAnsi="Calibri" w:cs="Calibri"/>
          <w:sz w:val="22"/>
          <w:szCs w:val="22"/>
        </w:rPr>
        <w:t xml:space="preserve">Section 5.4.3 specifies two minutes for global exchange propagation, but does not specify data volumes that must be transmitted in that time, though it does seem to refer to "The  </w:t>
      </w:r>
      <w:r>
        <w:rPr>
          <w:rFonts w:ascii="Calibri" w:eastAsia="Times New Roman" w:hAnsi="Calibri" w:cs="Calibri"/>
          <w:sz w:val="22"/>
          <w:szCs w:val="22"/>
          <w:lang w:val="en-NZ"/>
        </w:rPr>
        <w:t>Design Principles of the GTS"</w:t>
      </w:r>
      <w:r>
        <w:rPr>
          <w:rFonts w:ascii="Calibri" w:eastAsia="Times New Roman" w:hAnsi="Calibri" w:cs="Calibri"/>
          <w:sz w:val="22"/>
          <w:szCs w:val="22"/>
        </w:rPr>
        <w:t>  for guidance.  A Google web search for the title does not turn up the document.  Can this document be made accessible?</w:t>
      </w:r>
    </w:p>
    <w:p w:rsidR="006B08AF" w:rsidRDefault="003203EE">
      <w:pPr>
        <w:numPr>
          <w:ilvl w:val="0"/>
          <w:numId w:val="13"/>
        </w:numPr>
        <w:ind w:left="540"/>
        <w:textAlignment w:val="center"/>
        <w:rPr>
          <w:rFonts w:eastAsia="Times New Roman"/>
        </w:rPr>
      </w:pPr>
      <w:r>
        <w:rPr>
          <w:rFonts w:ascii="Calibri" w:eastAsia="Times New Roman" w:hAnsi="Calibri" w:cs="Calibri"/>
          <w:sz w:val="22"/>
          <w:szCs w:val="22"/>
        </w:rPr>
        <w:t>In the document versions provided:</w:t>
      </w:r>
    </w:p>
    <w:p w:rsidR="006B08AF" w:rsidRDefault="003203EE">
      <w:pPr>
        <w:numPr>
          <w:ilvl w:val="1"/>
          <w:numId w:val="13"/>
        </w:numPr>
        <w:ind w:left="1080"/>
        <w:textAlignment w:val="center"/>
        <w:rPr>
          <w:rFonts w:eastAsia="Times New Roman"/>
        </w:rPr>
      </w:pPr>
      <w:r>
        <w:rPr>
          <w:rFonts w:ascii="Calibri" w:eastAsia="Times New Roman" w:hAnsi="Calibri" w:cs="Calibri"/>
          <w:sz w:val="22"/>
          <w:szCs w:val="22"/>
        </w:rPr>
        <w:t>Section 2.3 missing figure 1</w:t>
      </w:r>
    </w:p>
    <w:p w:rsidR="006B08AF" w:rsidRDefault="003203EE">
      <w:pPr>
        <w:numPr>
          <w:ilvl w:val="1"/>
          <w:numId w:val="13"/>
        </w:numPr>
        <w:ind w:left="1080"/>
        <w:textAlignment w:val="center"/>
        <w:rPr>
          <w:rFonts w:eastAsia="Times New Roman"/>
        </w:rPr>
      </w:pPr>
      <w:r>
        <w:rPr>
          <w:rFonts w:ascii="Calibri" w:eastAsia="Times New Roman" w:hAnsi="Calibri" w:cs="Calibri"/>
          <w:sz w:val="22"/>
          <w:szCs w:val="22"/>
        </w:rPr>
        <w:t>Section 4.4.2 missing figure 2 </w:t>
      </w:r>
    </w:p>
    <w:p w:rsidR="006B08AF" w:rsidRDefault="003203EE">
      <w:pPr>
        <w:numPr>
          <w:ilvl w:val="0"/>
          <w:numId w:val="14"/>
        </w:numPr>
        <w:ind w:left="540"/>
        <w:textAlignment w:val="center"/>
        <w:rPr>
          <w:rFonts w:eastAsia="Times New Roman"/>
        </w:rPr>
      </w:pPr>
      <w:r>
        <w:rPr>
          <w:rFonts w:ascii="Calibri" w:eastAsia="Times New Roman" w:hAnsi="Calibri" w:cs="Calibri"/>
          <w:sz w:val="22"/>
          <w:szCs w:val="22"/>
        </w:rPr>
        <w:t>General comment: Would propose a c</w:t>
      </w:r>
      <w:r w:rsidR="00071A8D">
        <w:rPr>
          <w:rFonts w:ascii="Calibri" w:eastAsia="Times New Roman" w:hAnsi="Calibri" w:cs="Calibri"/>
          <w:sz w:val="22"/>
          <w:szCs w:val="22"/>
        </w:rPr>
        <w:t xml:space="preserve">hecksum SHA-1 MD5, or similar, </w:t>
      </w:r>
      <w:bookmarkStart w:id="0" w:name="_GoBack"/>
      <w:bookmarkEnd w:id="0"/>
      <w:r>
        <w:rPr>
          <w:rFonts w:ascii="Calibri" w:eastAsia="Times New Roman" w:hAnsi="Calibri" w:cs="Calibri"/>
          <w:sz w:val="22"/>
          <w:szCs w:val="22"/>
        </w:rPr>
        <w:t>for cache data integrity per 5.4.5.3 if such a mechanism is not already present.</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366092"/>
          <w:sz w:val="22"/>
          <w:szCs w:val="22"/>
        </w:rPr>
      </w:pPr>
      <w:r>
        <w:rPr>
          <w:rFonts w:ascii="Calibri" w:hAnsi="Calibri" w:cs="Calibri"/>
          <w:b/>
          <w:bCs/>
          <w:color w:val="366092"/>
          <w:sz w:val="22"/>
          <w:szCs w:val="22"/>
        </w:rPr>
        <w:t>Manual on WIS:</w:t>
      </w:r>
    </w:p>
    <w:p w:rsidR="006B08AF" w:rsidRDefault="003203EE">
      <w:pPr>
        <w:numPr>
          <w:ilvl w:val="0"/>
          <w:numId w:val="15"/>
        </w:numPr>
        <w:ind w:left="540"/>
        <w:textAlignment w:val="center"/>
        <w:rPr>
          <w:rFonts w:eastAsia="Times New Roman"/>
        </w:rPr>
      </w:pPr>
      <w:r>
        <w:rPr>
          <w:rFonts w:ascii="Calibri" w:eastAsia="Times New Roman" w:hAnsi="Calibri" w:cs="Calibri"/>
          <w:sz w:val="22"/>
          <w:szCs w:val="22"/>
        </w:rPr>
        <w:t>Section 5.1.6  - This topic is extensively covered in IPET-MDI meeting 1 documentation beginning at section 2.1.2.2.  Are links to that document  desired?</w:t>
      </w:r>
    </w:p>
    <w:p w:rsidR="006B08AF" w:rsidRDefault="003203EE">
      <w:pPr>
        <w:numPr>
          <w:ilvl w:val="0"/>
          <w:numId w:val="15"/>
        </w:numPr>
        <w:ind w:left="540"/>
        <w:textAlignment w:val="center"/>
        <w:rPr>
          <w:rFonts w:eastAsia="Times New Roman"/>
        </w:rPr>
      </w:pPr>
      <w:r>
        <w:rPr>
          <w:rFonts w:ascii="Calibri" w:eastAsia="Times New Roman" w:hAnsi="Calibri" w:cs="Calibri"/>
          <w:sz w:val="22"/>
          <w:szCs w:val="22"/>
        </w:rPr>
        <w:t>Section 5.2 - Extensive additional information and guidance on creating WIS ISO 19115/19139 records can be found in IPET-MDI meeting 1 documentation.  Is it desired to create a link to this information?   The meeting notes will be re-written into a guidance document in the future, so it is unclear whether this document should reference the meeting notes.  I noted also Section 6.1 which could also contain a reference to metadata guidance.</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Courtesy of Mr M. Burek (US)</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5</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Further information regarding WMO - OGC Memorandum of Understanding</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Mr J. Tandy (UK) was asked by OGC to present details of the MoU at the Earth Systems Science DWG session of the OGC Technical Committee (Toulouse, 2010). The presentation is provided as for additional reference:  </w:t>
      </w:r>
      <w:r w:rsidR="00BD6713" w:rsidRPr="00BD6713">
        <w:rPr>
          <w:rFonts w:ascii="Calibri" w:hAnsi="Calibri" w:cs="Calibri"/>
          <w:b/>
          <w:sz w:val="22"/>
          <w:szCs w:val="22"/>
        </w:rPr>
        <w:t xml:space="preserve">(Annex </w:t>
      </w:r>
      <w:r w:rsidR="00BD6713">
        <w:rPr>
          <w:rFonts w:ascii="Calibri" w:hAnsi="Calibri" w:cs="Calibri"/>
          <w:b/>
          <w:sz w:val="22"/>
          <w:szCs w:val="22"/>
        </w:rPr>
        <w:t>5</w:t>
      </w:r>
      <w:r w:rsidR="00BD6713" w:rsidRPr="00BD6713">
        <w:rPr>
          <w:rFonts w:ascii="Calibri" w:hAnsi="Calibri" w:cs="Calibri"/>
          <w:b/>
          <w:sz w:val="22"/>
          <w:szCs w:val="22"/>
        </w:rPr>
        <w:t xml:space="preserve">) </w:t>
      </w:r>
      <w:r>
        <w:rPr>
          <w:rFonts w:ascii="Calibri" w:hAnsi="Calibri" w:cs="Calibri"/>
          <w:b/>
          <w:bCs/>
          <w:sz w:val="22"/>
          <w:szCs w:val="22"/>
        </w:rPr>
        <w:t>OGC ESS DWG Toulouse TC-meeting 2010 (WMO-OGC MoU) v1.1s.pdf</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color w:val="17365D"/>
          <w:sz w:val="32"/>
          <w:szCs w:val="32"/>
        </w:rPr>
      </w:pPr>
      <w:r>
        <w:rPr>
          <w:rFonts w:ascii="Calibri" w:hAnsi="Calibri" w:cs="Calibri"/>
          <w:b/>
          <w:bCs/>
          <w:color w:val="17365D"/>
          <w:sz w:val="32"/>
          <w:szCs w:val="32"/>
        </w:rPr>
        <w:t>Annex 6</w:t>
      </w:r>
    </w:p>
    <w:p w:rsidR="006B08AF" w:rsidRDefault="003203EE">
      <w:pPr>
        <w:pStyle w:val="NormalWeb"/>
        <w:spacing w:before="0" w:beforeAutospacing="0" w:after="0" w:afterAutospacing="0"/>
        <w:rPr>
          <w:rFonts w:ascii="Calibri" w:hAnsi="Calibri" w:cs="Calibri"/>
          <w:color w:val="366092"/>
          <w:sz w:val="26"/>
          <w:szCs w:val="26"/>
        </w:rPr>
      </w:pPr>
      <w:r>
        <w:rPr>
          <w:rFonts w:ascii="Calibri" w:hAnsi="Calibri" w:cs="Calibri"/>
          <w:b/>
          <w:bCs/>
          <w:color w:val="366092"/>
          <w:sz w:val="26"/>
          <w:szCs w:val="26"/>
        </w:rPr>
        <w:t>Further information regarding OGC Met-Ocean DWG Conceptual Modelling activity</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6B08AF" w:rsidRDefault="003203E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Mr J. Tandy (UK) prepared an overview &amp; status update of the Met-Ocean Conceptual Modelling activity as a presentation to the EUMETSAT Satellite Conference (Cordoba, 2010) with an aim to inform the satellite community about this work and solicit engagement from interested parties. Due to a clash of schedules, the presentation was delivered by Mr S. Elliott (EUMETSAT). The presentation is provided for information: </w:t>
      </w:r>
      <w:r w:rsidR="00BD6713" w:rsidRPr="00BD6713">
        <w:rPr>
          <w:rFonts w:ascii="Calibri" w:hAnsi="Calibri" w:cs="Calibri"/>
          <w:b/>
          <w:sz w:val="22"/>
          <w:szCs w:val="22"/>
        </w:rPr>
        <w:t xml:space="preserve">(Annex </w:t>
      </w:r>
      <w:r w:rsidR="00BD6713">
        <w:rPr>
          <w:rFonts w:ascii="Calibri" w:hAnsi="Calibri" w:cs="Calibri"/>
          <w:b/>
          <w:sz w:val="22"/>
          <w:szCs w:val="22"/>
        </w:rPr>
        <w:t>6</w:t>
      </w:r>
      <w:r w:rsidR="00BD6713" w:rsidRPr="00BD6713">
        <w:rPr>
          <w:rFonts w:ascii="Calibri" w:hAnsi="Calibri" w:cs="Calibri"/>
          <w:b/>
          <w:sz w:val="22"/>
          <w:szCs w:val="22"/>
        </w:rPr>
        <w:t xml:space="preserve">) </w:t>
      </w:r>
      <w:r>
        <w:rPr>
          <w:rFonts w:ascii="Calibri" w:hAnsi="Calibri" w:cs="Calibri"/>
          <w:b/>
          <w:bCs/>
          <w:sz w:val="22"/>
          <w:szCs w:val="22"/>
        </w:rPr>
        <w:t>EUMETSAT Meteorological Satellite Conference 2010 (TANDY) v1.0s.pdf</w:t>
      </w:r>
      <w:r>
        <w:rPr>
          <w:rFonts w:ascii="Calibri" w:hAnsi="Calibri" w:cs="Calibri"/>
          <w:sz w:val="22"/>
          <w:szCs w:val="22"/>
        </w:rPr>
        <w:t xml:space="preserve">  </w:t>
      </w:r>
    </w:p>
    <w:sectPr w:rsidR="006B08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4B1A"/>
    <w:multiLevelType w:val="multilevel"/>
    <w:tmpl w:val="C25E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90115B"/>
    <w:multiLevelType w:val="multilevel"/>
    <w:tmpl w:val="25B26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3068DA"/>
    <w:multiLevelType w:val="multilevel"/>
    <w:tmpl w:val="6436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FE873B3"/>
    <w:multiLevelType w:val="multilevel"/>
    <w:tmpl w:val="E08C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CD1E02"/>
    <w:multiLevelType w:val="multilevel"/>
    <w:tmpl w:val="F1D4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01190E"/>
    <w:multiLevelType w:val="multilevel"/>
    <w:tmpl w:val="AF2EE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A103973"/>
    <w:multiLevelType w:val="multilevel"/>
    <w:tmpl w:val="76B214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458E1857"/>
    <w:multiLevelType w:val="multilevel"/>
    <w:tmpl w:val="0702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E60077A"/>
    <w:multiLevelType w:val="multilevel"/>
    <w:tmpl w:val="E908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5B13E2"/>
    <w:multiLevelType w:val="multilevel"/>
    <w:tmpl w:val="DC1A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1D40526"/>
    <w:multiLevelType w:val="multilevel"/>
    <w:tmpl w:val="845C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B5024E7"/>
    <w:multiLevelType w:val="multilevel"/>
    <w:tmpl w:val="DF04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D8318FC"/>
    <w:multiLevelType w:val="multilevel"/>
    <w:tmpl w:val="6AE43E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75AF1F17"/>
    <w:multiLevelType w:val="multilevel"/>
    <w:tmpl w:val="CE52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C9A7932"/>
    <w:multiLevelType w:val="multilevel"/>
    <w:tmpl w:val="7E0C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lvlOverride w:ilvl="0">
      <w:startOverride w:val="1"/>
    </w:lvlOverride>
  </w:num>
  <w:num w:numId="2">
    <w:abstractNumId w:val="10"/>
    <w:lvlOverride w:ilvl="0">
      <w:startOverride w:val="1"/>
    </w:lvlOverride>
  </w:num>
  <w:num w:numId="3">
    <w:abstractNumId w:val="13"/>
  </w:num>
  <w:num w:numId="4">
    <w:abstractNumId w:val="0"/>
  </w:num>
  <w:num w:numId="5">
    <w:abstractNumId w:val="4"/>
  </w:num>
  <w:num w:numId="6">
    <w:abstractNumId w:val="11"/>
  </w:num>
  <w:num w:numId="7">
    <w:abstractNumId w:val="12"/>
  </w:num>
  <w:num w:numId="8">
    <w:abstractNumId w:val="5"/>
  </w:num>
  <w:num w:numId="9">
    <w:abstractNumId w:val="8"/>
  </w:num>
  <w:num w:numId="10">
    <w:abstractNumId w:val="9"/>
  </w:num>
  <w:num w:numId="11">
    <w:abstractNumId w:val="3"/>
  </w:num>
  <w:num w:numId="12">
    <w:abstractNumId w:val="2"/>
  </w:num>
  <w:num w:numId="13">
    <w:abstractNumId w:val="1"/>
  </w:num>
  <w:num w:numId="14">
    <w:abstractNumId w:val="14"/>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3203EE"/>
    <w:rsid w:val="00071A8D"/>
    <w:rsid w:val="003203EE"/>
    <w:rsid w:val="006B08AF"/>
    <w:rsid w:val="00BD6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BD6713"/>
    <w:rPr>
      <w:rFonts w:ascii="Tahoma" w:hAnsi="Tahoma" w:cs="Tahoma"/>
      <w:sz w:val="16"/>
      <w:szCs w:val="16"/>
    </w:rPr>
  </w:style>
  <w:style w:type="character" w:customStyle="1" w:styleId="BalloonTextChar">
    <w:name w:val="Balloon Text Char"/>
    <w:basedOn w:val="DefaultParagraphFont"/>
    <w:link w:val="BalloonText"/>
    <w:uiPriority w:val="99"/>
    <w:semiHidden/>
    <w:rsid w:val="00BD6713"/>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BD6713"/>
    <w:rPr>
      <w:rFonts w:ascii="Tahoma" w:hAnsi="Tahoma" w:cs="Tahoma"/>
      <w:sz w:val="16"/>
      <w:szCs w:val="16"/>
    </w:rPr>
  </w:style>
  <w:style w:type="character" w:customStyle="1" w:styleId="BalloonTextChar">
    <w:name w:val="Balloon Text Char"/>
    <w:basedOn w:val="DefaultParagraphFont"/>
    <w:link w:val="BalloonText"/>
    <w:uiPriority w:val="99"/>
    <w:semiHidden/>
    <w:rsid w:val="00BD6713"/>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4288">
      <w:marLeft w:val="0"/>
      <w:marRight w:val="0"/>
      <w:marTop w:val="0"/>
      <w:marBottom w:val="0"/>
      <w:divBdr>
        <w:top w:val="none" w:sz="0" w:space="0" w:color="auto"/>
        <w:left w:val="none" w:sz="0" w:space="0" w:color="auto"/>
        <w:bottom w:val="none" w:sz="0" w:space="0" w:color="auto"/>
        <w:right w:val="none" w:sz="0" w:space="0" w:color="auto"/>
      </w:divBdr>
    </w:div>
    <w:div w:id="567961085">
      <w:marLeft w:val="0"/>
      <w:marRight w:val="0"/>
      <w:marTop w:val="0"/>
      <w:marBottom w:val="0"/>
      <w:divBdr>
        <w:top w:val="none" w:sz="0" w:space="0" w:color="auto"/>
        <w:left w:val="none" w:sz="0" w:space="0" w:color="auto"/>
        <w:bottom w:val="none" w:sz="0" w:space="0" w:color="auto"/>
        <w:right w:val="none" w:sz="0" w:space="0" w:color="auto"/>
      </w:divBdr>
    </w:div>
    <w:div w:id="702292714">
      <w:marLeft w:val="0"/>
      <w:marRight w:val="0"/>
      <w:marTop w:val="0"/>
      <w:marBottom w:val="0"/>
      <w:divBdr>
        <w:top w:val="none" w:sz="0" w:space="0" w:color="auto"/>
        <w:left w:val="none" w:sz="0" w:space="0" w:color="auto"/>
        <w:bottom w:val="none" w:sz="0" w:space="0" w:color="auto"/>
        <w:right w:val="none" w:sz="0" w:space="0" w:color="auto"/>
      </w:divBdr>
    </w:div>
    <w:div w:id="734821433">
      <w:marLeft w:val="0"/>
      <w:marRight w:val="0"/>
      <w:marTop w:val="0"/>
      <w:marBottom w:val="0"/>
      <w:divBdr>
        <w:top w:val="none" w:sz="0" w:space="0" w:color="auto"/>
        <w:left w:val="none" w:sz="0" w:space="0" w:color="auto"/>
        <w:bottom w:val="none" w:sz="0" w:space="0" w:color="auto"/>
        <w:right w:val="none" w:sz="0" w:space="0" w:color="auto"/>
      </w:divBdr>
    </w:div>
    <w:div w:id="741148399">
      <w:marLeft w:val="0"/>
      <w:marRight w:val="0"/>
      <w:marTop w:val="0"/>
      <w:marBottom w:val="0"/>
      <w:divBdr>
        <w:top w:val="none" w:sz="0" w:space="0" w:color="auto"/>
        <w:left w:val="none" w:sz="0" w:space="0" w:color="auto"/>
        <w:bottom w:val="none" w:sz="0" w:space="0" w:color="auto"/>
        <w:right w:val="none" w:sz="0" w:space="0" w:color="auto"/>
      </w:divBdr>
    </w:div>
    <w:div w:id="803935646">
      <w:marLeft w:val="0"/>
      <w:marRight w:val="0"/>
      <w:marTop w:val="0"/>
      <w:marBottom w:val="0"/>
      <w:divBdr>
        <w:top w:val="none" w:sz="0" w:space="0" w:color="auto"/>
        <w:left w:val="none" w:sz="0" w:space="0" w:color="auto"/>
        <w:bottom w:val="none" w:sz="0" w:space="0" w:color="auto"/>
        <w:right w:val="none" w:sz="0" w:space="0" w:color="auto"/>
      </w:divBdr>
    </w:div>
    <w:div w:id="876158744">
      <w:marLeft w:val="0"/>
      <w:marRight w:val="0"/>
      <w:marTop w:val="0"/>
      <w:marBottom w:val="0"/>
      <w:divBdr>
        <w:top w:val="none" w:sz="0" w:space="0" w:color="auto"/>
        <w:left w:val="none" w:sz="0" w:space="0" w:color="auto"/>
        <w:bottom w:val="none" w:sz="0" w:space="0" w:color="auto"/>
        <w:right w:val="none" w:sz="0" w:space="0" w:color="auto"/>
      </w:divBdr>
    </w:div>
    <w:div w:id="991327807">
      <w:marLeft w:val="0"/>
      <w:marRight w:val="0"/>
      <w:marTop w:val="0"/>
      <w:marBottom w:val="0"/>
      <w:divBdr>
        <w:top w:val="none" w:sz="0" w:space="0" w:color="auto"/>
        <w:left w:val="none" w:sz="0" w:space="0" w:color="auto"/>
        <w:bottom w:val="none" w:sz="0" w:space="0" w:color="auto"/>
        <w:right w:val="none" w:sz="0" w:space="0" w:color="auto"/>
      </w:divBdr>
    </w:div>
    <w:div w:id="996498906">
      <w:marLeft w:val="0"/>
      <w:marRight w:val="0"/>
      <w:marTop w:val="0"/>
      <w:marBottom w:val="0"/>
      <w:divBdr>
        <w:top w:val="none" w:sz="0" w:space="0" w:color="auto"/>
        <w:left w:val="none" w:sz="0" w:space="0" w:color="auto"/>
        <w:bottom w:val="none" w:sz="0" w:space="0" w:color="auto"/>
        <w:right w:val="none" w:sz="0" w:space="0" w:color="auto"/>
      </w:divBdr>
    </w:div>
    <w:div w:id="1161582748">
      <w:marLeft w:val="0"/>
      <w:marRight w:val="0"/>
      <w:marTop w:val="0"/>
      <w:marBottom w:val="0"/>
      <w:divBdr>
        <w:top w:val="none" w:sz="0" w:space="0" w:color="auto"/>
        <w:left w:val="none" w:sz="0" w:space="0" w:color="auto"/>
        <w:bottom w:val="none" w:sz="0" w:space="0" w:color="auto"/>
        <w:right w:val="none" w:sz="0" w:space="0" w:color="auto"/>
      </w:divBdr>
    </w:div>
    <w:div w:id="1165708507">
      <w:marLeft w:val="0"/>
      <w:marRight w:val="0"/>
      <w:marTop w:val="0"/>
      <w:marBottom w:val="0"/>
      <w:divBdr>
        <w:top w:val="none" w:sz="0" w:space="0" w:color="auto"/>
        <w:left w:val="none" w:sz="0" w:space="0" w:color="auto"/>
        <w:bottom w:val="none" w:sz="0" w:space="0" w:color="auto"/>
        <w:right w:val="none" w:sz="0" w:space="0" w:color="auto"/>
      </w:divBdr>
    </w:div>
    <w:div w:id="1546797764">
      <w:marLeft w:val="0"/>
      <w:marRight w:val="0"/>
      <w:marTop w:val="0"/>
      <w:marBottom w:val="0"/>
      <w:divBdr>
        <w:top w:val="none" w:sz="0" w:space="0" w:color="auto"/>
        <w:left w:val="none" w:sz="0" w:space="0" w:color="auto"/>
        <w:bottom w:val="none" w:sz="0" w:space="0" w:color="auto"/>
        <w:right w:val="none" w:sz="0" w:space="0" w:color="auto"/>
      </w:divBdr>
    </w:div>
    <w:div w:id="1626958554">
      <w:marLeft w:val="0"/>
      <w:marRight w:val="0"/>
      <w:marTop w:val="0"/>
      <w:marBottom w:val="0"/>
      <w:divBdr>
        <w:top w:val="none" w:sz="0" w:space="0" w:color="auto"/>
        <w:left w:val="none" w:sz="0" w:space="0" w:color="auto"/>
        <w:bottom w:val="none" w:sz="0" w:space="0" w:color="auto"/>
        <w:right w:val="none" w:sz="0" w:space="0" w:color="auto"/>
      </w:divBdr>
    </w:div>
    <w:div w:id="1963613552">
      <w:marLeft w:val="0"/>
      <w:marRight w:val="0"/>
      <w:marTop w:val="0"/>
      <w:marBottom w:val="0"/>
      <w:divBdr>
        <w:top w:val="none" w:sz="0" w:space="0" w:color="auto"/>
        <w:left w:val="none" w:sz="0" w:space="0" w:color="auto"/>
        <w:bottom w:val="none" w:sz="0" w:space="0" w:color="auto"/>
        <w:right w:val="none" w:sz="0" w:space="0" w:color="auto"/>
      </w:divBdr>
    </w:div>
    <w:div w:id="206649077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DM/IPET-MDI-I/report/Report_IPETMDI_I_20100503.htm" TargetMode="External"/><Relationship Id="rId13" Type="http://schemas.openxmlformats.org/officeDocument/2006/relationships/hyperlink" Target="http://external.opengeospatial.org/twiki_public/bin/view/MetOceanDWG/MetOceanUseCases"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wmo.int/pages/prog/www/WDM/IPET-MDI-I/report/Report_IPETMDI_I_20100503.htm" TargetMode="External"/><Relationship Id="rId12" Type="http://schemas.openxmlformats.org/officeDocument/2006/relationships/hyperlink" Target="http://inspire.jrc.ec.europa.eu/reports/ImplementingRules/DataSpecifications/D2.6_v3.0.pdf" TargetMode="External"/><Relationship Id="rId17" Type="http://schemas.openxmlformats.org/officeDocument/2006/relationships/image" Target="file:///C:\Users\Jeremy\AppData\Local\Temp\%7bAAE3AB72-4824-4860-A169-A21EB05257BE%7d_files\image001.png" TargetMode="External"/><Relationship Id="rId2" Type="http://schemas.openxmlformats.org/officeDocument/2006/relationships/styles" Target="styles.xml"/><Relationship Id="rId16" Type="http://schemas.openxmlformats.org/officeDocument/2006/relationships/hyperlink" Target="http://en.wikipedia.org/wiki/Fast_Infoset" TargetMode="External"/><Relationship Id="rId1" Type="http://schemas.openxmlformats.org/officeDocument/2006/relationships/numbering" Target="numbering.xml"/><Relationship Id="rId6" Type="http://schemas.openxmlformats.org/officeDocument/2006/relationships/hyperlink" Target="http://www.wmo.int/pages/prog/www/WIS/wiswiki/tiki-download_wiki_attachment.php?attId=151&amp;download=y" TargetMode="External"/><Relationship Id="rId11" Type="http://schemas.openxmlformats.org/officeDocument/2006/relationships/hyperlink" Target="http://external.opengeospatial.org/twiki_public/bin/view/MetOceanDWG/WebHome" TargetMode="External"/><Relationship Id="rId5" Type="http://schemas.openxmlformats.org/officeDocument/2006/relationships/webSettings" Target="webSettings.xml"/><Relationship Id="rId15" Type="http://schemas.openxmlformats.org/officeDocument/2006/relationships/hyperlink" Target="http://www.w3.org/XML/EXI/" TargetMode="External"/><Relationship Id="rId10" Type="http://schemas.openxmlformats.org/officeDocument/2006/relationships/hyperlink" Target="http://www.opengeospatial.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urfacetemperatures.org" TargetMode="External"/><Relationship Id="rId14" Type="http://schemas.openxmlformats.org/officeDocument/2006/relationships/hyperlink" Target="http://www.wmo.int/pages/prog/www/ISS/Meetings/IPET-DRC_Brasilia2010/Documents/METG20%20IP08%20-%20ICAO%20-%20Update%20on%20OPMET%20migration%20to%20TDC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5974</Words>
  <Characters>34055</Characters>
  <Application>Microsoft Office Word</Application>
  <DocSecurity>0</DocSecurity>
  <Lines>283</Lines>
  <Paragraphs>79</Paragraphs>
  <ScaleCrop>false</ScaleCrop>
  <Company/>
  <LinksUpToDate>false</LinksUpToDate>
  <CharactersWithSpaces>39950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Tandy</dc:creator>
  <cp:keywords/>
  <dc:description/>
  <cp:lastModifiedBy>Jeremy Tandy</cp:lastModifiedBy>
  <cp:revision>4</cp:revision>
  <dcterms:created xsi:type="dcterms:W3CDTF">2010-09-27T05:21:00Z</dcterms:created>
  <dcterms:modified xsi:type="dcterms:W3CDTF">2010-09-27T05:35:00Z</dcterms:modified>
</cp:coreProperties>
</file>