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4C3AF7">
        <w:trPr>
          <w:cantSplit/>
          <w:trHeight w:val="1438"/>
        </w:trPr>
        <w:tc>
          <w:tcPr>
            <w:tcW w:w="4548" w:type="dxa"/>
            <w:vAlign w:val="center"/>
          </w:tcPr>
          <w:p w:rsidR="00701FDB" w:rsidRPr="004C3AF7" w:rsidRDefault="00701FDB" w:rsidP="00E92931">
            <w:pPr>
              <w:shd w:val="clear" w:color="auto" w:fill="FFFFFF"/>
              <w:spacing w:after="180" w:afterAutospacing="0"/>
              <w:jc w:val="center"/>
              <w:outlineLvl w:val="1"/>
              <w:rPr>
                <w:b/>
                <w:bCs/>
                <w:sz w:val="22"/>
                <w:szCs w:val="22"/>
              </w:rPr>
            </w:pPr>
            <w:r w:rsidRPr="004C3AF7">
              <w:rPr>
                <w:b/>
                <w:bCs/>
                <w:sz w:val="22"/>
                <w:szCs w:val="22"/>
              </w:rPr>
              <w:t>WORLD WEATHER WATCH</w:t>
            </w:r>
          </w:p>
          <w:p w:rsidR="00701FDB" w:rsidRPr="004C3AF7" w:rsidRDefault="00701FDB" w:rsidP="00E92931">
            <w:pPr>
              <w:shd w:val="clear" w:color="auto" w:fill="FFFFFF"/>
              <w:spacing w:before="60" w:beforeAutospacing="0" w:after="120" w:afterAutospacing="0"/>
              <w:jc w:val="center"/>
              <w:outlineLvl w:val="1"/>
              <w:rPr>
                <w:b/>
                <w:bCs/>
                <w:sz w:val="22"/>
                <w:szCs w:val="22"/>
              </w:rPr>
            </w:pPr>
            <w:r w:rsidRPr="004C3AF7">
              <w:rPr>
                <w:b/>
                <w:bCs/>
                <w:sz w:val="22"/>
                <w:szCs w:val="22"/>
              </w:rPr>
              <w:t>COMMISSION FOR BASIC SYSTEMS</w:t>
            </w:r>
          </w:p>
        </w:tc>
        <w:bookmarkStart w:id="0" w:name="ditulogo"/>
        <w:bookmarkEnd w:id="0"/>
        <w:tc>
          <w:tcPr>
            <w:tcW w:w="5483" w:type="dxa"/>
            <w:gridSpan w:val="4"/>
            <w:tcMar>
              <w:left w:w="6" w:type="dxa"/>
              <w:right w:w="6" w:type="dxa"/>
            </w:tcMar>
          </w:tcPr>
          <w:p w:rsidR="00701FDB" w:rsidRPr="004C3AF7" w:rsidRDefault="00E33512" w:rsidP="00E33512">
            <w:pPr>
              <w:shd w:val="solid" w:color="FFFFFF" w:fill="FFFFFF"/>
              <w:spacing w:before="240" w:beforeAutospacing="0" w:after="0" w:afterAutospacing="0" w:line="240" w:lineRule="atLeast"/>
              <w:rPr>
                <w:sz w:val="22"/>
                <w:szCs w:val="22"/>
              </w:rPr>
            </w:pPr>
            <w:r w:rsidRPr="004C3AF7">
              <w:rPr>
                <w:sz w:val="22"/>
                <w:szCs w:val="22"/>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5pt;height:55.7pt" o:ole="">
                  <v:imagedata r:id="rId8" o:title=""/>
                </v:shape>
                <o:OLEObject Type="Embed" ProgID="PBrush" ShapeID="_x0000_i1025" DrawAspect="Content" ObjectID="_1504329887" r:id="rId9"/>
              </w:object>
            </w:r>
          </w:p>
        </w:tc>
      </w:tr>
      <w:tr w:rsidR="00701FDB" w:rsidRPr="004C3AF7">
        <w:trPr>
          <w:cantSplit/>
        </w:trPr>
        <w:tc>
          <w:tcPr>
            <w:tcW w:w="6228" w:type="dxa"/>
            <w:gridSpan w:val="2"/>
            <w:tcBorders>
              <w:top w:val="single" w:sz="12" w:space="0" w:color="auto"/>
            </w:tcBorders>
          </w:tcPr>
          <w:p w:rsidR="00701FDB" w:rsidRPr="004C3AF7" w:rsidRDefault="00701FDB" w:rsidP="00E33512">
            <w:pPr>
              <w:shd w:val="solid" w:color="FFFFFF" w:fill="FFFFFF"/>
              <w:spacing w:after="48"/>
              <w:rPr>
                <w:sz w:val="22"/>
                <w:szCs w:val="22"/>
              </w:rPr>
            </w:pPr>
          </w:p>
        </w:tc>
        <w:tc>
          <w:tcPr>
            <w:tcW w:w="3803" w:type="dxa"/>
            <w:gridSpan w:val="3"/>
            <w:tcBorders>
              <w:top w:val="single" w:sz="12" w:space="0" w:color="auto"/>
            </w:tcBorders>
          </w:tcPr>
          <w:p w:rsidR="00701FDB" w:rsidRPr="004C3AF7" w:rsidRDefault="00701FDB" w:rsidP="00E33512">
            <w:pPr>
              <w:shd w:val="solid" w:color="FFFFFF" w:fill="FFFFFF"/>
              <w:spacing w:after="48" w:line="240" w:lineRule="atLeast"/>
              <w:rPr>
                <w:sz w:val="22"/>
                <w:szCs w:val="22"/>
              </w:rPr>
            </w:pPr>
          </w:p>
        </w:tc>
      </w:tr>
      <w:tr w:rsidR="00682FE9" w:rsidRPr="004C3AF7">
        <w:trPr>
          <w:cantSplit/>
          <w:trHeight w:val="83"/>
        </w:trPr>
        <w:tc>
          <w:tcPr>
            <w:tcW w:w="6228" w:type="dxa"/>
            <w:gridSpan w:val="2"/>
            <w:vMerge w:val="restart"/>
          </w:tcPr>
          <w:p w:rsidR="00682FE9" w:rsidRPr="004C3AF7" w:rsidRDefault="00872AB2" w:rsidP="00872AB2">
            <w:pPr>
              <w:shd w:val="solid" w:color="FFFFFF" w:fill="FFFFFF"/>
              <w:spacing w:after="240"/>
              <w:rPr>
                <w:b/>
                <w:sz w:val="22"/>
                <w:szCs w:val="22"/>
              </w:rPr>
            </w:pPr>
            <w:bookmarkStart w:id="1" w:name="recibido"/>
            <w:bookmarkStart w:id="2" w:name="dnum" w:colFirst="1" w:colLast="1"/>
            <w:bookmarkEnd w:id="1"/>
            <w:r w:rsidRPr="004C3AF7">
              <w:rPr>
                <w:b/>
                <w:sz w:val="22"/>
                <w:szCs w:val="22"/>
              </w:rPr>
              <w:t xml:space="preserve">Steering Group on Radio Frequency </w:t>
            </w:r>
            <w:r w:rsidRPr="004C3AF7">
              <w:rPr>
                <w:b/>
                <w:sz w:val="22"/>
                <w:szCs w:val="22"/>
              </w:rPr>
              <w:br/>
              <w:t>Coordination (SG-RFC)</w:t>
            </w:r>
          </w:p>
          <w:p w:rsidR="00872AB2" w:rsidRPr="004C3AF7" w:rsidRDefault="006F650D" w:rsidP="006F650D">
            <w:pPr>
              <w:shd w:val="solid" w:color="FFFFFF" w:fill="FFFFFF"/>
              <w:spacing w:after="240"/>
              <w:rPr>
                <w:sz w:val="22"/>
                <w:szCs w:val="22"/>
              </w:rPr>
            </w:pPr>
            <w:r w:rsidRPr="004C3AF7">
              <w:rPr>
                <w:b/>
                <w:sz w:val="22"/>
                <w:szCs w:val="22"/>
              </w:rPr>
              <w:t>Boulder, Colorado. USA</w:t>
            </w:r>
            <w:r w:rsidR="00872AB2" w:rsidRPr="004C3AF7">
              <w:rPr>
                <w:b/>
                <w:sz w:val="22"/>
                <w:szCs w:val="22"/>
              </w:rPr>
              <w:t xml:space="preserve">. </w:t>
            </w:r>
            <w:r w:rsidRPr="004C3AF7">
              <w:rPr>
                <w:b/>
                <w:sz w:val="22"/>
                <w:szCs w:val="22"/>
              </w:rPr>
              <w:t>11-13</w:t>
            </w:r>
            <w:r w:rsidR="00872AB2" w:rsidRPr="004C3AF7">
              <w:rPr>
                <w:b/>
                <w:sz w:val="22"/>
                <w:szCs w:val="22"/>
              </w:rPr>
              <w:t xml:space="preserve"> March 2014.</w:t>
            </w:r>
          </w:p>
        </w:tc>
        <w:tc>
          <w:tcPr>
            <w:tcW w:w="3803" w:type="dxa"/>
            <w:gridSpan w:val="3"/>
          </w:tcPr>
          <w:p w:rsidR="00682FE9" w:rsidRPr="004C3AF7" w:rsidRDefault="00682FE9" w:rsidP="008018FC">
            <w:pPr>
              <w:shd w:val="solid" w:color="FFFFFF" w:fill="FFFFFF"/>
              <w:spacing w:line="240" w:lineRule="atLeast"/>
              <w:rPr>
                <w:sz w:val="22"/>
                <w:szCs w:val="22"/>
                <w:lang w:eastAsia="zh-CN"/>
              </w:rPr>
            </w:pPr>
            <w:r w:rsidRPr="004C3AF7">
              <w:rPr>
                <w:b/>
                <w:bCs/>
                <w:sz w:val="22"/>
                <w:szCs w:val="22"/>
                <w:lang w:eastAsia="zh-CN"/>
              </w:rPr>
              <w:t>Document SG-RFC/201</w:t>
            </w:r>
            <w:r w:rsidR="008018FC">
              <w:rPr>
                <w:b/>
                <w:bCs/>
                <w:sz w:val="22"/>
                <w:szCs w:val="22"/>
                <w:lang w:eastAsia="zh-CN"/>
              </w:rPr>
              <w:t>5</w:t>
            </w:r>
            <w:r w:rsidRPr="004C3AF7">
              <w:rPr>
                <w:b/>
                <w:bCs/>
                <w:sz w:val="22"/>
                <w:szCs w:val="22"/>
                <w:lang w:eastAsia="zh-CN"/>
              </w:rPr>
              <w:t>-</w:t>
            </w:r>
            <w:r w:rsidR="008018FC">
              <w:rPr>
                <w:b/>
                <w:bCs/>
                <w:sz w:val="22"/>
                <w:szCs w:val="22"/>
                <w:lang w:eastAsia="zh-CN"/>
              </w:rPr>
              <w:t>Doc27</w:t>
            </w:r>
          </w:p>
        </w:tc>
      </w:tr>
      <w:tr w:rsidR="00682FE9" w:rsidRPr="004C3AF7">
        <w:trPr>
          <w:cantSplit/>
          <w:trHeight w:val="81"/>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8018FC" w:rsidP="00872AB2">
            <w:pPr>
              <w:shd w:val="solid" w:color="FFFFFF" w:fill="FFFFFF"/>
              <w:spacing w:before="0" w:line="240" w:lineRule="atLeast"/>
              <w:rPr>
                <w:sz w:val="22"/>
                <w:szCs w:val="22"/>
                <w:lang w:eastAsia="zh-CN"/>
              </w:rPr>
            </w:pPr>
            <w:r>
              <w:rPr>
                <w:b/>
                <w:bCs/>
                <w:sz w:val="22"/>
                <w:szCs w:val="22"/>
                <w:lang w:eastAsia="zh-CN"/>
              </w:rPr>
              <w:t>21 September 2105</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sz w:val="22"/>
                <w:szCs w:val="22"/>
                <w:lang w:eastAsia="zh-CN"/>
              </w:rPr>
            </w:pPr>
            <w:r w:rsidRPr="004C3AF7">
              <w:rPr>
                <w:rFonts w:eastAsia="SimSun"/>
                <w:b/>
                <w:bCs/>
                <w:sz w:val="22"/>
                <w:szCs w:val="22"/>
                <w:lang w:eastAsia="zh-CN"/>
              </w:rPr>
              <w:t>English only</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b/>
                <w:bCs/>
                <w:sz w:val="22"/>
                <w:szCs w:val="22"/>
                <w:lang w:eastAsia="zh-CN"/>
              </w:rPr>
            </w:pP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2880" w:type="dxa"/>
            <w:tcBorders>
              <w:right w:val="single" w:sz="8" w:space="0" w:color="auto"/>
            </w:tcBorders>
            <w:tcMar>
              <w:top w:w="11" w:type="dxa"/>
              <w:bottom w:w="11" w:type="dxa"/>
            </w:tcMar>
            <w:vAlign w:val="center"/>
          </w:tcPr>
          <w:p w:rsidR="00682FE9" w:rsidRPr="004C3AF7" w:rsidRDefault="00682FE9" w:rsidP="00E33512">
            <w:pPr>
              <w:shd w:val="solid" w:color="FFFFFF" w:fill="FFFFFF"/>
              <w:spacing w:before="0" w:line="240" w:lineRule="atLeast"/>
              <w:rPr>
                <w:rFonts w:eastAsia="SimSun"/>
                <w:b/>
                <w:bCs/>
                <w:sz w:val="22"/>
                <w:szCs w:val="22"/>
                <w:lang w:eastAsia="zh-CN"/>
              </w:rPr>
            </w:pPr>
            <w:r w:rsidRPr="004C3AF7">
              <w:rPr>
                <w:rFonts w:eastAsia="SimSun"/>
                <w:b/>
                <w:bCs/>
                <w:sz w:val="22"/>
                <w:szCs w:val="22"/>
                <w:lang w:eastAsia="zh-CN"/>
              </w:rPr>
              <w:t>Restricted access required? (Y/N)</w:t>
            </w:r>
            <w:r w:rsidRPr="004C3AF7">
              <w:rPr>
                <w:rStyle w:val="FootnoteReference"/>
                <w:rFonts w:eastAsia="SimSun"/>
                <w:b/>
                <w:bCs/>
                <w:sz w:val="22"/>
                <w:szCs w:val="22"/>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r w:rsidRPr="004C3AF7">
              <w:rPr>
                <w:rFonts w:eastAsia="SimSun"/>
                <w:b/>
                <w:bCs/>
                <w:sz w:val="22"/>
                <w:szCs w:val="22"/>
                <w:highlight w:val="yellow"/>
                <w:lang w:eastAsia="zh-CN"/>
              </w:rPr>
              <w:t>N</w:t>
            </w:r>
          </w:p>
        </w:tc>
        <w:tc>
          <w:tcPr>
            <w:tcW w:w="443" w:type="dxa"/>
            <w:tcBorders>
              <w:left w:val="single" w:sz="8" w:space="0" w:color="auto"/>
            </w:tcBorders>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p>
        </w:tc>
      </w:tr>
      <w:tr w:rsidR="00701FDB" w:rsidRPr="004C3AF7">
        <w:trPr>
          <w:cantSplit/>
        </w:trPr>
        <w:tc>
          <w:tcPr>
            <w:tcW w:w="10031" w:type="dxa"/>
            <w:gridSpan w:val="5"/>
            <w:noWrap/>
            <w:tcMar>
              <w:left w:w="6" w:type="dxa"/>
              <w:right w:w="6" w:type="dxa"/>
            </w:tcMar>
          </w:tcPr>
          <w:p w:rsidR="00701FDB" w:rsidRPr="004C3AF7" w:rsidRDefault="00701FDB" w:rsidP="00832FA4">
            <w:pPr>
              <w:pStyle w:val="Source"/>
              <w:rPr>
                <w:rFonts w:ascii="Times New Roman" w:hAnsi="Times New Roman"/>
                <w:sz w:val="22"/>
                <w:szCs w:val="22"/>
                <w:lang w:eastAsia="zh-CN"/>
              </w:rPr>
            </w:pPr>
            <w:bookmarkStart w:id="3" w:name="dsource" w:colFirst="0" w:colLast="0"/>
            <w:bookmarkEnd w:id="2"/>
            <w:r w:rsidRPr="004C3AF7">
              <w:rPr>
                <w:rFonts w:ascii="Times New Roman" w:hAnsi="Times New Roman"/>
                <w:sz w:val="22"/>
                <w:szCs w:val="22"/>
              </w:rPr>
              <w:t>STEERING GROUP ON RADIO FREQUENCY COORDINATION (SG-RFC)</w:t>
            </w:r>
          </w:p>
        </w:tc>
      </w:tr>
      <w:tr w:rsidR="00B1454C" w:rsidRPr="004C3AF7">
        <w:trPr>
          <w:cantSplit/>
        </w:trPr>
        <w:tc>
          <w:tcPr>
            <w:tcW w:w="10031" w:type="dxa"/>
            <w:gridSpan w:val="5"/>
          </w:tcPr>
          <w:p w:rsidR="00B1454C" w:rsidRPr="004C3AF7" w:rsidRDefault="00FC7EB3" w:rsidP="00781BC4">
            <w:pPr>
              <w:pStyle w:val="RepNo"/>
              <w:rPr>
                <w:b/>
                <w:bCs/>
                <w:sz w:val="22"/>
                <w:szCs w:val="22"/>
                <w:lang w:eastAsia="zh-CN"/>
              </w:rPr>
            </w:pPr>
            <w:bookmarkStart w:id="4" w:name="drec" w:colFirst="0" w:colLast="0"/>
            <w:bookmarkEnd w:id="3"/>
            <w:r w:rsidRPr="004C3AF7">
              <w:rPr>
                <w:sz w:val="22"/>
                <w:szCs w:val="22"/>
                <w:lang w:val="en-US" w:eastAsia="zh-CN"/>
              </w:rPr>
              <w:t xml:space="preserve">SG-RFC Focal Point </w:t>
            </w:r>
            <w:r w:rsidR="00781BC4" w:rsidRPr="004C3AF7">
              <w:rPr>
                <w:sz w:val="22"/>
                <w:szCs w:val="22"/>
                <w:lang w:val="en-US" w:eastAsia="zh-CN"/>
              </w:rPr>
              <w:t xml:space="preserve">IN THE </w:t>
            </w:r>
            <w:r w:rsidR="007566C2" w:rsidRPr="004C3AF7">
              <w:rPr>
                <w:sz w:val="22"/>
                <w:szCs w:val="22"/>
                <w:lang w:val="en" w:eastAsia="zh-CN"/>
              </w:rPr>
              <w:t>European Conference of Postal and Telecommunication Administrations (CEPT)</w:t>
            </w:r>
          </w:p>
        </w:tc>
      </w:tr>
      <w:tr w:rsidR="00B1454C" w:rsidRPr="004C3AF7">
        <w:trPr>
          <w:cantSplit/>
        </w:trPr>
        <w:tc>
          <w:tcPr>
            <w:tcW w:w="10031" w:type="dxa"/>
            <w:gridSpan w:val="5"/>
          </w:tcPr>
          <w:p w:rsidR="004F0476" w:rsidRPr="004C3AF7" w:rsidRDefault="00FC7EB3" w:rsidP="007566C2">
            <w:pPr>
              <w:pStyle w:val="Reptitle"/>
              <w:rPr>
                <w:rFonts w:ascii="Times New Roman" w:hAnsi="Times New Roman" w:cs="Times New Roman"/>
                <w:bCs w:val="0"/>
                <w:sz w:val="22"/>
                <w:szCs w:val="22"/>
              </w:rPr>
            </w:pPr>
            <w:bookmarkStart w:id="5" w:name="dtitle1" w:colFirst="0" w:colLast="0"/>
            <w:bookmarkEnd w:id="4"/>
            <w:r w:rsidRPr="004C3AF7">
              <w:rPr>
                <w:rFonts w:ascii="Times New Roman" w:hAnsi="Times New Roman" w:cs="Times New Roman"/>
                <w:bCs w:val="0"/>
                <w:sz w:val="22"/>
                <w:szCs w:val="22"/>
              </w:rPr>
              <w:t xml:space="preserve">Report on </w:t>
            </w:r>
            <w:r w:rsidR="007566C2" w:rsidRPr="004C3AF7">
              <w:rPr>
                <w:rFonts w:ascii="Times New Roman" w:hAnsi="Times New Roman" w:cs="Times New Roman"/>
                <w:bCs w:val="0"/>
                <w:sz w:val="22"/>
                <w:szCs w:val="22"/>
              </w:rPr>
              <w:t>CEPT</w:t>
            </w:r>
            <w:r w:rsidR="00781BC4" w:rsidRPr="004C3AF7">
              <w:rPr>
                <w:rFonts w:ascii="Times New Roman" w:hAnsi="Times New Roman" w:cs="Times New Roman"/>
                <w:bCs w:val="0"/>
                <w:sz w:val="22"/>
                <w:szCs w:val="22"/>
              </w:rPr>
              <w:t xml:space="preserve"> </w:t>
            </w:r>
            <w:r w:rsidR="007566C2" w:rsidRPr="004C3AF7">
              <w:rPr>
                <w:rFonts w:ascii="Times New Roman" w:hAnsi="Times New Roman" w:cs="Times New Roman"/>
                <w:bCs w:val="0"/>
                <w:sz w:val="22"/>
                <w:szCs w:val="22"/>
              </w:rPr>
              <w:t>Preliminary Positions</w:t>
            </w:r>
            <w:r w:rsidR="00781BC4" w:rsidRPr="004C3AF7">
              <w:rPr>
                <w:rFonts w:ascii="Times New Roman" w:hAnsi="Times New Roman" w:cs="Times New Roman"/>
                <w:bCs w:val="0"/>
                <w:sz w:val="22"/>
                <w:szCs w:val="22"/>
              </w:rPr>
              <w:t xml:space="preserve"> on WRC-15 Agenda Items</w:t>
            </w:r>
            <w:r w:rsidR="003D38B9" w:rsidRPr="004C3AF7">
              <w:rPr>
                <w:rFonts w:ascii="Times New Roman" w:hAnsi="Times New Roman" w:cs="Times New Roman"/>
                <w:bCs w:val="0"/>
                <w:sz w:val="22"/>
                <w:szCs w:val="22"/>
              </w:rPr>
              <w:t xml:space="preserve"> </w:t>
            </w:r>
          </w:p>
          <w:p w:rsidR="00B1454C" w:rsidRPr="004C3AF7" w:rsidRDefault="003D38B9" w:rsidP="007566C2">
            <w:pPr>
              <w:pStyle w:val="Reptitle"/>
              <w:rPr>
                <w:rFonts w:ascii="Times New Roman" w:hAnsi="Times New Roman" w:cs="Times New Roman"/>
                <w:bCs w:val="0"/>
                <w:sz w:val="22"/>
                <w:szCs w:val="22"/>
                <w:lang w:eastAsia="zh-CN"/>
              </w:rPr>
            </w:pPr>
            <w:r w:rsidRPr="004C3AF7">
              <w:rPr>
                <w:rFonts w:ascii="Times New Roman" w:hAnsi="Times New Roman" w:cs="Times New Roman"/>
                <w:bCs w:val="0"/>
                <w:sz w:val="22"/>
                <w:szCs w:val="22"/>
              </w:rPr>
              <w:t xml:space="preserve">of WMO </w:t>
            </w:r>
            <w:r w:rsidR="004F0476" w:rsidRPr="004C3AF7">
              <w:rPr>
                <w:rFonts w:ascii="Times New Roman" w:hAnsi="Times New Roman" w:cs="Times New Roman"/>
                <w:bCs w:val="0"/>
                <w:sz w:val="22"/>
                <w:szCs w:val="22"/>
              </w:rPr>
              <w:t xml:space="preserve">prime </w:t>
            </w:r>
            <w:r w:rsidRPr="004C3AF7">
              <w:rPr>
                <w:rFonts w:ascii="Times New Roman" w:hAnsi="Times New Roman" w:cs="Times New Roman"/>
                <w:bCs w:val="0"/>
                <w:sz w:val="22"/>
                <w:szCs w:val="22"/>
              </w:rPr>
              <w:t>Interest</w:t>
            </w:r>
          </w:p>
        </w:tc>
      </w:tr>
      <w:bookmarkEnd w:id="5"/>
    </w:tbl>
    <w:p w:rsidR="00B1454C" w:rsidRPr="004C3AF7" w:rsidRDefault="00B1454C" w:rsidP="00B1454C">
      <w:pPr>
        <w:shd w:val="clear" w:color="auto" w:fill="FFFFFF"/>
        <w:spacing w:before="0" w:beforeAutospacing="0" w:after="0" w:afterAutospacing="0"/>
        <w:jc w:val="center"/>
        <w:outlineLvl w:val="1"/>
        <w:rPr>
          <w:b/>
          <w:bCs/>
          <w:sz w:val="22"/>
          <w:szCs w:val="22"/>
        </w:rPr>
      </w:pPr>
    </w:p>
    <w:p w:rsidR="00B1454C" w:rsidRPr="004C3AF7" w:rsidRDefault="00C33900" w:rsidP="00A530FD">
      <w:pPr>
        <w:rPr>
          <w:sz w:val="22"/>
          <w:szCs w:val="22"/>
        </w:rPr>
      </w:pPr>
      <w:r w:rsidRPr="004C3AF7">
        <w:rPr>
          <w:b/>
          <w:bCs/>
          <w:sz w:val="22"/>
          <w:szCs w:val="22"/>
          <w:u w:val="single"/>
        </w:rPr>
        <w:t xml:space="preserve">1. </w:t>
      </w:r>
      <w:r w:rsidR="00B1454C" w:rsidRPr="004C3AF7">
        <w:rPr>
          <w:b/>
          <w:bCs/>
          <w:sz w:val="22"/>
          <w:szCs w:val="22"/>
          <w:u w:val="single"/>
        </w:rPr>
        <w:t>Introduction</w:t>
      </w:r>
    </w:p>
    <w:p w:rsidR="00E70B8B" w:rsidRPr="004C3AF7" w:rsidRDefault="00412162" w:rsidP="00412162">
      <w:pPr>
        <w:rPr>
          <w:sz w:val="22"/>
          <w:szCs w:val="22"/>
        </w:rPr>
      </w:pPr>
      <w:r w:rsidRPr="004C3AF7">
        <w:rPr>
          <w:sz w:val="22"/>
          <w:szCs w:val="22"/>
        </w:rPr>
        <w:t xml:space="preserve">The </w:t>
      </w:r>
      <w:r w:rsidR="00023E3C" w:rsidRPr="004C3AF7">
        <w:rPr>
          <w:sz w:val="22"/>
          <w:szCs w:val="22"/>
        </w:rPr>
        <w:t>eighth</w:t>
      </w:r>
      <w:r w:rsidRPr="004C3AF7">
        <w:rPr>
          <w:sz w:val="22"/>
          <w:szCs w:val="22"/>
        </w:rPr>
        <w:t xml:space="preserve"> </w:t>
      </w:r>
      <w:r w:rsidR="00023E3C" w:rsidRPr="004C3AF7">
        <w:rPr>
          <w:sz w:val="22"/>
          <w:szCs w:val="22"/>
        </w:rPr>
        <w:t xml:space="preserve">and final </w:t>
      </w:r>
      <w:r w:rsidRPr="004C3AF7">
        <w:rPr>
          <w:sz w:val="22"/>
          <w:szCs w:val="22"/>
        </w:rPr>
        <w:t xml:space="preserve">meeting of </w:t>
      </w:r>
      <w:r w:rsidR="007566C2" w:rsidRPr="004C3AF7">
        <w:rPr>
          <w:sz w:val="22"/>
          <w:szCs w:val="22"/>
        </w:rPr>
        <w:t xml:space="preserve">the CEPT </w:t>
      </w:r>
      <w:r w:rsidRPr="004C3AF7">
        <w:rPr>
          <w:sz w:val="22"/>
          <w:szCs w:val="22"/>
        </w:rPr>
        <w:t xml:space="preserve">Conference Preparatory Group </w:t>
      </w:r>
      <w:r w:rsidR="007566C2" w:rsidRPr="004C3AF7">
        <w:rPr>
          <w:sz w:val="22"/>
          <w:szCs w:val="22"/>
        </w:rPr>
        <w:t xml:space="preserve">(CPG) </w:t>
      </w:r>
      <w:r w:rsidRPr="004C3AF7">
        <w:rPr>
          <w:sz w:val="22"/>
          <w:szCs w:val="22"/>
        </w:rPr>
        <w:t>for WRC-15</w:t>
      </w:r>
      <w:r w:rsidR="0097015B" w:rsidRPr="004C3AF7">
        <w:rPr>
          <w:sz w:val="22"/>
          <w:szCs w:val="22"/>
        </w:rPr>
        <w:t xml:space="preserve"> </w:t>
      </w:r>
      <w:r w:rsidRPr="004C3AF7">
        <w:rPr>
          <w:sz w:val="22"/>
          <w:szCs w:val="22"/>
        </w:rPr>
        <w:t xml:space="preserve">was held </w:t>
      </w:r>
      <w:r w:rsidR="00023E3C" w:rsidRPr="004C3AF7">
        <w:rPr>
          <w:sz w:val="22"/>
          <w:szCs w:val="22"/>
        </w:rPr>
        <w:t>14-18 September 2015</w:t>
      </w:r>
      <w:r w:rsidR="007566C2" w:rsidRPr="004C3AF7">
        <w:rPr>
          <w:sz w:val="22"/>
          <w:szCs w:val="22"/>
        </w:rPr>
        <w:t xml:space="preserve"> </w:t>
      </w:r>
      <w:r w:rsidRPr="004C3AF7">
        <w:rPr>
          <w:sz w:val="22"/>
          <w:szCs w:val="22"/>
        </w:rPr>
        <w:t xml:space="preserve">in </w:t>
      </w:r>
      <w:r w:rsidR="00023E3C" w:rsidRPr="004C3AF7">
        <w:rPr>
          <w:sz w:val="22"/>
          <w:szCs w:val="22"/>
        </w:rPr>
        <w:t>Bergen, Norway</w:t>
      </w:r>
      <w:r w:rsidRPr="004C3AF7">
        <w:rPr>
          <w:sz w:val="22"/>
          <w:szCs w:val="22"/>
        </w:rPr>
        <w:t xml:space="preserve">. </w:t>
      </w:r>
    </w:p>
    <w:p w:rsidR="00E70B8B" w:rsidRPr="004C3AF7" w:rsidRDefault="00023E3C" w:rsidP="00412162">
      <w:pPr>
        <w:rPr>
          <w:sz w:val="22"/>
          <w:szCs w:val="22"/>
        </w:rPr>
      </w:pPr>
      <w:r w:rsidRPr="004C3AF7">
        <w:rPr>
          <w:sz w:val="22"/>
          <w:szCs w:val="22"/>
        </w:rPr>
        <w:t xml:space="preserve">Final decision on various WTC-15 agenda items were made and </w:t>
      </w:r>
      <w:r w:rsidR="00D81D79">
        <w:rPr>
          <w:sz w:val="22"/>
          <w:szCs w:val="22"/>
        </w:rPr>
        <w:t>t</w:t>
      </w:r>
      <w:r w:rsidR="00B1445B" w:rsidRPr="004C3AF7">
        <w:rPr>
          <w:sz w:val="22"/>
          <w:szCs w:val="22"/>
        </w:rPr>
        <w:t xml:space="preserve">he attached table outlines the CEPT preliminary position </w:t>
      </w:r>
      <w:r w:rsidRPr="004C3AF7">
        <w:rPr>
          <w:sz w:val="22"/>
          <w:szCs w:val="22"/>
        </w:rPr>
        <w:t>for agenda items of</w:t>
      </w:r>
      <w:r w:rsidR="00B85962" w:rsidRPr="004C3AF7">
        <w:rPr>
          <w:sz w:val="22"/>
          <w:szCs w:val="22"/>
        </w:rPr>
        <w:t xml:space="preserve"> </w:t>
      </w:r>
      <w:r w:rsidR="00D81D79">
        <w:rPr>
          <w:sz w:val="22"/>
          <w:szCs w:val="22"/>
        </w:rPr>
        <w:t xml:space="preserve">prime </w:t>
      </w:r>
      <w:r w:rsidR="00B85962" w:rsidRPr="004C3AF7">
        <w:rPr>
          <w:sz w:val="22"/>
          <w:szCs w:val="22"/>
        </w:rPr>
        <w:t>in</w:t>
      </w:r>
      <w:r w:rsidR="00AA5121" w:rsidRPr="004C3AF7">
        <w:rPr>
          <w:sz w:val="22"/>
          <w:szCs w:val="22"/>
        </w:rPr>
        <w:t xml:space="preserve">terest to WMO. </w:t>
      </w:r>
    </w:p>
    <w:p w:rsidR="00412162" w:rsidRPr="004C3AF7" w:rsidRDefault="00023E3C" w:rsidP="00412162">
      <w:pPr>
        <w:rPr>
          <w:sz w:val="22"/>
          <w:szCs w:val="22"/>
        </w:rPr>
      </w:pPr>
      <w:r w:rsidRPr="004C3AF7">
        <w:rPr>
          <w:sz w:val="22"/>
          <w:szCs w:val="22"/>
        </w:rPr>
        <w:t>Overall, thanks to the involvement of EUMETNET, EUMETSAT and ESA within the CEPT process, most of the European Common Proposals (ECPs) that are presented to WRC-15 are consistent with WMO positions.</w:t>
      </w:r>
    </w:p>
    <w:p w:rsidR="005D6572" w:rsidRPr="004C3AF7" w:rsidRDefault="00C33900" w:rsidP="00A530FD">
      <w:pPr>
        <w:rPr>
          <w:bCs/>
          <w:sz w:val="22"/>
          <w:szCs w:val="22"/>
        </w:rPr>
      </w:pPr>
      <w:r w:rsidRPr="004C3AF7">
        <w:rPr>
          <w:b/>
          <w:bCs/>
          <w:sz w:val="22"/>
          <w:szCs w:val="22"/>
          <w:u w:val="single"/>
        </w:rPr>
        <w:t>2</w:t>
      </w:r>
      <w:r w:rsidR="00A530FD" w:rsidRPr="004C3AF7">
        <w:rPr>
          <w:b/>
          <w:bCs/>
          <w:sz w:val="22"/>
          <w:szCs w:val="22"/>
          <w:u w:val="single"/>
        </w:rPr>
        <w:t>. Action (by SG-RFC) Proposed</w:t>
      </w:r>
      <w:r w:rsidR="00A530FD" w:rsidRPr="004C3AF7">
        <w:rPr>
          <w:bCs/>
          <w:i/>
          <w:sz w:val="22"/>
          <w:szCs w:val="22"/>
        </w:rPr>
        <w:t xml:space="preserve"> </w:t>
      </w:r>
    </w:p>
    <w:p w:rsidR="00A530FD" w:rsidRPr="004C3AF7" w:rsidRDefault="001B10D7" w:rsidP="00A530FD">
      <w:pPr>
        <w:rPr>
          <w:sz w:val="22"/>
          <w:szCs w:val="22"/>
        </w:rPr>
      </w:pPr>
      <w:r w:rsidRPr="004C3AF7">
        <w:rPr>
          <w:sz w:val="22"/>
          <w:szCs w:val="22"/>
        </w:rPr>
        <w:t>Note the information in the attached table.</w:t>
      </w:r>
    </w:p>
    <w:p w:rsidR="00A530FD" w:rsidRPr="004C3AF7" w:rsidRDefault="00C33900" w:rsidP="00A530FD">
      <w:pPr>
        <w:rPr>
          <w:bCs/>
          <w:i/>
          <w:sz w:val="22"/>
          <w:szCs w:val="22"/>
        </w:rPr>
      </w:pPr>
      <w:r w:rsidRPr="004C3AF7">
        <w:rPr>
          <w:b/>
          <w:bCs/>
          <w:sz w:val="22"/>
          <w:szCs w:val="22"/>
          <w:u w:val="single"/>
        </w:rPr>
        <w:t>3</w:t>
      </w:r>
      <w:r w:rsidR="00A530FD" w:rsidRPr="004C3AF7">
        <w:rPr>
          <w:b/>
          <w:bCs/>
          <w:sz w:val="22"/>
          <w:szCs w:val="22"/>
          <w:u w:val="single"/>
        </w:rPr>
        <w:t>. Draft Text for Inclusion in the SG-RFC Meeting Reports or Other Documents</w:t>
      </w:r>
      <w:r w:rsidR="00107650" w:rsidRPr="004C3AF7">
        <w:rPr>
          <w:bCs/>
          <w:i/>
          <w:sz w:val="22"/>
          <w:szCs w:val="22"/>
        </w:rPr>
        <w:t xml:space="preserve"> </w:t>
      </w:r>
    </w:p>
    <w:p w:rsidR="00C33900" w:rsidRPr="004C3AF7" w:rsidRDefault="00C33900" w:rsidP="00A530FD">
      <w:pPr>
        <w:rPr>
          <w:sz w:val="22"/>
          <w:szCs w:val="22"/>
        </w:rPr>
      </w:pPr>
      <w:r w:rsidRPr="004C3AF7">
        <w:rPr>
          <w:bCs/>
          <w:sz w:val="22"/>
          <w:szCs w:val="22"/>
        </w:rPr>
        <w:t>None</w:t>
      </w:r>
      <w:r w:rsidR="00FE3FBC" w:rsidRPr="004C3AF7">
        <w:rPr>
          <w:bCs/>
          <w:sz w:val="22"/>
          <w:szCs w:val="22"/>
        </w:rPr>
        <w:t>.</w:t>
      </w:r>
    </w:p>
    <w:p w:rsidR="00A530FD" w:rsidRPr="004C3AF7" w:rsidRDefault="00A530FD" w:rsidP="00A530FD">
      <w:pPr>
        <w:pStyle w:val="Default"/>
        <w:jc w:val="both"/>
        <w:rPr>
          <w:sz w:val="22"/>
          <w:szCs w:val="22"/>
        </w:rPr>
      </w:pPr>
    </w:p>
    <w:p w:rsidR="00D82060" w:rsidRPr="004C3AF7" w:rsidRDefault="00D82060" w:rsidP="007566C2">
      <w:pPr>
        <w:jc w:val="center"/>
        <w:rPr>
          <w:sz w:val="22"/>
          <w:szCs w:val="22"/>
        </w:rPr>
        <w:sectPr w:rsidR="00D82060" w:rsidRPr="004C3AF7" w:rsidSect="00167708">
          <w:headerReference w:type="default" r:id="rId10"/>
          <w:footnotePr>
            <w:numFmt w:val="chicago"/>
          </w:footnotePr>
          <w:pgSz w:w="11907" w:h="16840" w:code="9"/>
          <w:pgMar w:top="1134" w:right="1134" w:bottom="1134" w:left="1134" w:header="720" w:footer="720" w:gutter="0"/>
          <w:cols w:space="720"/>
          <w:titlePg/>
          <w:docGrid w:linePitch="360"/>
        </w:sect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3"/>
        <w:gridCol w:w="9526"/>
      </w:tblGrid>
      <w:tr w:rsidR="004C3AF7" w:rsidRPr="00715E0D" w:rsidTr="00F5724C">
        <w:tc>
          <w:tcPr>
            <w:tcW w:w="817" w:type="dxa"/>
            <w:tcBorders>
              <w:top w:val="single" w:sz="4" w:space="0" w:color="auto"/>
              <w:left w:val="single" w:sz="4" w:space="0" w:color="auto"/>
              <w:bottom w:val="single" w:sz="4" w:space="0" w:color="auto"/>
              <w:right w:val="nil"/>
            </w:tcBorders>
          </w:tcPr>
          <w:p w:rsidR="004C3AF7" w:rsidRPr="00F5724C" w:rsidRDefault="004C3AF7" w:rsidP="00924F3F">
            <w:pPr>
              <w:jc w:val="center"/>
              <w:rPr>
                <w:b/>
                <w:sz w:val="22"/>
                <w:szCs w:val="22"/>
              </w:rPr>
            </w:pPr>
          </w:p>
        </w:tc>
        <w:tc>
          <w:tcPr>
            <w:tcW w:w="4253" w:type="dxa"/>
            <w:tcBorders>
              <w:left w:val="nil"/>
            </w:tcBorders>
          </w:tcPr>
          <w:p w:rsidR="004C3AF7" w:rsidRPr="00715E0D" w:rsidRDefault="004C3AF7" w:rsidP="00924F3F">
            <w:pPr>
              <w:jc w:val="center"/>
              <w:rPr>
                <w:b/>
                <w:sz w:val="22"/>
                <w:szCs w:val="22"/>
              </w:rPr>
            </w:pPr>
            <w:r w:rsidRPr="00715E0D">
              <w:rPr>
                <w:b/>
                <w:sz w:val="22"/>
                <w:szCs w:val="22"/>
              </w:rPr>
              <w:t>WRC-15 Agenda Item</w:t>
            </w:r>
          </w:p>
        </w:tc>
        <w:tc>
          <w:tcPr>
            <w:tcW w:w="9526" w:type="dxa"/>
          </w:tcPr>
          <w:p w:rsidR="004C3AF7" w:rsidRPr="00715E0D" w:rsidRDefault="004C3AF7" w:rsidP="009D4904">
            <w:pPr>
              <w:jc w:val="center"/>
              <w:rPr>
                <w:b/>
                <w:sz w:val="22"/>
                <w:szCs w:val="22"/>
              </w:rPr>
            </w:pPr>
            <w:r w:rsidRPr="00715E0D">
              <w:rPr>
                <w:b/>
                <w:sz w:val="22"/>
                <w:szCs w:val="22"/>
              </w:rPr>
              <w:t>CEPT Positions (CPG meeting September 2015)</w:t>
            </w:r>
          </w:p>
        </w:tc>
      </w:tr>
      <w:tr w:rsidR="004C3AF7" w:rsidRPr="00715E0D" w:rsidTr="00F5724C">
        <w:tc>
          <w:tcPr>
            <w:tcW w:w="817" w:type="dxa"/>
            <w:tcBorders>
              <w:top w:val="single" w:sz="4" w:space="0" w:color="auto"/>
            </w:tcBorders>
          </w:tcPr>
          <w:p w:rsidR="004C3AF7" w:rsidRPr="00715E0D" w:rsidRDefault="004C3AF7" w:rsidP="00924F3F">
            <w:pPr>
              <w:jc w:val="center"/>
              <w:rPr>
                <w:sz w:val="22"/>
                <w:szCs w:val="22"/>
              </w:rPr>
            </w:pPr>
            <w:r w:rsidRPr="00715E0D">
              <w:rPr>
                <w:sz w:val="22"/>
                <w:szCs w:val="22"/>
              </w:rPr>
              <w:t>1.1</w:t>
            </w:r>
          </w:p>
          <w:p w:rsidR="004C3AF7" w:rsidRPr="00715E0D" w:rsidRDefault="004C3AF7" w:rsidP="00924F3F">
            <w:pPr>
              <w:jc w:val="center"/>
              <w:rPr>
                <w:color w:val="000000"/>
                <w:sz w:val="22"/>
                <w:szCs w:val="22"/>
              </w:rPr>
            </w:pPr>
          </w:p>
        </w:tc>
        <w:tc>
          <w:tcPr>
            <w:tcW w:w="4253" w:type="dxa"/>
          </w:tcPr>
          <w:p w:rsidR="004C3AF7" w:rsidRPr="00715E0D" w:rsidRDefault="004C3AF7" w:rsidP="007566C2">
            <w:pPr>
              <w:rPr>
                <w:sz w:val="22"/>
                <w:szCs w:val="22"/>
              </w:rPr>
            </w:pPr>
            <w:r w:rsidRPr="00715E0D">
              <w:rPr>
                <w:sz w:val="22"/>
                <w:szCs w:val="22"/>
              </w:rPr>
              <w:t>to consider additional spectrum allocations to the mobile service on a primary basis and identification of additional frequency bands for International Mobile Telecommunications (IMT) and related regulatory provisions, to facilitate the development of terrestrial mobile broadband applications, in accordance with Resolution 233 </w:t>
            </w:r>
            <w:r w:rsidRPr="00715E0D">
              <w:rPr>
                <w:bCs/>
                <w:sz w:val="22"/>
                <w:szCs w:val="22"/>
              </w:rPr>
              <w:t>(WRC</w:t>
            </w:r>
            <w:r w:rsidRPr="00715E0D">
              <w:rPr>
                <w:bCs/>
                <w:sz w:val="22"/>
                <w:szCs w:val="22"/>
              </w:rPr>
              <w:noBreakHyphen/>
              <w:t>12).</w:t>
            </w:r>
          </w:p>
        </w:tc>
        <w:tc>
          <w:tcPr>
            <w:tcW w:w="9526" w:type="dxa"/>
          </w:tcPr>
          <w:p w:rsidR="008907E5" w:rsidRPr="00715E0D" w:rsidRDefault="008907E5" w:rsidP="00BE37FE">
            <w:pPr>
              <w:spacing w:before="0" w:beforeAutospacing="0" w:after="0" w:afterAutospacing="0"/>
              <w:rPr>
                <w:sz w:val="22"/>
                <w:szCs w:val="22"/>
                <w:lang w:val="en-GB"/>
              </w:rPr>
            </w:pPr>
          </w:p>
          <w:p w:rsidR="004C3AF7" w:rsidRPr="00715E0D" w:rsidRDefault="004C3AF7" w:rsidP="00BE37FE">
            <w:pPr>
              <w:spacing w:before="0" w:beforeAutospacing="0" w:after="0" w:afterAutospacing="0"/>
              <w:rPr>
                <w:sz w:val="22"/>
                <w:szCs w:val="22"/>
                <w:lang w:val="en-GB"/>
              </w:rPr>
            </w:pPr>
            <w:r w:rsidRPr="00715E0D">
              <w:rPr>
                <w:sz w:val="22"/>
                <w:szCs w:val="22"/>
                <w:lang w:val="en-GB"/>
              </w:rPr>
              <w:t xml:space="preserve">The following bands are </w:t>
            </w:r>
            <w:r w:rsidR="008907E5" w:rsidRPr="00715E0D">
              <w:rPr>
                <w:sz w:val="22"/>
                <w:szCs w:val="22"/>
                <w:lang w:val="en-GB"/>
              </w:rPr>
              <w:t>proposed by CEPT for IMT identification</w:t>
            </w:r>
            <w:r w:rsidRPr="00715E0D">
              <w:rPr>
                <w:sz w:val="22"/>
                <w:szCs w:val="22"/>
                <w:lang w:val="en-GB"/>
              </w:rPr>
              <w:t>:</w:t>
            </w:r>
          </w:p>
          <w:p w:rsidR="00665CAB" w:rsidRPr="00715E0D" w:rsidRDefault="00665CAB" w:rsidP="00BE37FE">
            <w:pPr>
              <w:spacing w:before="0" w:beforeAutospacing="0" w:after="0" w:afterAutospacing="0"/>
              <w:rPr>
                <w:sz w:val="22"/>
                <w:szCs w:val="22"/>
                <w:lang w:val="en-GB"/>
              </w:rPr>
            </w:pPr>
          </w:p>
          <w:p w:rsidR="008907E5" w:rsidRPr="00715E0D" w:rsidRDefault="004C3AF7" w:rsidP="00F5724C">
            <w:pPr>
              <w:pStyle w:val="ListParagraph"/>
              <w:numPr>
                <w:ilvl w:val="0"/>
                <w:numId w:val="13"/>
              </w:numPr>
              <w:spacing w:before="0" w:beforeAutospacing="0" w:after="0" w:afterAutospacing="0"/>
              <w:rPr>
                <w:sz w:val="22"/>
                <w:szCs w:val="22"/>
                <w:lang w:val="en-GB"/>
              </w:rPr>
            </w:pPr>
            <w:r w:rsidRPr="00715E0D">
              <w:rPr>
                <w:sz w:val="22"/>
                <w:szCs w:val="22"/>
                <w:lang w:val="en-GB"/>
              </w:rPr>
              <w:t>1427-1</w:t>
            </w:r>
            <w:r w:rsidR="008907E5" w:rsidRPr="00715E0D">
              <w:rPr>
                <w:sz w:val="22"/>
                <w:szCs w:val="22"/>
                <w:lang w:val="en-GB"/>
              </w:rPr>
              <w:t>518</w:t>
            </w:r>
            <w:r w:rsidRPr="00715E0D">
              <w:rPr>
                <w:sz w:val="22"/>
                <w:szCs w:val="22"/>
                <w:lang w:val="en-GB"/>
              </w:rPr>
              <w:t xml:space="preserve"> MHz</w:t>
            </w:r>
            <w:r w:rsidR="008907E5" w:rsidRPr="00715E0D">
              <w:rPr>
                <w:sz w:val="22"/>
                <w:szCs w:val="22"/>
                <w:lang w:val="en-GB"/>
              </w:rPr>
              <w:t xml:space="preserve"> (including mandatory limits based on ITU-R Report RS.2336 to protect EESS in the 1400-1427 MHz)</w:t>
            </w:r>
          </w:p>
          <w:p w:rsidR="00F5724C" w:rsidRPr="00715E0D" w:rsidRDefault="00F5724C" w:rsidP="00F5724C">
            <w:pPr>
              <w:pStyle w:val="ListParagraph"/>
              <w:numPr>
                <w:ilvl w:val="0"/>
                <w:numId w:val="13"/>
              </w:numPr>
              <w:spacing w:before="0" w:beforeAutospacing="0" w:after="0" w:afterAutospacing="0"/>
              <w:rPr>
                <w:sz w:val="22"/>
                <w:szCs w:val="22"/>
                <w:lang w:val="en-GB"/>
              </w:rPr>
            </w:pPr>
            <w:r w:rsidRPr="00715E0D">
              <w:rPr>
                <w:sz w:val="22"/>
                <w:szCs w:val="22"/>
                <w:lang w:val="en-GB"/>
              </w:rPr>
              <w:t>3400-3800 MHz</w:t>
            </w:r>
          </w:p>
          <w:p w:rsidR="004C3AF7" w:rsidRPr="00715E0D" w:rsidRDefault="004C3AF7" w:rsidP="00BE37FE">
            <w:pPr>
              <w:spacing w:before="0" w:beforeAutospacing="0" w:after="0" w:afterAutospacing="0"/>
              <w:rPr>
                <w:sz w:val="22"/>
                <w:szCs w:val="22"/>
                <w:lang w:val="en-GB"/>
              </w:rPr>
            </w:pPr>
          </w:p>
          <w:p w:rsidR="004C3AF7" w:rsidRPr="00715E0D" w:rsidRDefault="004C3AF7" w:rsidP="00BE37FE">
            <w:pPr>
              <w:spacing w:before="0" w:beforeAutospacing="0" w:after="0" w:afterAutospacing="0"/>
              <w:rPr>
                <w:sz w:val="22"/>
                <w:szCs w:val="22"/>
                <w:lang w:val="en-GB"/>
              </w:rPr>
            </w:pPr>
          </w:p>
          <w:p w:rsidR="008907E5" w:rsidRPr="00715E0D" w:rsidRDefault="008907E5" w:rsidP="00BE37FE">
            <w:pPr>
              <w:spacing w:before="0" w:beforeAutospacing="0" w:after="0" w:afterAutospacing="0"/>
              <w:rPr>
                <w:sz w:val="22"/>
                <w:szCs w:val="22"/>
                <w:lang w:val="en-GB"/>
              </w:rPr>
            </w:pPr>
            <w:r w:rsidRPr="00715E0D">
              <w:rPr>
                <w:sz w:val="22"/>
                <w:szCs w:val="22"/>
                <w:lang w:val="en-GB"/>
              </w:rPr>
              <w:t>All other bands are proposed as NOC, in particular :</w:t>
            </w:r>
          </w:p>
          <w:p w:rsidR="00665CAB" w:rsidRPr="00715E0D" w:rsidRDefault="00665CAB" w:rsidP="00BE37FE">
            <w:pPr>
              <w:spacing w:before="0" w:beforeAutospacing="0" w:after="0" w:afterAutospacing="0"/>
              <w:rPr>
                <w:sz w:val="22"/>
                <w:szCs w:val="22"/>
                <w:lang w:val="en-GB"/>
              </w:rPr>
            </w:pPr>
          </w:p>
          <w:p w:rsidR="004C3AF7" w:rsidRPr="00715E0D" w:rsidRDefault="004C3AF7" w:rsidP="00F5724C">
            <w:pPr>
              <w:pStyle w:val="ListParagraph"/>
              <w:numPr>
                <w:ilvl w:val="0"/>
                <w:numId w:val="13"/>
              </w:numPr>
              <w:spacing w:before="0" w:beforeAutospacing="0" w:after="0" w:afterAutospacing="0"/>
              <w:rPr>
                <w:sz w:val="22"/>
                <w:szCs w:val="22"/>
                <w:lang w:val="en-GB"/>
              </w:rPr>
            </w:pPr>
            <w:r w:rsidRPr="00715E0D">
              <w:rPr>
                <w:sz w:val="22"/>
                <w:szCs w:val="22"/>
                <w:lang w:val="en-GB"/>
              </w:rPr>
              <w:t>1695-1710 MHz</w:t>
            </w:r>
          </w:p>
          <w:p w:rsidR="004C3AF7" w:rsidRPr="00715E0D" w:rsidRDefault="004C3AF7" w:rsidP="00F5724C">
            <w:pPr>
              <w:pStyle w:val="ListParagraph"/>
              <w:numPr>
                <w:ilvl w:val="0"/>
                <w:numId w:val="13"/>
              </w:numPr>
              <w:spacing w:before="0" w:beforeAutospacing="0" w:after="0" w:afterAutospacing="0"/>
              <w:rPr>
                <w:sz w:val="22"/>
                <w:szCs w:val="22"/>
                <w:lang w:val="en-GB"/>
              </w:rPr>
            </w:pPr>
            <w:r w:rsidRPr="00715E0D">
              <w:rPr>
                <w:sz w:val="22"/>
                <w:szCs w:val="22"/>
                <w:lang w:val="en-GB"/>
              </w:rPr>
              <w:t>2025-2110 MHz</w:t>
            </w:r>
          </w:p>
          <w:p w:rsidR="004C3AF7" w:rsidRPr="00715E0D" w:rsidRDefault="004C3AF7" w:rsidP="00F5724C">
            <w:pPr>
              <w:pStyle w:val="ListParagraph"/>
              <w:numPr>
                <w:ilvl w:val="0"/>
                <w:numId w:val="13"/>
              </w:numPr>
              <w:spacing w:before="0" w:beforeAutospacing="0" w:after="0" w:afterAutospacing="0"/>
              <w:rPr>
                <w:sz w:val="22"/>
                <w:szCs w:val="22"/>
                <w:lang w:val="en-GB"/>
              </w:rPr>
            </w:pPr>
            <w:r w:rsidRPr="00715E0D">
              <w:rPr>
                <w:sz w:val="22"/>
                <w:szCs w:val="22"/>
                <w:lang w:val="en-GB"/>
              </w:rPr>
              <w:t>2200-2290 MHz</w:t>
            </w:r>
          </w:p>
          <w:p w:rsidR="008907E5" w:rsidRPr="00715E0D" w:rsidRDefault="008907E5" w:rsidP="00F5724C">
            <w:pPr>
              <w:pStyle w:val="ListParagraph"/>
              <w:numPr>
                <w:ilvl w:val="0"/>
                <w:numId w:val="13"/>
              </w:numPr>
              <w:spacing w:before="0" w:beforeAutospacing="0" w:after="0" w:afterAutospacing="0"/>
              <w:rPr>
                <w:sz w:val="22"/>
                <w:szCs w:val="22"/>
                <w:lang w:val="en-GB"/>
              </w:rPr>
            </w:pPr>
            <w:r w:rsidRPr="00715E0D">
              <w:rPr>
                <w:sz w:val="22"/>
                <w:szCs w:val="22"/>
                <w:lang w:val="en-GB"/>
              </w:rPr>
              <w:t xml:space="preserve">2700-2900 MHz </w:t>
            </w:r>
          </w:p>
          <w:p w:rsidR="008907E5" w:rsidRPr="00715E0D" w:rsidRDefault="008907E5" w:rsidP="00F5724C">
            <w:pPr>
              <w:pStyle w:val="ListParagraph"/>
              <w:numPr>
                <w:ilvl w:val="0"/>
                <w:numId w:val="13"/>
              </w:numPr>
              <w:spacing w:before="0" w:beforeAutospacing="0" w:after="0" w:afterAutospacing="0"/>
              <w:rPr>
                <w:sz w:val="22"/>
                <w:szCs w:val="22"/>
                <w:lang w:val="en-GB"/>
              </w:rPr>
            </w:pPr>
            <w:r w:rsidRPr="00715E0D">
              <w:rPr>
                <w:sz w:val="22"/>
                <w:szCs w:val="22"/>
                <w:lang w:val="en-GB"/>
              </w:rPr>
              <w:t>3800-4200 MHz</w:t>
            </w:r>
          </w:p>
          <w:p w:rsidR="004C3AF7" w:rsidRPr="00715E0D" w:rsidRDefault="004C3AF7" w:rsidP="00F5724C">
            <w:pPr>
              <w:pStyle w:val="ListParagraph"/>
              <w:numPr>
                <w:ilvl w:val="0"/>
                <w:numId w:val="13"/>
              </w:numPr>
              <w:spacing w:before="0" w:beforeAutospacing="0" w:after="0" w:afterAutospacing="0"/>
              <w:rPr>
                <w:sz w:val="22"/>
                <w:szCs w:val="22"/>
                <w:lang w:val="en-GB"/>
              </w:rPr>
            </w:pPr>
            <w:r w:rsidRPr="00715E0D">
              <w:rPr>
                <w:sz w:val="22"/>
                <w:szCs w:val="22"/>
                <w:lang w:val="en-GB"/>
              </w:rPr>
              <w:t>2900-3100 MHz</w:t>
            </w:r>
          </w:p>
          <w:p w:rsidR="00F5724C" w:rsidRPr="00715E0D" w:rsidRDefault="004C3AF7" w:rsidP="00F5724C">
            <w:pPr>
              <w:pStyle w:val="ListParagraph"/>
              <w:numPr>
                <w:ilvl w:val="0"/>
                <w:numId w:val="13"/>
              </w:numPr>
              <w:spacing w:before="0" w:beforeAutospacing="0" w:after="0" w:afterAutospacing="0"/>
              <w:rPr>
                <w:sz w:val="22"/>
                <w:szCs w:val="22"/>
                <w:lang w:val="en-GB"/>
              </w:rPr>
            </w:pPr>
            <w:r w:rsidRPr="00715E0D">
              <w:rPr>
                <w:sz w:val="22"/>
                <w:szCs w:val="22"/>
                <w:lang w:val="en-GB"/>
              </w:rPr>
              <w:t>3300-3400 MHz</w:t>
            </w:r>
          </w:p>
          <w:p w:rsidR="00F5724C" w:rsidRPr="00715E0D" w:rsidRDefault="00F5724C" w:rsidP="00F5724C">
            <w:pPr>
              <w:pStyle w:val="ListParagraph"/>
              <w:numPr>
                <w:ilvl w:val="0"/>
                <w:numId w:val="13"/>
              </w:numPr>
              <w:spacing w:before="0" w:beforeAutospacing="0" w:after="0" w:afterAutospacing="0"/>
              <w:rPr>
                <w:sz w:val="22"/>
                <w:szCs w:val="22"/>
                <w:lang w:val="en-GB"/>
              </w:rPr>
            </w:pPr>
            <w:r w:rsidRPr="00715E0D">
              <w:rPr>
                <w:sz w:val="22"/>
                <w:szCs w:val="22"/>
                <w:lang w:val="en-GB"/>
              </w:rPr>
              <w:t>5350-5470 MHz</w:t>
            </w:r>
          </w:p>
          <w:p w:rsidR="004C3AF7" w:rsidRPr="00715E0D" w:rsidRDefault="004C3AF7" w:rsidP="008907E5">
            <w:pPr>
              <w:numPr>
                <w:ilvl w:val="0"/>
                <w:numId w:val="8"/>
              </w:numPr>
              <w:spacing w:before="0" w:beforeAutospacing="0" w:after="0" w:afterAutospacing="0"/>
              <w:ind w:left="0"/>
              <w:rPr>
                <w:sz w:val="22"/>
                <w:szCs w:val="22"/>
                <w:lang w:val="en-GB"/>
              </w:rPr>
            </w:pPr>
          </w:p>
          <w:p w:rsidR="00665CAB" w:rsidRPr="00715E0D" w:rsidRDefault="00665CAB" w:rsidP="008907E5">
            <w:pPr>
              <w:numPr>
                <w:ilvl w:val="0"/>
                <w:numId w:val="8"/>
              </w:numPr>
              <w:spacing w:before="0" w:beforeAutospacing="0" w:after="0" w:afterAutospacing="0"/>
              <w:ind w:left="0"/>
              <w:rPr>
                <w:sz w:val="22"/>
                <w:szCs w:val="22"/>
                <w:lang w:val="en-GB"/>
              </w:rPr>
            </w:pPr>
          </w:p>
        </w:tc>
      </w:tr>
      <w:tr w:rsidR="00FD349E" w:rsidRPr="00715E0D" w:rsidTr="00F5724C">
        <w:tc>
          <w:tcPr>
            <w:tcW w:w="817" w:type="dxa"/>
          </w:tcPr>
          <w:p w:rsidR="00FD349E" w:rsidRPr="00715E0D" w:rsidRDefault="00FD349E" w:rsidP="00FD349E">
            <w:pPr>
              <w:jc w:val="center"/>
              <w:rPr>
                <w:sz w:val="22"/>
                <w:szCs w:val="22"/>
              </w:rPr>
            </w:pPr>
            <w:r w:rsidRPr="00715E0D">
              <w:rPr>
                <w:sz w:val="22"/>
                <w:szCs w:val="22"/>
              </w:rPr>
              <w:t>1.6</w:t>
            </w:r>
          </w:p>
          <w:p w:rsidR="00FD349E" w:rsidRPr="00715E0D" w:rsidRDefault="00FD349E" w:rsidP="00FD349E">
            <w:pPr>
              <w:jc w:val="center"/>
              <w:rPr>
                <w:sz w:val="22"/>
                <w:szCs w:val="22"/>
              </w:rPr>
            </w:pPr>
          </w:p>
          <w:p w:rsidR="00FD349E" w:rsidRPr="00715E0D" w:rsidRDefault="00FD349E" w:rsidP="00FD349E">
            <w:pPr>
              <w:jc w:val="center"/>
              <w:rPr>
                <w:color w:val="000000"/>
                <w:sz w:val="22"/>
                <w:szCs w:val="22"/>
              </w:rPr>
            </w:pPr>
          </w:p>
        </w:tc>
        <w:tc>
          <w:tcPr>
            <w:tcW w:w="4253" w:type="dxa"/>
          </w:tcPr>
          <w:p w:rsidR="00FD349E" w:rsidRPr="00715E0D" w:rsidRDefault="00FD349E" w:rsidP="00FD349E">
            <w:pPr>
              <w:tabs>
                <w:tab w:val="num" w:pos="2250"/>
              </w:tabs>
              <w:rPr>
                <w:rFonts w:eastAsia="SimSun"/>
                <w:bCs/>
                <w:sz w:val="22"/>
                <w:szCs w:val="22"/>
                <w:lang w:val="en-GB" w:eastAsia="zh-CN"/>
              </w:rPr>
            </w:pPr>
            <w:r w:rsidRPr="00715E0D">
              <w:rPr>
                <w:rFonts w:eastAsia="SimSun"/>
                <w:bCs/>
                <w:sz w:val="22"/>
                <w:szCs w:val="22"/>
                <w:lang w:eastAsia="zh-CN"/>
              </w:rPr>
              <w:t>to consider possible additional primary allocations:</w:t>
            </w:r>
          </w:p>
          <w:p w:rsidR="00FD349E" w:rsidRPr="00715E0D" w:rsidRDefault="00FD349E" w:rsidP="00FD349E">
            <w:pPr>
              <w:tabs>
                <w:tab w:val="num" w:pos="2250"/>
              </w:tabs>
              <w:rPr>
                <w:rFonts w:eastAsia="SimSun"/>
                <w:sz w:val="22"/>
                <w:szCs w:val="22"/>
                <w:lang w:val="en-GB" w:eastAsia="zh-CN"/>
              </w:rPr>
            </w:pPr>
            <w:r w:rsidRPr="00715E0D">
              <w:rPr>
                <w:rFonts w:eastAsia="SimSun"/>
                <w:b/>
                <w:bCs/>
                <w:sz w:val="22"/>
                <w:szCs w:val="22"/>
                <w:lang w:val="en-GB" w:eastAsia="zh-CN"/>
              </w:rPr>
              <w:t>1.6.1</w:t>
            </w:r>
            <w:r w:rsidRPr="00715E0D">
              <w:rPr>
                <w:rFonts w:eastAsia="SimSun"/>
                <w:bCs/>
                <w:sz w:val="22"/>
                <w:szCs w:val="22"/>
                <w:lang w:val="en-GB" w:eastAsia="zh-CN"/>
              </w:rPr>
              <w:t>: to the</w:t>
            </w:r>
            <w:r w:rsidRPr="00715E0D">
              <w:rPr>
                <w:rFonts w:eastAsia="SimSun"/>
                <w:b/>
                <w:bCs/>
                <w:sz w:val="22"/>
                <w:szCs w:val="22"/>
                <w:lang w:val="en-GB" w:eastAsia="zh-CN"/>
              </w:rPr>
              <w:t xml:space="preserve"> </w:t>
            </w:r>
            <w:r w:rsidRPr="00715E0D">
              <w:rPr>
                <w:rFonts w:eastAsia="SimSun"/>
                <w:bCs/>
                <w:sz w:val="22"/>
                <w:szCs w:val="22"/>
                <w:lang w:val="en-GB" w:eastAsia="zh-CN"/>
              </w:rPr>
              <w:t>fixed-satellite</w:t>
            </w:r>
            <w:r w:rsidRPr="00715E0D">
              <w:rPr>
                <w:rFonts w:eastAsia="SimSun"/>
                <w:b/>
                <w:bCs/>
                <w:sz w:val="22"/>
                <w:szCs w:val="22"/>
                <w:lang w:val="en-GB" w:eastAsia="zh-CN"/>
              </w:rPr>
              <w:t xml:space="preserve"> </w:t>
            </w:r>
            <w:r w:rsidRPr="00715E0D">
              <w:rPr>
                <w:rFonts w:eastAsia="SimSun"/>
                <w:bCs/>
                <w:sz w:val="22"/>
                <w:szCs w:val="22"/>
                <w:lang w:val="en-GB" w:eastAsia="zh-CN"/>
              </w:rPr>
              <w:t>service (Earth-to-space and space-to-Earth) of 250 MHz in the range between 10 GHz and 17 GHz in Region 1 and review the regulatory provisions on the current allocations to the fixed-satellite service within each range, taking into account the results of ITU</w:t>
            </w:r>
            <w:r w:rsidRPr="00715E0D">
              <w:rPr>
                <w:rFonts w:eastAsia="SimSun"/>
                <w:bCs/>
                <w:sz w:val="22"/>
                <w:szCs w:val="22"/>
                <w:lang w:val="en-GB" w:eastAsia="zh-CN"/>
              </w:rPr>
              <w:noBreakHyphen/>
              <w:t>R studies, in accordance with Resolution </w:t>
            </w:r>
            <w:r w:rsidRPr="00715E0D">
              <w:rPr>
                <w:rFonts w:eastAsia="SimSun"/>
                <w:sz w:val="22"/>
                <w:szCs w:val="22"/>
                <w:lang w:val="en-GB" w:eastAsia="zh-CN"/>
              </w:rPr>
              <w:t>151</w:t>
            </w:r>
            <w:r w:rsidRPr="00715E0D">
              <w:rPr>
                <w:rFonts w:eastAsia="SimSun"/>
                <w:bCs/>
                <w:sz w:val="22"/>
                <w:szCs w:val="22"/>
                <w:lang w:val="en-GB" w:eastAsia="zh-CN"/>
              </w:rPr>
              <w:t> </w:t>
            </w:r>
            <w:r w:rsidRPr="00715E0D">
              <w:rPr>
                <w:rFonts w:eastAsia="SimSun"/>
                <w:sz w:val="22"/>
                <w:szCs w:val="22"/>
                <w:lang w:val="en-GB" w:eastAsia="zh-CN"/>
              </w:rPr>
              <w:t>(WRC</w:t>
            </w:r>
            <w:r w:rsidRPr="00715E0D">
              <w:rPr>
                <w:rFonts w:eastAsia="SimSun"/>
                <w:sz w:val="22"/>
                <w:szCs w:val="22"/>
                <w:lang w:val="en-GB" w:eastAsia="zh-CN"/>
              </w:rPr>
              <w:noBreakHyphen/>
              <w:t>12).</w:t>
            </w:r>
          </w:p>
          <w:p w:rsidR="00FD349E" w:rsidRPr="00715E0D" w:rsidRDefault="00FD349E" w:rsidP="00FD349E">
            <w:pPr>
              <w:tabs>
                <w:tab w:val="num" w:pos="2250"/>
              </w:tabs>
              <w:rPr>
                <w:rFonts w:eastAsia="SimSun"/>
                <w:bCs/>
                <w:sz w:val="22"/>
                <w:szCs w:val="22"/>
                <w:lang w:val="en-GB" w:eastAsia="zh-CN"/>
              </w:rPr>
            </w:pPr>
            <w:r w:rsidRPr="00715E0D">
              <w:rPr>
                <w:rFonts w:eastAsia="SimSun"/>
                <w:b/>
                <w:bCs/>
                <w:sz w:val="22"/>
                <w:szCs w:val="22"/>
                <w:lang w:val="en-GB" w:eastAsia="zh-CN"/>
              </w:rPr>
              <w:t>1.6.2</w:t>
            </w:r>
            <w:r w:rsidRPr="00715E0D">
              <w:rPr>
                <w:rFonts w:eastAsia="SimSun"/>
                <w:bCs/>
                <w:sz w:val="22"/>
                <w:szCs w:val="22"/>
                <w:lang w:val="en-GB" w:eastAsia="zh-CN"/>
              </w:rPr>
              <w:t>: to the fixed-satellite service</w:t>
            </w:r>
            <w:r w:rsidRPr="00715E0D">
              <w:rPr>
                <w:rFonts w:eastAsia="SimSun"/>
                <w:b/>
                <w:bCs/>
                <w:sz w:val="22"/>
                <w:szCs w:val="22"/>
                <w:lang w:val="en-GB" w:eastAsia="zh-CN"/>
              </w:rPr>
              <w:t xml:space="preserve"> </w:t>
            </w:r>
            <w:r w:rsidRPr="00715E0D">
              <w:rPr>
                <w:rFonts w:eastAsia="SimSun"/>
                <w:bCs/>
                <w:sz w:val="22"/>
                <w:szCs w:val="22"/>
                <w:lang w:val="en-GB" w:eastAsia="zh-CN"/>
              </w:rPr>
              <w:t>(Earth-to-space) of 250 MHz in Region 2 and 300 MHz in Region 3 within the range 13-</w:t>
            </w:r>
            <w:r w:rsidRPr="00715E0D">
              <w:rPr>
                <w:rFonts w:eastAsia="SimSun"/>
                <w:bCs/>
                <w:sz w:val="22"/>
                <w:szCs w:val="22"/>
                <w:lang w:val="en-GB" w:eastAsia="zh-CN"/>
              </w:rPr>
              <w:lastRenderedPageBreak/>
              <w:t>17 GHz and review the regulatory provisions on the current allocations to the fixed-satellite service within each range, taking into account the results of ITU</w:t>
            </w:r>
            <w:r w:rsidRPr="00715E0D">
              <w:rPr>
                <w:rFonts w:eastAsia="SimSun"/>
                <w:bCs/>
                <w:sz w:val="22"/>
                <w:szCs w:val="22"/>
                <w:lang w:val="en-GB" w:eastAsia="zh-CN"/>
              </w:rPr>
              <w:noBreakHyphen/>
              <w:t>R studies, in accordance with Resolution </w:t>
            </w:r>
            <w:r w:rsidRPr="00715E0D">
              <w:rPr>
                <w:rFonts w:eastAsia="SimSun"/>
                <w:sz w:val="22"/>
                <w:szCs w:val="22"/>
                <w:lang w:val="en-GB" w:eastAsia="zh-CN"/>
              </w:rPr>
              <w:t>152</w:t>
            </w:r>
            <w:r w:rsidRPr="00715E0D">
              <w:rPr>
                <w:rFonts w:eastAsia="SimSun"/>
                <w:bCs/>
                <w:sz w:val="22"/>
                <w:szCs w:val="22"/>
                <w:lang w:val="en-GB" w:eastAsia="zh-CN"/>
              </w:rPr>
              <w:t> </w:t>
            </w:r>
            <w:r w:rsidRPr="00715E0D">
              <w:rPr>
                <w:rFonts w:eastAsia="SimSun"/>
                <w:sz w:val="22"/>
                <w:szCs w:val="22"/>
                <w:lang w:val="en-GB" w:eastAsia="zh-CN"/>
              </w:rPr>
              <w:t>(WRC</w:t>
            </w:r>
            <w:r w:rsidRPr="00715E0D">
              <w:rPr>
                <w:rFonts w:eastAsia="SimSun"/>
                <w:sz w:val="22"/>
                <w:szCs w:val="22"/>
                <w:lang w:val="en-GB" w:eastAsia="zh-CN"/>
              </w:rPr>
              <w:noBreakHyphen/>
              <w:t>12).</w:t>
            </w:r>
          </w:p>
        </w:tc>
        <w:tc>
          <w:tcPr>
            <w:tcW w:w="9526" w:type="dxa"/>
          </w:tcPr>
          <w:p w:rsidR="00FD349E" w:rsidRPr="00715E0D" w:rsidRDefault="00FD349E" w:rsidP="00FD349E">
            <w:pPr>
              <w:spacing w:before="0" w:beforeAutospacing="0" w:after="0" w:afterAutospacing="0"/>
              <w:rPr>
                <w:sz w:val="22"/>
                <w:szCs w:val="22"/>
                <w:lang w:val="en-GB"/>
              </w:rPr>
            </w:pPr>
          </w:p>
          <w:p w:rsidR="00FD349E" w:rsidRPr="00715E0D" w:rsidRDefault="00FD349E" w:rsidP="00FD349E">
            <w:pPr>
              <w:pStyle w:val="ECCParagraph"/>
              <w:rPr>
                <w:rFonts w:ascii="Times New Roman" w:hAnsi="Times New Roman"/>
              </w:rPr>
            </w:pPr>
            <w:r w:rsidRPr="00715E0D">
              <w:rPr>
                <w:rFonts w:ascii="Times New Roman" w:hAnsi="Times New Roman"/>
              </w:rPr>
              <w:t xml:space="preserve">Under agenda item 1.6.1, CEPT proposes to the WRC-15 </w:t>
            </w:r>
            <w:r w:rsidRPr="00715E0D">
              <w:rPr>
                <w:rFonts w:ascii="Times New Roman" w:hAnsi="Times New Roman"/>
                <w:lang w:val="en-US"/>
              </w:rPr>
              <w:t xml:space="preserve">an </w:t>
            </w:r>
            <w:r w:rsidRPr="00715E0D">
              <w:rPr>
                <w:rFonts w:ascii="Times New Roman" w:hAnsi="Times New Roman"/>
              </w:rPr>
              <w:t>allocation to FSS (s-E) in the 13.4-13.65 GHz associated with all relevant conditions related to the protection of EESS (active).</w:t>
            </w:r>
          </w:p>
          <w:p w:rsidR="00FD349E" w:rsidRPr="00715E0D" w:rsidRDefault="00FD349E" w:rsidP="00FD349E">
            <w:pPr>
              <w:pStyle w:val="ECCParagraph"/>
              <w:rPr>
                <w:rFonts w:ascii="Times New Roman" w:hAnsi="Times New Roman"/>
              </w:rPr>
            </w:pPr>
            <w:r w:rsidRPr="00715E0D">
              <w:rPr>
                <w:rFonts w:ascii="Times New Roman" w:hAnsi="Times New Roman"/>
              </w:rPr>
              <w:t xml:space="preserve">Under both agenda items 1.6.1 and 1.6.2 and for potential FSS (E-s) allocations, CEPT does not make any proposal to WRC-15 but clearly mentions in its brief that it does not support such allocation in bands shared </w:t>
            </w:r>
            <w:r w:rsidR="009B16D0" w:rsidRPr="00715E0D">
              <w:rPr>
                <w:rFonts w:ascii="Times New Roman" w:hAnsi="Times New Roman"/>
              </w:rPr>
              <w:t xml:space="preserve">with </w:t>
            </w:r>
            <w:r w:rsidRPr="00715E0D">
              <w:rPr>
                <w:rFonts w:ascii="Times New Roman" w:hAnsi="Times New Roman"/>
              </w:rPr>
              <w:t>EESS (active and passive)</w:t>
            </w:r>
            <w:bookmarkStart w:id="6" w:name="_GoBack"/>
            <w:bookmarkEnd w:id="6"/>
            <w:r w:rsidRPr="00715E0D">
              <w:rPr>
                <w:rFonts w:ascii="Times New Roman" w:hAnsi="Times New Roman"/>
              </w:rPr>
              <w:t>.</w:t>
            </w:r>
          </w:p>
        </w:tc>
      </w:tr>
      <w:tr w:rsidR="00F5724C" w:rsidRPr="00715E0D" w:rsidTr="00F5724C">
        <w:tc>
          <w:tcPr>
            <w:tcW w:w="817" w:type="dxa"/>
          </w:tcPr>
          <w:p w:rsidR="00F5724C" w:rsidRPr="00715E0D" w:rsidRDefault="00F5724C" w:rsidP="00F5724C">
            <w:pPr>
              <w:jc w:val="center"/>
              <w:rPr>
                <w:sz w:val="22"/>
                <w:szCs w:val="22"/>
              </w:rPr>
            </w:pPr>
            <w:r w:rsidRPr="00715E0D">
              <w:rPr>
                <w:sz w:val="22"/>
                <w:szCs w:val="22"/>
              </w:rPr>
              <w:lastRenderedPageBreak/>
              <w:t>1.9.2</w:t>
            </w:r>
          </w:p>
          <w:p w:rsidR="00F5724C" w:rsidRPr="00715E0D" w:rsidRDefault="00F5724C" w:rsidP="00F5724C">
            <w:pPr>
              <w:jc w:val="center"/>
              <w:rPr>
                <w:color w:val="FF0000"/>
                <w:sz w:val="22"/>
                <w:szCs w:val="22"/>
              </w:rPr>
            </w:pPr>
          </w:p>
          <w:p w:rsidR="00F5724C" w:rsidRPr="00715E0D" w:rsidRDefault="00F5724C" w:rsidP="00F5724C">
            <w:pPr>
              <w:rPr>
                <w:color w:val="000000"/>
                <w:sz w:val="22"/>
                <w:szCs w:val="22"/>
              </w:rPr>
            </w:pPr>
          </w:p>
        </w:tc>
        <w:tc>
          <w:tcPr>
            <w:tcW w:w="4253" w:type="dxa"/>
          </w:tcPr>
          <w:p w:rsidR="00F5724C" w:rsidRPr="00715E0D" w:rsidRDefault="00F5724C" w:rsidP="00F5724C">
            <w:pPr>
              <w:rPr>
                <w:sz w:val="22"/>
                <w:szCs w:val="22"/>
              </w:rPr>
            </w:pPr>
            <w:r w:rsidRPr="00715E0D">
              <w:rPr>
                <w:sz w:val="22"/>
                <w:szCs w:val="22"/>
              </w:rPr>
              <w:t>to consider, in accordance with Resolution </w:t>
            </w:r>
            <w:r w:rsidRPr="00715E0D">
              <w:rPr>
                <w:bCs/>
                <w:sz w:val="22"/>
                <w:szCs w:val="22"/>
              </w:rPr>
              <w:t>758</w:t>
            </w:r>
            <w:r w:rsidRPr="00715E0D">
              <w:rPr>
                <w:sz w:val="22"/>
                <w:szCs w:val="22"/>
              </w:rPr>
              <w:t> </w:t>
            </w:r>
            <w:r w:rsidRPr="00715E0D">
              <w:rPr>
                <w:bCs/>
                <w:sz w:val="22"/>
                <w:szCs w:val="22"/>
              </w:rPr>
              <w:t>(WRC</w:t>
            </w:r>
            <w:r w:rsidRPr="00715E0D">
              <w:rPr>
                <w:bCs/>
                <w:sz w:val="22"/>
                <w:szCs w:val="22"/>
              </w:rPr>
              <w:noBreakHyphen/>
              <w:t>12)</w:t>
            </w:r>
            <w:r w:rsidRPr="00715E0D">
              <w:rPr>
                <w:sz w:val="22"/>
                <w:szCs w:val="22"/>
              </w:rPr>
              <w:t xml:space="preserve"> the possibility of allocating the bands 7 375-7 750 MHz and 8 025-8 400 MHz to the maritime-mobile satellite service and additional regulatory measures, depending on the results of appropriate studies</w:t>
            </w:r>
            <w:r w:rsidRPr="00715E0D">
              <w:rPr>
                <w:bCs/>
                <w:sz w:val="22"/>
                <w:szCs w:val="22"/>
              </w:rPr>
              <w:t>.</w:t>
            </w:r>
          </w:p>
        </w:tc>
        <w:tc>
          <w:tcPr>
            <w:tcW w:w="9526" w:type="dxa"/>
          </w:tcPr>
          <w:p w:rsidR="00F5724C" w:rsidRPr="00715E0D" w:rsidRDefault="00F5724C" w:rsidP="00F5724C">
            <w:pPr>
              <w:spacing w:before="0" w:beforeAutospacing="0" w:after="0" w:afterAutospacing="0"/>
              <w:rPr>
                <w:sz w:val="22"/>
                <w:szCs w:val="22"/>
                <w:lang w:val="en-GB"/>
              </w:rPr>
            </w:pPr>
          </w:p>
          <w:p w:rsidR="00F5724C" w:rsidRPr="00715E0D" w:rsidRDefault="00F5724C" w:rsidP="00F5724C">
            <w:pPr>
              <w:pStyle w:val="ECCParagraph"/>
              <w:rPr>
                <w:rFonts w:ascii="Times New Roman" w:hAnsi="Times New Roman"/>
              </w:rPr>
            </w:pPr>
            <w:r w:rsidRPr="00715E0D">
              <w:rPr>
                <w:rFonts w:ascii="Times New Roman" w:hAnsi="Times New Roman"/>
              </w:rPr>
              <w:t>CEPT proposes to the WRC-15 :</w:t>
            </w:r>
          </w:p>
          <w:p w:rsidR="00F5724C" w:rsidRPr="00715E0D" w:rsidRDefault="00F5724C" w:rsidP="00F5724C">
            <w:pPr>
              <w:pStyle w:val="ECCParagraph"/>
              <w:numPr>
                <w:ilvl w:val="0"/>
                <w:numId w:val="12"/>
              </w:numPr>
              <w:rPr>
                <w:rFonts w:ascii="Times New Roman" w:hAnsi="Times New Roman"/>
              </w:rPr>
            </w:pPr>
            <w:r w:rsidRPr="00715E0D">
              <w:rPr>
                <w:rFonts w:ascii="Times New Roman" w:hAnsi="Times New Roman"/>
                <w:lang w:val="en-US"/>
              </w:rPr>
              <w:t xml:space="preserve">a downlink </w:t>
            </w:r>
            <w:r w:rsidRPr="00715E0D">
              <w:rPr>
                <w:rFonts w:ascii="Times New Roman" w:hAnsi="Times New Roman"/>
              </w:rPr>
              <w:t>allocation to MMSS in the 7 375-7 750 MHz (space-to-Earth)</w:t>
            </w:r>
          </w:p>
          <w:p w:rsidR="00F5724C" w:rsidRPr="00715E0D" w:rsidRDefault="00F5724C" w:rsidP="00F5724C">
            <w:pPr>
              <w:pStyle w:val="ECCParagraph"/>
              <w:numPr>
                <w:ilvl w:val="0"/>
                <w:numId w:val="12"/>
              </w:numPr>
              <w:rPr>
                <w:rFonts w:ascii="Times New Roman" w:hAnsi="Times New Roman"/>
              </w:rPr>
            </w:pPr>
            <w:r w:rsidRPr="00715E0D">
              <w:rPr>
                <w:rFonts w:ascii="Times New Roman" w:hAnsi="Times New Roman"/>
              </w:rPr>
              <w:t xml:space="preserve">NOC in the band </w:t>
            </w:r>
            <w:r w:rsidRPr="00715E0D">
              <w:rPr>
                <w:rFonts w:ascii="Times New Roman" w:hAnsi="Times New Roman"/>
                <w:lang w:val="en-US"/>
              </w:rPr>
              <w:t>8025-8400 MHz</w:t>
            </w:r>
          </w:p>
        </w:tc>
      </w:tr>
      <w:tr w:rsidR="00F5724C" w:rsidRPr="00715E0D" w:rsidTr="00F5724C">
        <w:tc>
          <w:tcPr>
            <w:tcW w:w="817" w:type="dxa"/>
          </w:tcPr>
          <w:p w:rsidR="00F5724C" w:rsidRPr="00715E0D" w:rsidRDefault="00F5724C" w:rsidP="00F5724C">
            <w:pPr>
              <w:jc w:val="center"/>
              <w:rPr>
                <w:sz w:val="22"/>
                <w:szCs w:val="22"/>
              </w:rPr>
            </w:pPr>
            <w:r w:rsidRPr="00715E0D">
              <w:rPr>
                <w:sz w:val="22"/>
                <w:szCs w:val="22"/>
              </w:rPr>
              <w:t>1.10</w:t>
            </w:r>
          </w:p>
          <w:p w:rsidR="00F5724C" w:rsidRPr="00715E0D" w:rsidRDefault="00F5724C" w:rsidP="00F5724C">
            <w:pPr>
              <w:jc w:val="center"/>
              <w:rPr>
                <w:sz w:val="22"/>
                <w:szCs w:val="22"/>
              </w:rPr>
            </w:pPr>
          </w:p>
          <w:p w:rsidR="00F5724C" w:rsidRPr="00715E0D" w:rsidRDefault="00F5724C" w:rsidP="00F5724C">
            <w:pPr>
              <w:jc w:val="center"/>
              <w:rPr>
                <w:color w:val="000000"/>
                <w:sz w:val="22"/>
                <w:szCs w:val="22"/>
              </w:rPr>
            </w:pPr>
          </w:p>
        </w:tc>
        <w:tc>
          <w:tcPr>
            <w:tcW w:w="4253" w:type="dxa"/>
          </w:tcPr>
          <w:p w:rsidR="00F5724C" w:rsidRPr="00715E0D" w:rsidRDefault="00F5724C" w:rsidP="00F5724C">
            <w:pPr>
              <w:tabs>
                <w:tab w:val="left" w:pos="3480"/>
              </w:tabs>
              <w:rPr>
                <w:sz w:val="22"/>
                <w:szCs w:val="22"/>
                <w:lang w:val="en-GB"/>
              </w:rPr>
            </w:pPr>
            <w:r w:rsidRPr="00715E0D">
              <w:rPr>
                <w:sz w:val="22"/>
                <w:szCs w:val="22"/>
              </w:rPr>
              <w:t>to consider spectrum requirements and possible additional spectrum 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234 (WRC</w:t>
            </w:r>
            <w:r w:rsidRPr="00715E0D">
              <w:rPr>
                <w:sz w:val="22"/>
                <w:szCs w:val="22"/>
              </w:rPr>
              <w:noBreakHyphen/>
              <w:t>12).</w:t>
            </w:r>
          </w:p>
        </w:tc>
        <w:tc>
          <w:tcPr>
            <w:tcW w:w="9526" w:type="dxa"/>
          </w:tcPr>
          <w:p w:rsidR="00F5724C" w:rsidRPr="00715E0D" w:rsidRDefault="00F5724C" w:rsidP="00F5724C">
            <w:pPr>
              <w:spacing w:before="0" w:beforeAutospacing="0" w:after="0" w:afterAutospacing="0"/>
              <w:rPr>
                <w:sz w:val="22"/>
                <w:szCs w:val="22"/>
                <w:lang w:val="en-GB"/>
              </w:rPr>
            </w:pPr>
          </w:p>
          <w:p w:rsidR="00F5724C" w:rsidRPr="00715E0D" w:rsidRDefault="00F5724C" w:rsidP="00F5724C">
            <w:pPr>
              <w:pStyle w:val="ECCParagraph"/>
              <w:rPr>
                <w:rFonts w:ascii="Times New Roman" w:hAnsi="Times New Roman"/>
              </w:rPr>
            </w:pPr>
            <w:r w:rsidRPr="00715E0D">
              <w:rPr>
                <w:rFonts w:ascii="Times New Roman" w:hAnsi="Times New Roman"/>
              </w:rPr>
              <w:t>CEPT proposes a NOC to the WRC-15</w:t>
            </w:r>
          </w:p>
          <w:p w:rsidR="006E7CAF" w:rsidRPr="00715E0D" w:rsidRDefault="006E7CAF" w:rsidP="006E7CAF">
            <w:pPr>
              <w:widowControl w:val="0"/>
              <w:spacing w:after="0"/>
              <w:rPr>
                <w:rFonts w:eastAsia="Times New Roman"/>
                <w:snapToGrid w:val="0"/>
                <w:sz w:val="20"/>
                <w:szCs w:val="20"/>
              </w:rPr>
            </w:pPr>
          </w:p>
          <w:p w:rsidR="006E7CAF" w:rsidRPr="00715E0D" w:rsidRDefault="006E7CAF" w:rsidP="00F5724C">
            <w:pPr>
              <w:pStyle w:val="ECCParagraph"/>
              <w:rPr>
                <w:rFonts w:ascii="Times New Roman" w:hAnsi="Times New Roman"/>
                <w:lang w:val="en-US"/>
              </w:rPr>
            </w:pPr>
          </w:p>
        </w:tc>
      </w:tr>
      <w:tr w:rsidR="006E7CAF" w:rsidRPr="00715E0D" w:rsidTr="00F5724C">
        <w:tc>
          <w:tcPr>
            <w:tcW w:w="817" w:type="dxa"/>
          </w:tcPr>
          <w:p w:rsidR="006E7CAF" w:rsidRPr="00715E0D" w:rsidRDefault="006E7CAF" w:rsidP="006E7CAF">
            <w:pPr>
              <w:jc w:val="center"/>
              <w:rPr>
                <w:sz w:val="22"/>
                <w:szCs w:val="22"/>
              </w:rPr>
            </w:pPr>
            <w:r w:rsidRPr="00715E0D">
              <w:rPr>
                <w:sz w:val="22"/>
                <w:szCs w:val="22"/>
              </w:rPr>
              <w:t>1.11</w:t>
            </w:r>
          </w:p>
          <w:p w:rsidR="006E7CAF" w:rsidRPr="00715E0D" w:rsidRDefault="006E7CAF" w:rsidP="006E7CAF">
            <w:pPr>
              <w:jc w:val="center"/>
              <w:rPr>
                <w:sz w:val="22"/>
                <w:szCs w:val="22"/>
              </w:rPr>
            </w:pPr>
          </w:p>
          <w:p w:rsidR="006E7CAF" w:rsidRPr="00715E0D" w:rsidRDefault="006E7CAF" w:rsidP="006E7CAF">
            <w:pPr>
              <w:jc w:val="center"/>
              <w:rPr>
                <w:color w:val="000000"/>
                <w:sz w:val="22"/>
                <w:szCs w:val="22"/>
              </w:rPr>
            </w:pPr>
          </w:p>
        </w:tc>
        <w:tc>
          <w:tcPr>
            <w:tcW w:w="4253" w:type="dxa"/>
          </w:tcPr>
          <w:p w:rsidR="006E7CAF" w:rsidRPr="00715E0D" w:rsidRDefault="006E7CAF" w:rsidP="006E7CAF">
            <w:pPr>
              <w:rPr>
                <w:sz w:val="22"/>
                <w:szCs w:val="22"/>
              </w:rPr>
            </w:pPr>
            <w:r w:rsidRPr="00715E0D">
              <w:rPr>
                <w:sz w:val="22"/>
                <w:szCs w:val="22"/>
              </w:rPr>
              <w:t>to consider a primary allocation for the</w:t>
            </w:r>
            <w:r w:rsidRPr="00715E0D">
              <w:rPr>
                <w:b/>
                <w:sz w:val="22"/>
                <w:szCs w:val="22"/>
              </w:rPr>
              <w:t xml:space="preserve"> </w:t>
            </w:r>
            <w:r w:rsidRPr="00715E0D">
              <w:rPr>
                <w:sz w:val="22"/>
                <w:szCs w:val="22"/>
              </w:rPr>
              <w:t>Earth exploration-satellite service (Earth-to-space) in the 7-8 GHz range, in accordance with</w:t>
            </w:r>
            <w:r w:rsidRPr="00715E0D">
              <w:rPr>
                <w:bCs/>
                <w:sz w:val="22"/>
                <w:szCs w:val="22"/>
              </w:rPr>
              <w:t xml:space="preserve"> </w:t>
            </w:r>
            <w:r w:rsidRPr="00715E0D">
              <w:rPr>
                <w:sz w:val="22"/>
                <w:szCs w:val="22"/>
              </w:rPr>
              <w:t>Resolution </w:t>
            </w:r>
            <w:r w:rsidRPr="00715E0D">
              <w:rPr>
                <w:bCs/>
                <w:sz w:val="22"/>
                <w:szCs w:val="22"/>
              </w:rPr>
              <w:t>650</w:t>
            </w:r>
            <w:r w:rsidRPr="00715E0D">
              <w:rPr>
                <w:sz w:val="22"/>
                <w:szCs w:val="22"/>
              </w:rPr>
              <w:t> (WRC</w:t>
            </w:r>
            <w:r w:rsidRPr="00715E0D">
              <w:rPr>
                <w:sz w:val="22"/>
                <w:szCs w:val="22"/>
              </w:rPr>
              <w:noBreakHyphen/>
              <w:t>12).</w:t>
            </w:r>
          </w:p>
        </w:tc>
        <w:tc>
          <w:tcPr>
            <w:tcW w:w="9526" w:type="dxa"/>
          </w:tcPr>
          <w:p w:rsidR="006E7CAF" w:rsidRPr="00715E0D" w:rsidRDefault="006E7CAF" w:rsidP="006E7CAF">
            <w:pPr>
              <w:spacing w:before="0" w:beforeAutospacing="0" w:after="0" w:afterAutospacing="0"/>
              <w:rPr>
                <w:sz w:val="22"/>
                <w:szCs w:val="22"/>
                <w:lang w:val="en-GB"/>
              </w:rPr>
            </w:pPr>
          </w:p>
          <w:p w:rsidR="006E7CAF" w:rsidRPr="00715E0D" w:rsidRDefault="006E7CAF" w:rsidP="00FE522A">
            <w:pPr>
              <w:pStyle w:val="ECCParagraph"/>
              <w:rPr>
                <w:rFonts w:ascii="Times New Roman" w:hAnsi="Times New Roman"/>
                <w:snapToGrid w:val="0"/>
                <w:sz w:val="20"/>
                <w:szCs w:val="20"/>
              </w:rPr>
            </w:pPr>
            <w:r w:rsidRPr="00715E0D">
              <w:rPr>
                <w:rFonts w:ascii="Times New Roman" w:hAnsi="Times New Roman"/>
              </w:rPr>
              <w:t xml:space="preserve">CEPT proposes to the WRC-15 an </w:t>
            </w:r>
            <w:r w:rsidRPr="00715E0D">
              <w:rPr>
                <w:rFonts w:ascii="Times New Roman" w:hAnsi="Times New Roman"/>
                <w:snapToGrid w:val="0"/>
                <w:sz w:val="20"/>
                <w:szCs w:val="20"/>
              </w:rPr>
              <w:t xml:space="preserve">EESS allocation in the band 7190-7250 MHz, consistent with Method A </w:t>
            </w:r>
            <w:r w:rsidR="009236D8" w:rsidRPr="00715E0D">
              <w:rPr>
                <w:rFonts w:ascii="Times New Roman" w:hAnsi="Times New Roman"/>
                <w:snapToGrid w:val="0"/>
                <w:sz w:val="20"/>
                <w:szCs w:val="20"/>
              </w:rPr>
              <w:t>o</w:t>
            </w:r>
            <w:r w:rsidRPr="00715E0D">
              <w:rPr>
                <w:rFonts w:ascii="Times New Roman" w:hAnsi="Times New Roman"/>
                <w:snapToGrid w:val="0"/>
                <w:sz w:val="20"/>
                <w:szCs w:val="20"/>
              </w:rPr>
              <w:t>f the CPM Text.</w:t>
            </w:r>
          </w:p>
        </w:tc>
      </w:tr>
      <w:tr w:rsidR="009C04CB" w:rsidRPr="00715E0D" w:rsidTr="00F5724C">
        <w:tc>
          <w:tcPr>
            <w:tcW w:w="817" w:type="dxa"/>
          </w:tcPr>
          <w:p w:rsidR="009C04CB" w:rsidRPr="00715E0D" w:rsidRDefault="009C04CB" w:rsidP="00201D83">
            <w:pPr>
              <w:jc w:val="center"/>
              <w:rPr>
                <w:sz w:val="22"/>
                <w:szCs w:val="22"/>
              </w:rPr>
            </w:pPr>
            <w:r w:rsidRPr="00715E0D">
              <w:rPr>
                <w:sz w:val="22"/>
                <w:szCs w:val="22"/>
              </w:rPr>
              <w:t>1.12</w:t>
            </w:r>
          </w:p>
        </w:tc>
        <w:tc>
          <w:tcPr>
            <w:tcW w:w="4253" w:type="dxa"/>
          </w:tcPr>
          <w:p w:rsidR="009C04CB" w:rsidRPr="00715E0D" w:rsidRDefault="009C04CB" w:rsidP="009C04CB">
            <w:pPr>
              <w:rPr>
                <w:sz w:val="22"/>
                <w:szCs w:val="22"/>
              </w:rPr>
            </w:pPr>
            <w:r w:rsidRPr="00715E0D">
              <w:rPr>
                <w:sz w:val="22"/>
                <w:szCs w:val="22"/>
              </w:rPr>
              <w:t>to consider an extension of the current worldwide allocation to the Earth exploration-satellite (active) service in the frequency band 9 300-9 900 MHz by up to 600 MHz within the frequency bands 8 700-9 300 MHz and/or 9 900-10 500 MHz, in accordance with Resolution </w:t>
            </w:r>
            <w:r w:rsidRPr="00715E0D">
              <w:rPr>
                <w:bCs/>
                <w:sz w:val="22"/>
                <w:szCs w:val="22"/>
              </w:rPr>
              <w:t>651</w:t>
            </w:r>
            <w:r w:rsidRPr="00715E0D">
              <w:rPr>
                <w:sz w:val="22"/>
                <w:szCs w:val="22"/>
              </w:rPr>
              <w:t> </w:t>
            </w:r>
            <w:r w:rsidRPr="00715E0D">
              <w:rPr>
                <w:bCs/>
                <w:sz w:val="22"/>
                <w:szCs w:val="22"/>
              </w:rPr>
              <w:t>(WRC</w:t>
            </w:r>
            <w:r w:rsidRPr="00715E0D">
              <w:rPr>
                <w:bCs/>
                <w:sz w:val="22"/>
                <w:szCs w:val="22"/>
              </w:rPr>
              <w:noBreakHyphen/>
              <w:t>12)</w:t>
            </w:r>
            <w:r w:rsidRPr="00715E0D">
              <w:rPr>
                <w:sz w:val="22"/>
                <w:szCs w:val="22"/>
              </w:rPr>
              <w:t>.</w:t>
            </w:r>
          </w:p>
        </w:tc>
        <w:tc>
          <w:tcPr>
            <w:tcW w:w="9526" w:type="dxa"/>
          </w:tcPr>
          <w:p w:rsidR="009C04CB" w:rsidRPr="00715E0D" w:rsidRDefault="009C04CB" w:rsidP="009C04CB">
            <w:pPr>
              <w:spacing w:before="0" w:beforeAutospacing="0" w:after="0" w:afterAutospacing="0"/>
              <w:rPr>
                <w:sz w:val="22"/>
                <w:szCs w:val="22"/>
                <w:lang w:val="en-GB"/>
              </w:rPr>
            </w:pPr>
          </w:p>
          <w:p w:rsidR="009C04CB" w:rsidRPr="00715E0D" w:rsidRDefault="009C04CB" w:rsidP="009C04CB">
            <w:pPr>
              <w:pStyle w:val="ECCParagraph"/>
              <w:rPr>
                <w:rFonts w:ascii="Times New Roman" w:hAnsi="Times New Roman"/>
              </w:rPr>
            </w:pPr>
            <w:r w:rsidRPr="00715E0D">
              <w:rPr>
                <w:rFonts w:ascii="Times New Roman" w:hAnsi="Times New Roman"/>
              </w:rPr>
              <w:t>CEPT proposes a NOC to the WRC-15 an EESS (active) allocation of 600 MHz additional spectrum in the bands 9.2-9.3 GHz and 9.9-10.4 GHz on a primary basis.</w:t>
            </w:r>
          </w:p>
        </w:tc>
      </w:tr>
      <w:tr w:rsidR="00DA0268" w:rsidRPr="00715E0D" w:rsidTr="00F5724C">
        <w:tc>
          <w:tcPr>
            <w:tcW w:w="817" w:type="dxa"/>
          </w:tcPr>
          <w:p w:rsidR="00DA0268" w:rsidRPr="00715E0D" w:rsidRDefault="00DA0268" w:rsidP="00DA0268">
            <w:pPr>
              <w:jc w:val="center"/>
              <w:rPr>
                <w:sz w:val="22"/>
                <w:szCs w:val="22"/>
              </w:rPr>
            </w:pPr>
            <w:r w:rsidRPr="00715E0D">
              <w:rPr>
                <w:sz w:val="22"/>
                <w:szCs w:val="22"/>
              </w:rPr>
              <w:t>1.17</w:t>
            </w:r>
          </w:p>
          <w:p w:rsidR="00DA0268" w:rsidRPr="00715E0D" w:rsidRDefault="00DA0268" w:rsidP="00DA0268">
            <w:pPr>
              <w:jc w:val="center"/>
              <w:rPr>
                <w:sz w:val="22"/>
                <w:szCs w:val="22"/>
              </w:rPr>
            </w:pPr>
          </w:p>
          <w:p w:rsidR="00DA0268" w:rsidRPr="00715E0D" w:rsidRDefault="00DA0268" w:rsidP="00DA0268">
            <w:pPr>
              <w:jc w:val="center"/>
              <w:rPr>
                <w:color w:val="000000"/>
                <w:sz w:val="22"/>
                <w:szCs w:val="22"/>
              </w:rPr>
            </w:pPr>
          </w:p>
        </w:tc>
        <w:tc>
          <w:tcPr>
            <w:tcW w:w="4253" w:type="dxa"/>
          </w:tcPr>
          <w:p w:rsidR="00DA0268" w:rsidRPr="00715E0D" w:rsidRDefault="00DA0268" w:rsidP="00DA0268">
            <w:pPr>
              <w:tabs>
                <w:tab w:val="left" w:pos="1755"/>
              </w:tabs>
              <w:rPr>
                <w:sz w:val="22"/>
                <w:szCs w:val="22"/>
              </w:rPr>
            </w:pPr>
            <w:r w:rsidRPr="00715E0D">
              <w:rPr>
                <w:sz w:val="22"/>
                <w:szCs w:val="22"/>
              </w:rPr>
              <w:lastRenderedPageBreak/>
              <w:t xml:space="preserve">to consider possible spectrum requirements and regulatory actions, including appropriate </w:t>
            </w:r>
            <w:r w:rsidRPr="00715E0D">
              <w:rPr>
                <w:sz w:val="22"/>
                <w:szCs w:val="22"/>
              </w:rPr>
              <w:lastRenderedPageBreak/>
              <w:t>aeronautical allocations, to support wireless avionics intra-communications (WAIC), in accordance with</w:t>
            </w:r>
            <w:r w:rsidRPr="00715E0D">
              <w:rPr>
                <w:bCs/>
                <w:sz w:val="22"/>
                <w:szCs w:val="22"/>
              </w:rPr>
              <w:t xml:space="preserve"> </w:t>
            </w:r>
            <w:r w:rsidRPr="00715E0D">
              <w:rPr>
                <w:sz w:val="22"/>
                <w:szCs w:val="22"/>
              </w:rPr>
              <w:t>Resolution</w:t>
            </w:r>
            <w:r w:rsidRPr="00715E0D">
              <w:rPr>
                <w:bCs/>
                <w:sz w:val="22"/>
                <w:szCs w:val="22"/>
              </w:rPr>
              <w:t> 423</w:t>
            </w:r>
            <w:r w:rsidRPr="00715E0D">
              <w:rPr>
                <w:sz w:val="22"/>
                <w:szCs w:val="22"/>
              </w:rPr>
              <w:t> </w:t>
            </w:r>
            <w:r w:rsidRPr="00715E0D">
              <w:rPr>
                <w:bCs/>
                <w:sz w:val="22"/>
                <w:szCs w:val="22"/>
              </w:rPr>
              <w:t>(WRC</w:t>
            </w:r>
            <w:r w:rsidRPr="00715E0D">
              <w:rPr>
                <w:bCs/>
                <w:sz w:val="22"/>
                <w:szCs w:val="22"/>
              </w:rPr>
              <w:noBreakHyphen/>
              <w:t>12)</w:t>
            </w:r>
            <w:r w:rsidRPr="00715E0D">
              <w:rPr>
                <w:sz w:val="22"/>
                <w:szCs w:val="22"/>
              </w:rPr>
              <w:t>.</w:t>
            </w:r>
          </w:p>
        </w:tc>
        <w:tc>
          <w:tcPr>
            <w:tcW w:w="9526" w:type="dxa"/>
          </w:tcPr>
          <w:p w:rsidR="00DA0268" w:rsidRPr="00715E0D" w:rsidRDefault="00DA0268" w:rsidP="00DA0268">
            <w:pPr>
              <w:spacing w:before="0" w:beforeAutospacing="0" w:after="0" w:afterAutospacing="0"/>
              <w:rPr>
                <w:sz w:val="22"/>
                <w:szCs w:val="22"/>
                <w:lang w:val="en-GB"/>
              </w:rPr>
            </w:pPr>
          </w:p>
          <w:p w:rsidR="00201D83" w:rsidRPr="00715E0D" w:rsidRDefault="00DA0268" w:rsidP="00DA0268">
            <w:pPr>
              <w:pStyle w:val="ECCParagraph"/>
              <w:rPr>
                <w:rFonts w:ascii="Times New Roman" w:eastAsia="Calibri" w:hAnsi="Times New Roman"/>
                <w:lang w:val="en-US"/>
              </w:rPr>
            </w:pPr>
            <w:r w:rsidRPr="00715E0D">
              <w:rPr>
                <w:rFonts w:ascii="Times New Roman" w:hAnsi="Times New Roman"/>
              </w:rPr>
              <w:lastRenderedPageBreak/>
              <w:t xml:space="preserve">CEPT proposes to the WRC-15 </w:t>
            </w:r>
            <w:r w:rsidRPr="00715E0D">
              <w:rPr>
                <w:rFonts w:ascii="Times New Roman" w:eastAsia="Calibri" w:hAnsi="Times New Roman"/>
                <w:lang w:val="en-US"/>
              </w:rPr>
              <w:t>a primary AM(R)S allocation in the 4 200 – 4 400 MHz band limited to WAIC</w:t>
            </w:r>
          </w:p>
        </w:tc>
      </w:tr>
      <w:tr w:rsidR="00201D83" w:rsidRPr="00715E0D" w:rsidTr="00F5724C">
        <w:tc>
          <w:tcPr>
            <w:tcW w:w="817" w:type="dxa"/>
          </w:tcPr>
          <w:p w:rsidR="00201D83" w:rsidRPr="00715E0D" w:rsidRDefault="00201D83" w:rsidP="00201D83">
            <w:pPr>
              <w:jc w:val="center"/>
              <w:rPr>
                <w:sz w:val="22"/>
                <w:szCs w:val="22"/>
              </w:rPr>
            </w:pPr>
            <w:r w:rsidRPr="00715E0D">
              <w:rPr>
                <w:sz w:val="22"/>
                <w:szCs w:val="22"/>
              </w:rPr>
              <w:lastRenderedPageBreak/>
              <w:t>9.1.1</w:t>
            </w:r>
          </w:p>
          <w:p w:rsidR="00201D83" w:rsidRPr="00715E0D" w:rsidRDefault="00201D83" w:rsidP="00201D83">
            <w:pPr>
              <w:jc w:val="center"/>
              <w:rPr>
                <w:sz w:val="22"/>
                <w:szCs w:val="22"/>
              </w:rPr>
            </w:pPr>
          </w:p>
          <w:p w:rsidR="00201D83" w:rsidRPr="00715E0D" w:rsidRDefault="00201D83" w:rsidP="00201D83">
            <w:pPr>
              <w:jc w:val="center"/>
              <w:rPr>
                <w:color w:val="000000"/>
                <w:sz w:val="22"/>
                <w:szCs w:val="22"/>
              </w:rPr>
            </w:pPr>
          </w:p>
        </w:tc>
        <w:tc>
          <w:tcPr>
            <w:tcW w:w="4253" w:type="dxa"/>
          </w:tcPr>
          <w:p w:rsidR="00201D83" w:rsidRPr="00715E0D" w:rsidRDefault="00201D83" w:rsidP="00201D83">
            <w:pPr>
              <w:tabs>
                <w:tab w:val="num" w:pos="540"/>
              </w:tabs>
              <w:rPr>
                <w:bCs/>
                <w:sz w:val="22"/>
                <w:szCs w:val="22"/>
                <w:lang w:val="en-GB"/>
              </w:rPr>
            </w:pPr>
            <w:r w:rsidRPr="00715E0D">
              <w:rPr>
                <w:sz w:val="22"/>
                <w:szCs w:val="22"/>
                <w:lang w:val="en-GB"/>
              </w:rPr>
              <w:t>to consider and approve the Report of the Director of the Radiocommunication Bureau, in accordance with Article 7 of the Convention</w:t>
            </w:r>
            <w:r w:rsidRPr="00715E0D">
              <w:rPr>
                <w:bCs/>
                <w:sz w:val="22"/>
                <w:szCs w:val="22"/>
                <w:lang w:val="en-GB"/>
              </w:rPr>
              <w:t>:</w:t>
            </w:r>
            <w:r w:rsidRPr="00715E0D">
              <w:rPr>
                <w:bCs/>
                <w:sz w:val="22"/>
                <w:szCs w:val="22"/>
                <w:lang w:val="en-GB"/>
              </w:rPr>
              <w:br/>
              <w:t>on the activities of the Radiocommunication Sector since WRC-12:</w:t>
            </w:r>
          </w:p>
          <w:p w:rsidR="00201D83" w:rsidRPr="00715E0D" w:rsidRDefault="00201D83" w:rsidP="00201D83">
            <w:pPr>
              <w:rPr>
                <w:bCs/>
                <w:sz w:val="22"/>
                <w:szCs w:val="22"/>
                <w:lang w:val="en-GB"/>
              </w:rPr>
            </w:pPr>
            <w:r w:rsidRPr="00715E0D">
              <w:rPr>
                <w:bCs/>
                <w:sz w:val="22"/>
                <w:szCs w:val="22"/>
                <w:lang w:val="en-GB"/>
              </w:rPr>
              <w:t xml:space="preserve">Protection of the systems operating in the </w:t>
            </w:r>
            <w:r w:rsidRPr="00715E0D">
              <w:rPr>
                <w:bCs/>
                <w:color w:val="000000"/>
                <w:sz w:val="22"/>
                <w:szCs w:val="22"/>
                <w:lang w:val="en-GB"/>
              </w:rPr>
              <w:t>mobile-satellite service</w:t>
            </w:r>
            <w:r w:rsidRPr="00715E0D">
              <w:rPr>
                <w:bCs/>
                <w:sz w:val="22"/>
                <w:szCs w:val="22"/>
                <w:lang w:val="en-GB"/>
              </w:rPr>
              <w:t xml:space="preserve"> in the band 406-406.1 MHz (Resolution </w:t>
            </w:r>
            <w:r w:rsidRPr="00715E0D">
              <w:rPr>
                <w:sz w:val="22"/>
                <w:szCs w:val="22"/>
                <w:lang w:val="en-GB"/>
              </w:rPr>
              <w:t>205 (Rev.WRC-12)</w:t>
            </w:r>
            <w:r w:rsidRPr="00715E0D">
              <w:rPr>
                <w:bCs/>
                <w:sz w:val="22"/>
                <w:szCs w:val="22"/>
                <w:lang w:val="en-GB"/>
              </w:rPr>
              <w:t>).</w:t>
            </w:r>
          </w:p>
        </w:tc>
        <w:tc>
          <w:tcPr>
            <w:tcW w:w="9526" w:type="dxa"/>
          </w:tcPr>
          <w:p w:rsidR="00201D83" w:rsidRPr="00715E0D" w:rsidRDefault="00201D83" w:rsidP="00201D83">
            <w:pPr>
              <w:spacing w:before="0" w:beforeAutospacing="0" w:after="0" w:afterAutospacing="0"/>
              <w:rPr>
                <w:sz w:val="22"/>
                <w:szCs w:val="22"/>
                <w:lang w:val="en-GB"/>
              </w:rPr>
            </w:pPr>
          </w:p>
          <w:p w:rsidR="00B82D4A" w:rsidRPr="00715E0D" w:rsidRDefault="00201D83" w:rsidP="00B82D4A">
            <w:pPr>
              <w:pStyle w:val="ECCParagraph"/>
              <w:rPr>
                <w:rFonts w:ascii="Times New Roman" w:eastAsia="Calibri" w:hAnsi="Times New Roman"/>
                <w:lang w:val="en-US"/>
              </w:rPr>
            </w:pPr>
            <w:r w:rsidRPr="00715E0D">
              <w:rPr>
                <w:rFonts w:ascii="Times New Roman" w:hAnsi="Times New Roman"/>
              </w:rPr>
              <w:t xml:space="preserve">CEPT proposes to the WRC-15 </w:t>
            </w:r>
            <w:r w:rsidRPr="00715E0D">
              <w:rPr>
                <w:rFonts w:ascii="Times New Roman" w:eastAsia="Calibri" w:hAnsi="Times New Roman"/>
                <w:lang w:val="en-US"/>
              </w:rPr>
              <w:t xml:space="preserve">a Revision of Resolution 205 </w:t>
            </w:r>
            <w:r w:rsidR="00B82D4A" w:rsidRPr="00715E0D">
              <w:rPr>
                <w:rFonts w:ascii="Times New Roman" w:eastAsia="Calibri" w:hAnsi="Times New Roman"/>
                <w:lang w:val="en-US"/>
              </w:rPr>
              <w:t>:</w:t>
            </w:r>
          </w:p>
          <w:p w:rsidR="00B82D4A" w:rsidRPr="00715E0D" w:rsidRDefault="00B82D4A" w:rsidP="00B82D4A">
            <w:pPr>
              <w:pStyle w:val="ECCParagraph"/>
              <w:numPr>
                <w:ilvl w:val="0"/>
                <w:numId w:val="12"/>
              </w:numPr>
              <w:rPr>
                <w:rFonts w:ascii="Times New Roman" w:eastAsia="Calibri" w:hAnsi="Times New Roman"/>
                <w:lang w:val="en-US"/>
              </w:rPr>
            </w:pPr>
            <w:r w:rsidRPr="00715E0D">
              <w:rPr>
                <w:rFonts w:ascii="Times New Roman" w:eastAsia="Calibri" w:hAnsi="Times New Roman"/>
                <w:lang w:val="en-US"/>
              </w:rPr>
              <w:t>requesting administrations not to make any new assignments in the 405.9-406 MHz and 406.1-406.2 MHz under the mobile and fixed service</w:t>
            </w:r>
          </w:p>
          <w:p w:rsidR="00201D83" w:rsidRPr="00715E0D" w:rsidRDefault="00B82D4A" w:rsidP="00B82D4A">
            <w:pPr>
              <w:pStyle w:val="ECCParagraph"/>
              <w:numPr>
                <w:ilvl w:val="0"/>
                <w:numId w:val="12"/>
              </w:numPr>
              <w:rPr>
                <w:rFonts w:ascii="Times New Roman" w:eastAsia="Calibri" w:hAnsi="Times New Roman"/>
                <w:lang w:val="en-US"/>
              </w:rPr>
            </w:pPr>
            <w:r w:rsidRPr="00715E0D">
              <w:rPr>
                <w:rFonts w:ascii="Times New Roman" w:eastAsia="Calibri" w:hAnsi="Times New Roman"/>
                <w:lang w:val="en-US"/>
              </w:rPr>
              <w:t>asking administrations to take into account frequency drift characteristics of radiosondes when selecting their operating frequency above 405 MHz</w:t>
            </w:r>
          </w:p>
        </w:tc>
      </w:tr>
      <w:tr w:rsidR="00964661" w:rsidRPr="00715E0D" w:rsidTr="00F5724C">
        <w:tc>
          <w:tcPr>
            <w:tcW w:w="817" w:type="dxa"/>
          </w:tcPr>
          <w:p w:rsidR="00964661" w:rsidRPr="00715E0D" w:rsidRDefault="00964661" w:rsidP="00964661">
            <w:pPr>
              <w:jc w:val="center"/>
              <w:rPr>
                <w:sz w:val="22"/>
                <w:szCs w:val="22"/>
              </w:rPr>
            </w:pPr>
            <w:r w:rsidRPr="00715E0D">
              <w:rPr>
                <w:sz w:val="22"/>
                <w:szCs w:val="22"/>
              </w:rPr>
              <w:t>9.1.5</w:t>
            </w:r>
          </w:p>
          <w:p w:rsidR="00964661" w:rsidRPr="00715E0D" w:rsidRDefault="00964661" w:rsidP="00964661">
            <w:pPr>
              <w:jc w:val="center"/>
              <w:rPr>
                <w:sz w:val="22"/>
                <w:szCs w:val="22"/>
              </w:rPr>
            </w:pPr>
          </w:p>
          <w:p w:rsidR="00964661" w:rsidRPr="00715E0D" w:rsidRDefault="00964661" w:rsidP="00964661">
            <w:pPr>
              <w:jc w:val="center"/>
              <w:rPr>
                <w:color w:val="000000"/>
                <w:sz w:val="22"/>
                <w:szCs w:val="22"/>
              </w:rPr>
            </w:pPr>
          </w:p>
        </w:tc>
        <w:tc>
          <w:tcPr>
            <w:tcW w:w="4253" w:type="dxa"/>
          </w:tcPr>
          <w:p w:rsidR="00964661" w:rsidRPr="00715E0D" w:rsidRDefault="00964661" w:rsidP="00964661">
            <w:pPr>
              <w:rPr>
                <w:sz w:val="22"/>
                <w:szCs w:val="22"/>
              </w:rPr>
            </w:pPr>
            <w:r w:rsidRPr="00715E0D">
              <w:rPr>
                <w:sz w:val="22"/>
                <w:szCs w:val="22"/>
              </w:rPr>
              <w:t>consider and approve the Report of the Director on the ITU-R activities on technical and regulatory actions in order to support existing and future operation of fixed</w:t>
            </w:r>
            <w:r w:rsidRPr="00715E0D">
              <w:rPr>
                <w:sz w:val="22"/>
                <w:szCs w:val="22"/>
              </w:rPr>
              <w:noBreakHyphen/>
              <w:t>satellite service earth stations within the band 3 400-4 200 MHz, as an aid to the safe operation of aircraft and reliable distribution of meteorological information in some countries in Region 1</w:t>
            </w:r>
            <w:r w:rsidRPr="00715E0D">
              <w:rPr>
                <w:b/>
                <w:bCs/>
                <w:sz w:val="22"/>
                <w:szCs w:val="22"/>
              </w:rPr>
              <w:t>.</w:t>
            </w:r>
          </w:p>
        </w:tc>
        <w:tc>
          <w:tcPr>
            <w:tcW w:w="9526" w:type="dxa"/>
          </w:tcPr>
          <w:p w:rsidR="00964661" w:rsidRPr="00715E0D" w:rsidRDefault="00964661" w:rsidP="00964661">
            <w:pPr>
              <w:spacing w:before="0" w:beforeAutospacing="0" w:after="0" w:afterAutospacing="0"/>
              <w:rPr>
                <w:sz w:val="22"/>
                <w:szCs w:val="22"/>
                <w:lang w:val="en-GB"/>
              </w:rPr>
            </w:pPr>
          </w:p>
          <w:p w:rsidR="00964661" w:rsidRPr="00715E0D" w:rsidRDefault="00964661" w:rsidP="00964661">
            <w:pPr>
              <w:pStyle w:val="ECCParagraph"/>
              <w:rPr>
                <w:rFonts w:ascii="Times New Roman" w:eastAsia="Calibri" w:hAnsi="Times New Roman"/>
                <w:lang w:val="en-US"/>
              </w:rPr>
            </w:pPr>
            <w:r w:rsidRPr="00715E0D">
              <w:rPr>
                <w:rFonts w:ascii="Times New Roman" w:hAnsi="Times New Roman"/>
              </w:rPr>
              <w:t>CEPT does not make any proposal to the WRC-15 on this agenda item, but will not object to proposals from other regional organisations or countries outside CEPT for modification of Resolution</w:t>
            </w:r>
          </w:p>
        </w:tc>
      </w:tr>
      <w:tr w:rsidR="00964661" w:rsidRPr="00715E0D" w:rsidTr="00F5724C">
        <w:tc>
          <w:tcPr>
            <w:tcW w:w="817" w:type="dxa"/>
            <w:tcBorders>
              <w:top w:val="single" w:sz="4" w:space="0" w:color="auto"/>
              <w:left w:val="single" w:sz="4" w:space="0" w:color="auto"/>
              <w:bottom w:val="single" w:sz="4" w:space="0" w:color="auto"/>
              <w:right w:val="single" w:sz="4" w:space="0" w:color="auto"/>
            </w:tcBorders>
          </w:tcPr>
          <w:p w:rsidR="00964661" w:rsidRPr="00715E0D" w:rsidRDefault="00964661" w:rsidP="00964661">
            <w:pPr>
              <w:jc w:val="center"/>
              <w:rPr>
                <w:sz w:val="22"/>
                <w:szCs w:val="22"/>
              </w:rPr>
            </w:pPr>
            <w:r w:rsidRPr="00715E0D">
              <w:rPr>
                <w:sz w:val="22"/>
                <w:szCs w:val="22"/>
              </w:rPr>
              <w:t>9.1.8</w:t>
            </w:r>
          </w:p>
        </w:tc>
        <w:tc>
          <w:tcPr>
            <w:tcW w:w="4253" w:type="dxa"/>
            <w:tcBorders>
              <w:top w:val="single" w:sz="4" w:space="0" w:color="auto"/>
              <w:left w:val="single" w:sz="4" w:space="0" w:color="auto"/>
              <w:bottom w:val="single" w:sz="4" w:space="0" w:color="auto"/>
              <w:right w:val="single" w:sz="4" w:space="0" w:color="auto"/>
            </w:tcBorders>
          </w:tcPr>
          <w:p w:rsidR="00964661" w:rsidRPr="00715E0D" w:rsidRDefault="00964661" w:rsidP="00964661">
            <w:pPr>
              <w:rPr>
                <w:sz w:val="22"/>
                <w:szCs w:val="22"/>
              </w:rPr>
            </w:pPr>
            <w:r w:rsidRPr="00715E0D">
              <w:rPr>
                <w:sz w:val="22"/>
                <w:szCs w:val="22"/>
              </w:rPr>
              <w:t>consider and approve the Report of the Director on the ITU-R activities on technical and regulatory actions in order to support existing and future operation of fixed</w:t>
            </w:r>
            <w:r w:rsidRPr="00715E0D">
              <w:rPr>
                <w:sz w:val="22"/>
                <w:szCs w:val="22"/>
              </w:rPr>
              <w:noBreakHyphen/>
              <w:t>satellite service earth stations within the band 3 400-4 200 MHz, as an aid to the safe operation of aircraft and reliable distribution of meteorological information in some countries in Region 1.</w:t>
            </w:r>
          </w:p>
        </w:tc>
        <w:tc>
          <w:tcPr>
            <w:tcW w:w="9526" w:type="dxa"/>
            <w:tcBorders>
              <w:top w:val="single" w:sz="4" w:space="0" w:color="auto"/>
              <w:left w:val="single" w:sz="4" w:space="0" w:color="auto"/>
              <w:bottom w:val="single" w:sz="4" w:space="0" w:color="auto"/>
              <w:right w:val="single" w:sz="4" w:space="0" w:color="auto"/>
            </w:tcBorders>
          </w:tcPr>
          <w:p w:rsidR="00964661" w:rsidRPr="00715E0D" w:rsidRDefault="00964661" w:rsidP="00964661">
            <w:pPr>
              <w:spacing w:before="0" w:beforeAutospacing="0" w:after="0" w:afterAutospacing="0"/>
              <w:rPr>
                <w:sz w:val="22"/>
                <w:szCs w:val="22"/>
                <w:lang w:val="en-GB"/>
              </w:rPr>
            </w:pPr>
          </w:p>
          <w:p w:rsidR="00964661" w:rsidRPr="00715E0D" w:rsidRDefault="00964661" w:rsidP="00964661">
            <w:pPr>
              <w:pStyle w:val="ECCParagraph"/>
              <w:rPr>
                <w:rFonts w:ascii="Times New Roman" w:hAnsi="Times New Roman"/>
              </w:rPr>
            </w:pPr>
            <w:r w:rsidRPr="00715E0D">
              <w:rPr>
                <w:rFonts w:ascii="Times New Roman" w:hAnsi="Times New Roman"/>
              </w:rPr>
              <w:t>CEPT proposes a NOC to the WRC-15 (see also agenda item 10)</w:t>
            </w:r>
          </w:p>
          <w:p w:rsidR="00964661" w:rsidRPr="00715E0D" w:rsidRDefault="00964661" w:rsidP="00964661">
            <w:pPr>
              <w:widowControl w:val="0"/>
              <w:spacing w:after="0"/>
              <w:rPr>
                <w:rFonts w:eastAsia="Times New Roman"/>
                <w:snapToGrid w:val="0"/>
                <w:sz w:val="20"/>
                <w:szCs w:val="20"/>
              </w:rPr>
            </w:pPr>
          </w:p>
          <w:p w:rsidR="00964661" w:rsidRPr="00715E0D" w:rsidRDefault="00964661" w:rsidP="00964661">
            <w:pPr>
              <w:pStyle w:val="ECCParagraph"/>
              <w:rPr>
                <w:rFonts w:ascii="Times New Roman" w:hAnsi="Times New Roman"/>
                <w:lang w:val="en-US"/>
              </w:rPr>
            </w:pPr>
          </w:p>
        </w:tc>
      </w:tr>
      <w:tr w:rsidR="00D96ED6" w:rsidRPr="004C3AF7" w:rsidTr="00F5724C">
        <w:tc>
          <w:tcPr>
            <w:tcW w:w="817" w:type="dxa"/>
            <w:tcBorders>
              <w:top w:val="single" w:sz="4" w:space="0" w:color="auto"/>
              <w:left w:val="single" w:sz="4" w:space="0" w:color="auto"/>
              <w:bottom w:val="single" w:sz="4" w:space="0" w:color="auto"/>
              <w:right w:val="single" w:sz="4" w:space="0" w:color="auto"/>
            </w:tcBorders>
          </w:tcPr>
          <w:p w:rsidR="00D96ED6" w:rsidRPr="00715E0D" w:rsidRDefault="00D96ED6" w:rsidP="00D96ED6">
            <w:pPr>
              <w:jc w:val="center"/>
              <w:rPr>
                <w:sz w:val="22"/>
                <w:szCs w:val="22"/>
              </w:rPr>
            </w:pPr>
            <w:r w:rsidRPr="00715E0D">
              <w:rPr>
                <w:sz w:val="22"/>
                <w:szCs w:val="22"/>
              </w:rPr>
              <w:t>10</w:t>
            </w:r>
          </w:p>
        </w:tc>
        <w:tc>
          <w:tcPr>
            <w:tcW w:w="4253" w:type="dxa"/>
            <w:tcBorders>
              <w:top w:val="single" w:sz="4" w:space="0" w:color="auto"/>
              <w:left w:val="single" w:sz="4" w:space="0" w:color="auto"/>
              <w:bottom w:val="single" w:sz="4" w:space="0" w:color="auto"/>
              <w:right w:val="single" w:sz="4" w:space="0" w:color="auto"/>
            </w:tcBorders>
          </w:tcPr>
          <w:p w:rsidR="00D96ED6" w:rsidRPr="00715E0D" w:rsidRDefault="00D96ED6" w:rsidP="00D96ED6">
            <w:pPr>
              <w:rPr>
                <w:sz w:val="22"/>
                <w:szCs w:val="22"/>
              </w:rPr>
            </w:pPr>
            <w:r w:rsidRPr="00715E0D">
              <w:rPr>
                <w:sz w:val="22"/>
                <w:szCs w:val="22"/>
              </w:rPr>
              <w:t xml:space="preserve">to recommend to the Council items for inclusion in the agenda for the next WRC, and to give its views on the preliminary agenda for the subsequent conference and on possible agenda items for future conferences, </w:t>
            </w:r>
            <w:r w:rsidRPr="00715E0D">
              <w:rPr>
                <w:sz w:val="22"/>
                <w:szCs w:val="22"/>
              </w:rPr>
              <w:lastRenderedPageBreak/>
              <w:t>in accordance with Article 7 of the Convention,</w:t>
            </w:r>
          </w:p>
        </w:tc>
        <w:tc>
          <w:tcPr>
            <w:tcW w:w="9526" w:type="dxa"/>
            <w:tcBorders>
              <w:top w:val="single" w:sz="4" w:space="0" w:color="auto"/>
              <w:left w:val="single" w:sz="4" w:space="0" w:color="auto"/>
              <w:bottom w:val="single" w:sz="4" w:space="0" w:color="auto"/>
              <w:right w:val="single" w:sz="4" w:space="0" w:color="auto"/>
            </w:tcBorders>
          </w:tcPr>
          <w:p w:rsidR="00D96ED6" w:rsidRPr="00715E0D" w:rsidRDefault="00D96ED6" w:rsidP="00D96ED6">
            <w:pPr>
              <w:spacing w:before="0" w:beforeAutospacing="0" w:after="0" w:afterAutospacing="0"/>
              <w:rPr>
                <w:sz w:val="22"/>
                <w:szCs w:val="22"/>
                <w:lang w:val="en-GB"/>
              </w:rPr>
            </w:pPr>
          </w:p>
          <w:p w:rsidR="00D96ED6" w:rsidRPr="00715E0D" w:rsidRDefault="00D96ED6" w:rsidP="00D96ED6">
            <w:pPr>
              <w:pStyle w:val="ECCParagraph"/>
              <w:rPr>
                <w:rFonts w:ascii="Times New Roman" w:hAnsi="Times New Roman"/>
              </w:rPr>
            </w:pPr>
            <w:r w:rsidRPr="00715E0D">
              <w:rPr>
                <w:rFonts w:ascii="Times New Roman" w:hAnsi="Times New Roman"/>
              </w:rPr>
              <w:t>CEPT proposes the following agenda items to be considered by WR-19:</w:t>
            </w:r>
          </w:p>
          <w:p w:rsidR="009B489C" w:rsidRPr="00715E0D" w:rsidRDefault="00DB3E5B" w:rsidP="009B489C">
            <w:pPr>
              <w:pStyle w:val="ECCParagraph"/>
              <w:numPr>
                <w:ilvl w:val="0"/>
                <w:numId w:val="12"/>
              </w:numPr>
              <w:spacing w:after="120"/>
              <w:ind w:left="714" w:hanging="357"/>
              <w:rPr>
                <w:rFonts w:ascii="Times New Roman" w:hAnsi="Times New Roman"/>
              </w:rPr>
            </w:pPr>
            <w:r w:rsidRPr="00715E0D">
              <w:rPr>
                <w:rFonts w:ascii="Times New Roman" w:hAnsi="Times New Roman"/>
              </w:rPr>
              <w:t>a</w:t>
            </w:r>
            <w:r w:rsidR="00D96ED6" w:rsidRPr="00715E0D">
              <w:rPr>
                <w:rFonts w:ascii="Times New Roman" w:hAnsi="Times New Roman"/>
              </w:rPr>
              <w:t>dditional spectrum for IMT/5G, limited to the</w:t>
            </w:r>
            <w:r w:rsidR="00D96ED6" w:rsidRPr="00715E0D">
              <w:rPr>
                <w:rFonts w:ascii="Times New Roman" w:eastAsiaTheme="minorEastAsia" w:hAnsi="Times New Roman"/>
              </w:rPr>
              <w:t xml:space="preserve"> </w:t>
            </w:r>
            <w:r w:rsidR="00D96ED6" w:rsidRPr="00715E0D">
              <w:rPr>
                <w:rStyle w:val="BRNormal"/>
                <w:rFonts w:ascii="Times New Roman" w:eastAsiaTheme="minorEastAsia" w:hAnsi="Times New Roman"/>
              </w:rPr>
              <w:t>31.8-33.4 GHz, 40.5-43.5 GHz, 45.5-48.9 GHz, 66-71 GHz, 71-76 GHz, 81-86</w:t>
            </w:r>
            <w:r w:rsidR="00D96ED6" w:rsidRPr="00715E0D">
              <w:rPr>
                <w:rFonts w:ascii="Times New Roman" w:eastAsiaTheme="minorEastAsia" w:hAnsi="Times New Roman"/>
              </w:rPr>
              <w:t xml:space="preserve"> GHz</w:t>
            </w:r>
            <w:r w:rsidR="009B489C" w:rsidRPr="00715E0D">
              <w:rPr>
                <w:rFonts w:ascii="Times New Roman" w:eastAsiaTheme="minorEastAsia" w:hAnsi="Times New Roman"/>
              </w:rPr>
              <w:t xml:space="preserve">. The band </w:t>
            </w:r>
            <w:r w:rsidR="009B489C" w:rsidRPr="00715E0D">
              <w:rPr>
                <w:rFonts w:ascii="Times New Roman" w:hAnsi="Times New Roman"/>
                <w:snapToGrid w:val="0"/>
              </w:rPr>
              <w:t xml:space="preserve">24.5-27.5 GHz is also proposed specifically </w:t>
            </w:r>
            <w:r w:rsidR="009B489C" w:rsidRPr="00715E0D">
              <w:rPr>
                <w:rFonts w:ascii="Times New Roman" w:hAnsi="Times New Roman"/>
                <w:snapToGrid w:val="0"/>
              </w:rPr>
              <w:lastRenderedPageBreak/>
              <w:t>indicating that the EESS and SRS in the band 25,5-27 GHz have to be protected and not limited for their future deployments.</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allocation of the frequency band 50-54 MHz to the amateur service</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identification by footnote for the land mobile and fixed services in the range 275-450 GHz, while maintaining the protection to passive services</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allocation to the amateur service in the frequency band 1 800 – 2 000 kHz</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additional primary allocation to the fixed-satellite service (Earth-to-space) in the frequency band 51.4-52.4 GHz and regulatory framework related to Non-GSO FSS systems in the range 37.5-52.4 GHz</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establishment of mandatory power limits within maritime mobile satellite, meteorological satellite service or Earth exploration-satellite service in the 401-403 MHz and 399.9-400.05 MHz frequency bands</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upgrade of the secondary allocation to the Meteorological-satellite service (space-to-Earth) in the band 460 – 470 MHz and to the Earth exploration-satellite service (space-to-Earth)</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allocations to the space operation service in the range 137 -174 MHz and 230-470 MHz to accommodate the growing number of small non-GSO satellites</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use of the frequency bands 17.7-19.7 GHz and 27.5-29.5 GHz by earth stations on mobile platforms communicating with geostationary space stations in the fixed-satellite service</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revision of Annex 7 to Appendix 30 of the Radio Regulations</w:t>
            </w:r>
          </w:p>
          <w:p w:rsidR="009B489C" w:rsidRPr="00715E0D" w:rsidRDefault="009B489C" w:rsidP="009B489C">
            <w:pPr>
              <w:pStyle w:val="ECCParagraph"/>
              <w:numPr>
                <w:ilvl w:val="0"/>
                <w:numId w:val="12"/>
              </w:numPr>
              <w:spacing w:after="120"/>
              <w:ind w:left="714" w:hanging="357"/>
              <w:rPr>
                <w:rStyle w:val="BRNormal"/>
                <w:rFonts w:ascii="Times New Roman" w:hAnsi="Times New Roman"/>
              </w:rPr>
            </w:pPr>
            <w:r w:rsidRPr="00715E0D">
              <w:rPr>
                <w:rStyle w:val="BRNormal"/>
                <w:rFonts w:ascii="Times New Roman" w:hAnsi="Times New Roman"/>
              </w:rPr>
              <w:t xml:space="preserve">regulatory actions for the development and implementation of the Global Aeronautical Distress and Safety System (GADSS) </w:t>
            </w:r>
          </w:p>
          <w:p w:rsidR="00D96ED6" w:rsidRPr="00715E0D" w:rsidRDefault="009B489C" w:rsidP="009B489C">
            <w:pPr>
              <w:pStyle w:val="ECCParagraph"/>
              <w:numPr>
                <w:ilvl w:val="0"/>
                <w:numId w:val="12"/>
              </w:numPr>
              <w:spacing w:after="120"/>
              <w:ind w:left="714" w:hanging="357"/>
              <w:rPr>
                <w:rFonts w:ascii="Times New Roman" w:hAnsi="Times New Roman"/>
              </w:rPr>
            </w:pPr>
            <w:r w:rsidRPr="00715E0D">
              <w:rPr>
                <w:rStyle w:val="BRNormal"/>
                <w:rFonts w:ascii="Times New Roman" w:hAnsi="Times New Roman"/>
              </w:rPr>
              <w:t>regulatory provi</w:t>
            </w:r>
            <w:r w:rsidR="00715E0D" w:rsidRPr="00715E0D">
              <w:rPr>
                <w:rStyle w:val="BRNormal"/>
                <w:rFonts w:ascii="Times New Roman" w:hAnsi="Times New Roman"/>
              </w:rPr>
              <w:t>si</w:t>
            </w:r>
            <w:r w:rsidRPr="00715E0D">
              <w:rPr>
                <w:rStyle w:val="BRNormal"/>
                <w:rFonts w:ascii="Times New Roman" w:hAnsi="Times New Roman"/>
              </w:rPr>
              <w:t>ons and</w:t>
            </w:r>
            <w:r w:rsidR="00715E0D" w:rsidRPr="00715E0D">
              <w:rPr>
                <w:rStyle w:val="BRNormal"/>
                <w:rFonts w:ascii="Times New Roman" w:hAnsi="Times New Roman"/>
              </w:rPr>
              <w:t xml:space="preserve"> </w:t>
            </w:r>
            <w:r w:rsidRPr="00715E0D">
              <w:rPr>
                <w:rStyle w:val="BRNormal"/>
                <w:rFonts w:ascii="Times New Roman" w:hAnsi="Times New Roman"/>
              </w:rPr>
              <w:t>spectrum allocations, regarding maritime radio devices operating without regulatory connection to vessels or coast stations to ensure safety of navigation and to protect the integrity of the GMDSS</w:t>
            </w:r>
          </w:p>
          <w:p w:rsidR="00D96ED6" w:rsidRPr="00D81D79" w:rsidRDefault="00D81D79" w:rsidP="00D96ED6">
            <w:pPr>
              <w:widowControl w:val="0"/>
              <w:spacing w:after="0"/>
              <w:rPr>
                <w:rFonts w:eastAsia="Times New Roman"/>
                <w:snapToGrid w:val="0"/>
                <w:sz w:val="22"/>
                <w:szCs w:val="22"/>
                <w:lang w:val="en-GB"/>
              </w:rPr>
            </w:pPr>
            <w:r w:rsidRPr="00715E0D">
              <w:rPr>
                <w:rFonts w:eastAsia="Times New Roman"/>
                <w:snapToGrid w:val="0"/>
                <w:sz w:val="22"/>
                <w:szCs w:val="22"/>
              </w:rPr>
              <w:t xml:space="preserve">On the issue of RLAN 5 GHz, the compromise proposal to consider the whole 5 GHz range </w:t>
            </w:r>
            <w:r w:rsidR="00715E0D" w:rsidRPr="00715E0D">
              <w:rPr>
                <w:rFonts w:eastAsia="Times New Roman"/>
                <w:snapToGrid w:val="0"/>
                <w:sz w:val="22"/>
                <w:szCs w:val="22"/>
              </w:rPr>
              <w:t xml:space="preserve">and not </w:t>
            </w:r>
            <w:r w:rsidRPr="00715E0D">
              <w:rPr>
                <w:rFonts w:eastAsia="Times New Roman"/>
                <w:snapToGrid w:val="0"/>
                <w:sz w:val="22"/>
                <w:szCs w:val="22"/>
              </w:rPr>
              <w:t>only the 5350-5470 MHz band was objected by 7 countries. This item has been removed from the ECP on AI 10. However, the compromise proposal will probably be submitted to WRC-15 as a multi-country proposal.</w:t>
            </w:r>
          </w:p>
          <w:p w:rsidR="00D96ED6" w:rsidRPr="009B489C" w:rsidRDefault="00D96ED6" w:rsidP="00D96ED6">
            <w:pPr>
              <w:pStyle w:val="ECCParagraph"/>
              <w:rPr>
                <w:rFonts w:ascii="Times New Roman" w:hAnsi="Times New Roman"/>
                <w:lang w:val="en-US"/>
              </w:rPr>
            </w:pPr>
          </w:p>
        </w:tc>
      </w:tr>
    </w:tbl>
    <w:p w:rsidR="00D82060" w:rsidRPr="004C3AF7" w:rsidRDefault="00D82060" w:rsidP="003A6054">
      <w:pPr>
        <w:rPr>
          <w:sz w:val="22"/>
          <w:szCs w:val="22"/>
        </w:rPr>
      </w:pPr>
    </w:p>
    <w:sectPr w:rsidR="00D82060" w:rsidRPr="004C3AF7" w:rsidSect="00872DBF">
      <w:footnotePr>
        <w:numFmt w:val="chicago"/>
      </w:footnotePr>
      <w:pgSz w:w="16840" w:h="11907" w:orient="landscape"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71D" w:rsidRDefault="006A471D" w:rsidP="007A73F8">
      <w:pPr>
        <w:spacing w:before="0" w:after="0"/>
      </w:pPr>
      <w:r>
        <w:separator/>
      </w:r>
    </w:p>
  </w:endnote>
  <w:endnote w:type="continuationSeparator" w:id="0">
    <w:p w:rsidR="006A471D" w:rsidRDefault="006A471D"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old">
    <w:panose1 w:val="020B07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71D" w:rsidRDefault="006A471D" w:rsidP="007A73F8">
      <w:pPr>
        <w:spacing w:before="0" w:after="0"/>
      </w:pPr>
      <w:r>
        <w:separator/>
      </w:r>
    </w:p>
  </w:footnote>
  <w:footnote w:type="continuationSeparator" w:id="0">
    <w:p w:rsidR="006A471D" w:rsidRDefault="006A471D" w:rsidP="007A73F8">
      <w:pPr>
        <w:spacing w:before="0" w:after="0"/>
      </w:pPr>
      <w:r>
        <w:continuationSeparator/>
      </w:r>
    </w:p>
  </w:footnote>
  <w:footnote w:id="1">
    <w:p w:rsidR="00D72550" w:rsidRDefault="00D72550">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550" w:rsidRPr="009C443D" w:rsidRDefault="00D72550"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8018FC">
      <w:rPr>
        <w:rStyle w:val="PageNumber"/>
        <w:noProof/>
        <w:sz w:val="18"/>
        <w:szCs w:val="18"/>
      </w:rPr>
      <w:t>3</w:t>
    </w:r>
    <w:r w:rsidRPr="009C443D">
      <w:rPr>
        <w:rStyle w:val="PageNumber"/>
        <w:sz w:val="18"/>
        <w:szCs w:val="18"/>
      </w:rPr>
      <w:fldChar w:fldCharType="end"/>
    </w:r>
    <w:r w:rsidRPr="009C443D">
      <w:rPr>
        <w:rStyle w:val="PageNumber"/>
        <w:sz w:val="18"/>
        <w:szCs w:val="18"/>
      </w:rPr>
      <w:t xml:space="preserve"> -</w:t>
    </w:r>
  </w:p>
  <w:p w:rsidR="00D72550" w:rsidRDefault="00D72550" w:rsidP="009C443D">
    <w:pPr>
      <w:pStyle w:val="Header"/>
      <w:spacing w:beforeAutospacing="0" w:afterAutospacing="0"/>
      <w:jc w:val="center"/>
      <w:rPr>
        <w:sz w:val="18"/>
        <w:szCs w:val="18"/>
      </w:rPr>
    </w:pPr>
    <w:r>
      <w:rPr>
        <w:sz w:val="18"/>
        <w:szCs w:val="18"/>
      </w:rPr>
      <w:t>SG-RFC/201</w:t>
    </w:r>
    <w:r w:rsidR="008018FC">
      <w:rPr>
        <w:sz w:val="18"/>
        <w:szCs w:val="18"/>
        <w:lang w:val="en-AU"/>
      </w:rPr>
      <w:t>5</w:t>
    </w:r>
    <w:r>
      <w:rPr>
        <w:sz w:val="18"/>
        <w:szCs w:val="18"/>
      </w:rPr>
      <w:t>-</w:t>
    </w:r>
    <w:r w:rsidR="008018FC">
      <w:rPr>
        <w:sz w:val="18"/>
        <w:szCs w:val="18"/>
        <w:lang w:val="en-AU"/>
      </w:rPr>
      <w:t>Doc27</w:t>
    </w:r>
    <w:r w:rsidRPr="009C443D">
      <w:rPr>
        <w:sz w:val="18"/>
        <w:szCs w:val="18"/>
      </w:rPr>
      <w:t>-E</w:t>
    </w:r>
  </w:p>
  <w:p w:rsidR="00D72550" w:rsidRPr="009C443D" w:rsidRDefault="00D72550"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53E7D8A"/>
    <w:multiLevelType w:val="hybridMultilevel"/>
    <w:tmpl w:val="37D935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B70979"/>
    <w:multiLevelType w:val="hybridMultilevel"/>
    <w:tmpl w:val="39CE0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0B51A74"/>
    <w:multiLevelType w:val="hybridMultilevel"/>
    <w:tmpl w:val="079A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96153"/>
    <w:multiLevelType w:val="multilevel"/>
    <w:tmpl w:val="FCEC7FBC"/>
    <w:numStyleLink w:val="ECCBullets"/>
  </w:abstractNum>
  <w:abstractNum w:abstractNumId="4" w15:restartNumberingAfterBreak="0">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5" w15:restartNumberingAfterBreak="0">
    <w:nsid w:val="1BDE4817"/>
    <w:multiLevelType w:val="hybridMultilevel"/>
    <w:tmpl w:val="93B89354"/>
    <w:lvl w:ilvl="0" w:tplc="FE3030FC">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A87A02"/>
    <w:multiLevelType w:val="hybridMultilevel"/>
    <w:tmpl w:val="F3C8E714"/>
    <w:lvl w:ilvl="0" w:tplc="7AEC2072">
      <w:start w:val="1"/>
      <w:numFmt w:val="bullet"/>
      <w:pStyle w:val="ECCBulletsLv1"/>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7" w15:restartNumberingAfterBreak="0">
    <w:nsid w:val="3CC06347"/>
    <w:multiLevelType w:val="multilevel"/>
    <w:tmpl w:val="FCEC7FBC"/>
    <w:numStyleLink w:val="ECCBullets"/>
  </w:abstractNum>
  <w:abstractNum w:abstractNumId="8" w15:restartNumberingAfterBreak="0">
    <w:nsid w:val="445A04B7"/>
    <w:multiLevelType w:val="hybridMultilevel"/>
    <w:tmpl w:val="3AFE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4D0B65"/>
    <w:multiLevelType w:val="multilevel"/>
    <w:tmpl w:val="FCEC7FBC"/>
    <w:numStyleLink w:val="ECCBullets"/>
  </w:abstractNum>
  <w:abstractNum w:abstractNumId="10" w15:restartNumberingAfterBreak="0">
    <w:nsid w:val="5770231F"/>
    <w:multiLevelType w:val="hybridMultilevel"/>
    <w:tmpl w:val="C052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A670AC"/>
    <w:multiLevelType w:val="hybridMultilevel"/>
    <w:tmpl w:val="7AF0DF6A"/>
    <w:lvl w:ilvl="0" w:tplc="34AE899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A08304D"/>
    <w:multiLevelType w:val="hybridMultilevel"/>
    <w:tmpl w:val="91EC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7"/>
  </w:num>
  <w:num w:numId="5">
    <w:abstractNumId w:val="3"/>
  </w:num>
  <w:num w:numId="6">
    <w:abstractNumId w:val="9"/>
  </w:num>
  <w:num w:numId="7">
    <w:abstractNumId w:val="2"/>
  </w:num>
  <w:num w:numId="8">
    <w:abstractNumId w:val="8"/>
  </w:num>
  <w:num w:numId="9">
    <w:abstractNumId w:val="6"/>
  </w:num>
  <w:num w:numId="10">
    <w:abstractNumId w:val="10"/>
  </w:num>
  <w:num w:numId="11">
    <w:abstractNumId w:val="12"/>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8"/>
  <w:embedSystemFonts/>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9CB"/>
    <w:rsid w:val="00023E3C"/>
    <w:rsid w:val="000309C2"/>
    <w:rsid w:val="000309FF"/>
    <w:rsid w:val="0004008D"/>
    <w:rsid w:val="00042B2B"/>
    <w:rsid w:val="000518BF"/>
    <w:rsid w:val="000757E9"/>
    <w:rsid w:val="00082939"/>
    <w:rsid w:val="000979EA"/>
    <w:rsid w:val="000A42FF"/>
    <w:rsid w:val="000A504D"/>
    <w:rsid w:val="000D057A"/>
    <w:rsid w:val="000E608D"/>
    <w:rsid w:val="00102305"/>
    <w:rsid w:val="00107650"/>
    <w:rsid w:val="00113766"/>
    <w:rsid w:val="00127822"/>
    <w:rsid w:val="0014262E"/>
    <w:rsid w:val="00144843"/>
    <w:rsid w:val="00153C09"/>
    <w:rsid w:val="0016350F"/>
    <w:rsid w:val="00167708"/>
    <w:rsid w:val="00181EBA"/>
    <w:rsid w:val="00185160"/>
    <w:rsid w:val="0018521E"/>
    <w:rsid w:val="001A13D6"/>
    <w:rsid w:val="001B10D7"/>
    <w:rsid w:val="001B2071"/>
    <w:rsid w:val="001B25A7"/>
    <w:rsid w:val="001E2C33"/>
    <w:rsid w:val="00201D83"/>
    <w:rsid w:val="0020657D"/>
    <w:rsid w:val="00223B48"/>
    <w:rsid w:val="0027433C"/>
    <w:rsid w:val="00277FCC"/>
    <w:rsid w:val="002A46EC"/>
    <w:rsid w:val="002A6E93"/>
    <w:rsid w:val="002E18C0"/>
    <w:rsid w:val="002F10FE"/>
    <w:rsid w:val="00304706"/>
    <w:rsid w:val="00344376"/>
    <w:rsid w:val="00347E8E"/>
    <w:rsid w:val="0036338C"/>
    <w:rsid w:val="003764B6"/>
    <w:rsid w:val="003A6054"/>
    <w:rsid w:val="003D38B9"/>
    <w:rsid w:val="003F08D3"/>
    <w:rsid w:val="00412162"/>
    <w:rsid w:val="00422D26"/>
    <w:rsid w:val="0043053C"/>
    <w:rsid w:val="0044117D"/>
    <w:rsid w:val="00441F05"/>
    <w:rsid w:val="00466E06"/>
    <w:rsid w:val="00477E34"/>
    <w:rsid w:val="00497EC7"/>
    <w:rsid w:val="004A39AA"/>
    <w:rsid w:val="004C3AF7"/>
    <w:rsid w:val="004E7941"/>
    <w:rsid w:val="004F0476"/>
    <w:rsid w:val="00510362"/>
    <w:rsid w:val="005B5FEE"/>
    <w:rsid w:val="005B77D8"/>
    <w:rsid w:val="005D6572"/>
    <w:rsid w:val="00604C1A"/>
    <w:rsid w:val="00613500"/>
    <w:rsid w:val="006237F8"/>
    <w:rsid w:val="00651604"/>
    <w:rsid w:val="006546D0"/>
    <w:rsid w:val="0065683A"/>
    <w:rsid w:val="00665CAB"/>
    <w:rsid w:val="00682FE9"/>
    <w:rsid w:val="00683FE2"/>
    <w:rsid w:val="00695EB8"/>
    <w:rsid w:val="006A471D"/>
    <w:rsid w:val="006A4FF3"/>
    <w:rsid w:val="006B4441"/>
    <w:rsid w:val="006E7CAF"/>
    <w:rsid w:val="006F650D"/>
    <w:rsid w:val="00701FDB"/>
    <w:rsid w:val="00713E61"/>
    <w:rsid w:val="00715E0D"/>
    <w:rsid w:val="00716EFA"/>
    <w:rsid w:val="00750671"/>
    <w:rsid w:val="007566C2"/>
    <w:rsid w:val="00767181"/>
    <w:rsid w:val="00776EFE"/>
    <w:rsid w:val="007777CB"/>
    <w:rsid w:val="00781BC4"/>
    <w:rsid w:val="00790387"/>
    <w:rsid w:val="007A73F8"/>
    <w:rsid w:val="007A7EA5"/>
    <w:rsid w:val="007E395D"/>
    <w:rsid w:val="007F3F87"/>
    <w:rsid w:val="007F6686"/>
    <w:rsid w:val="008018FC"/>
    <w:rsid w:val="008075D2"/>
    <w:rsid w:val="00812884"/>
    <w:rsid w:val="00820C6F"/>
    <w:rsid w:val="008276D1"/>
    <w:rsid w:val="00832FA4"/>
    <w:rsid w:val="0084266A"/>
    <w:rsid w:val="00852F63"/>
    <w:rsid w:val="008674B1"/>
    <w:rsid w:val="00872AB2"/>
    <w:rsid w:val="00872DBF"/>
    <w:rsid w:val="00876393"/>
    <w:rsid w:val="008907E5"/>
    <w:rsid w:val="00891B49"/>
    <w:rsid w:val="008D24C5"/>
    <w:rsid w:val="009236D8"/>
    <w:rsid w:val="00924F3F"/>
    <w:rsid w:val="0093198A"/>
    <w:rsid w:val="00932C76"/>
    <w:rsid w:val="00964661"/>
    <w:rsid w:val="0097015B"/>
    <w:rsid w:val="00991D0C"/>
    <w:rsid w:val="009B16D0"/>
    <w:rsid w:val="009B489C"/>
    <w:rsid w:val="009C04CB"/>
    <w:rsid w:val="009C443D"/>
    <w:rsid w:val="009D4904"/>
    <w:rsid w:val="00A16C11"/>
    <w:rsid w:val="00A30EDB"/>
    <w:rsid w:val="00A409CB"/>
    <w:rsid w:val="00A530FD"/>
    <w:rsid w:val="00A80B44"/>
    <w:rsid w:val="00A90A0C"/>
    <w:rsid w:val="00AA5121"/>
    <w:rsid w:val="00AC011C"/>
    <w:rsid w:val="00AC408D"/>
    <w:rsid w:val="00B13392"/>
    <w:rsid w:val="00B1445B"/>
    <w:rsid w:val="00B1454C"/>
    <w:rsid w:val="00B16073"/>
    <w:rsid w:val="00B16AE0"/>
    <w:rsid w:val="00B33A0B"/>
    <w:rsid w:val="00B35CA8"/>
    <w:rsid w:val="00B566E1"/>
    <w:rsid w:val="00B65F89"/>
    <w:rsid w:val="00B72FC8"/>
    <w:rsid w:val="00B82D4A"/>
    <w:rsid w:val="00B85962"/>
    <w:rsid w:val="00BA38E7"/>
    <w:rsid w:val="00BB2405"/>
    <w:rsid w:val="00BB65DE"/>
    <w:rsid w:val="00BC0BDC"/>
    <w:rsid w:val="00BC3021"/>
    <w:rsid w:val="00BE37FE"/>
    <w:rsid w:val="00C2697F"/>
    <w:rsid w:val="00C33900"/>
    <w:rsid w:val="00C34014"/>
    <w:rsid w:val="00C666C8"/>
    <w:rsid w:val="00C66F97"/>
    <w:rsid w:val="00CA07A6"/>
    <w:rsid w:val="00CA0ED3"/>
    <w:rsid w:val="00CC0BD7"/>
    <w:rsid w:val="00CC27FD"/>
    <w:rsid w:val="00CE2A96"/>
    <w:rsid w:val="00D01EB3"/>
    <w:rsid w:val="00D027EB"/>
    <w:rsid w:val="00D15B1F"/>
    <w:rsid w:val="00D72550"/>
    <w:rsid w:val="00D81D79"/>
    <w:rsid w:val="00D82060"/>
    <w:rsid w:val="00D96ED6"/>
    <w:rsid w:val="00DA0268"/>
    <w:rsid w:val="00DB3E5B"/>
    <w:rsid w:val="00DC1CA7"/>
    <w:rsid w:val="00DC310B"/>
    <w:rsid w:val="00E30F56"/>
    <w:rsid w:val="00E33512"/>
    <w:rsid w:val="00E6563A"/>
    <w:rsid w:val="00E70B8B"/>
    <w:rsid w:val="00E734B5"/>
    <w:rsid w:val="00E8009A"/>
    <w:rsid w:val="00E92007"/>
    <w:rsid w:val="00E92931"/>
    <w:rsid w:val="00EA7371"/>
    <w:rsid w:val="00EC7D65"/>
    <w:rsid w:val="00EE4A74"/>
    <w:rsid w:val="00F12FBE"/>
    <w:rsid w:val="00F30103"/>
    <w:rsid w:val="00F5724C"/>
    <w:rsid w:val="00F701F9"/>
    <w:rsid w:val="00F704A4"/>
    <w:rsid w:val="00F737DB"/>
    <w:rsid w:val="00FB7F60"/>
    <w:rsid w:val="00FC7EB3"/>
    <w:rsid w:val="00FD349E"/>
    <w:rsid w:val="00FD4D9D"/>
    <w:rsid w:val="00FD7ED5"/>
    <w:rsid w:val="00FE0656"/>
    <w:rsid w:val="00FE3FBC"/>
    <w:rsid w:val="00FE522A"/>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BFAF663-C4CE-4CC5-9690-CD7948C61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rsid w:val="00AC408D"/>
    <w:pPr>
      <w:numPr>
        <w:numId w:val="9"/>
      </w:numPr>
      <w:spacing w:before="0" w:beforeAutospacing="0" w:after="0" w:afterAutospacing="0"/>
      <w:jc w:val="both"/>
    </w:pPr>
    <w:rPr>
      <w:rFonts w:ascii="Arial" w:eastAsia="Times New Roman" w:hAnsi="Arial"/>
      <w:sz w:val="22"/>
      <w:szCs w:val="22"/>
      <w:lang w:val="en-GB"/>
    </w:rPr>
  </w:style>
  <w:style w:type="character" w:customStyle="1" w:styleId="BRNormal">
    <w:name w:val="BR_Normal"/>
    <w:basedOn w:val="DefaultParagraphFont"/>
    <w:uiPriority w:val="1"/>
    <w:qFormat/>
    <w:rsid w:val="00D96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C03FDE-AD55-43B9-BAC5-67E9C3BDF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1376</Words>
  <Characters>7845</Characters>
  <Application>Microsoft Office Word</Application>
  <DocSecurity>0</DocSecurity>
  <Lines>65</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WMO SG-RFC Document</vt:lpstr>
      <vt:lpstr>WMO SG-RFC Document</vt:lpstr>
    </vt:vector>
  </TitlesOfParts>
  <Company>WMO</Company>
  <LinksUpToDate>false</LinksUpToDate>
  <CharactersWithSpaces>9203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CEPT Views on WRC-15 Agenda Items of WMO Interest</dc:subject>
  <dc:creator>Markus Dreis</dc:creator>
  <cp:lastModifiedBy>David Thomas</cp:lastModifiedBy>
  <cp:revision>2</cp:revision>
  <cp:lastPrinted>2012-10-22T16:15:00Z</cp:lastPrinted>
  <dcterms:created xsi:type="dcterms:W3CDTF">2015-09-21T06:38:00Z</dcterms:created>
  <dcterms:modified xsi:type="dcterms:W3CDTF">2015-09-21T06:38:00Z</dcterms:modified>
</cp:coreProperties>
</file>