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2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2"/>
        <w:gridCol w:w="4752"/>
        <w:gridCol w:w="4105"/>
      </w:tblGrid>
      <w:tr w:rsidR="00722C4E" w:rsidRPr="00D76DB2" w:rsidTr="00F716DE">
        <w:trPr>
          <w:cantSplit/>
          <w:tblHeader/>
        </w:trPr>
        <w:tc>
          <w:tcPr>
            <w:tcW w:w="439" w:type="pct"/>
            <w:vAlign w:val="center"/>
          </w:tcPr>
          <w:p w:rsidR="00722C4E" w:rsidRPr="00D76DB2" w:rsidRDefault="00722C4E" w:rsidP="00811212">
            <w:pPr>
              <w:tabs>
                <w:tab w:val="left" w:pos="1134"/>
                <w:tab w:val="left" w:pos="2268"/>
                <w:tab w:val="left" w:pos="3402"/>
                <w:tab w:val="left" w:pos="4534"/>
              </w:tabs>
              <w:jc w:val="center"/>
              <w:rPr>
                <w:rFonts w:cs="Arial"/>
                <w:b/>
                <w:sz w:val="20"/>
                <w:szCs w:val="20"/>
                <w:lang w:val="en-GB"/>
              </w:rPr>
            </w:pPr>
            <w:r w:rsidRPr="00D76DB2">
              <w:rPr>
                <w:rFonts w:cs="Arial"/>
                <w:b/>
                <w:sz w:val="20"/>
                <w:szCs w:val="20"/>
                <w:lang w:val="en-GB"/>
              </w:rPr>
              <w:t>Action Number</w:t>
            </w:r>
          </w:p>
        </w:tc>
        <w:tc>
          <w:tcPr>
            <w:tcW w:w="2447" w:type="pct"/>
            <w:vAlign w:val="center"/>
          </w:tcPr>
          <w:p w:rsidR="00722C4E" w:rsidRPr="00D76DB2" w:rsidRDefault="00722C4E" w:rsidP="00811212">
            <w:pPr>
              <w:tabs>
                <w:tab w:val="left" w:pos="1134"/>
                <w:tab w:val="left" w:pos="2268"/>
                <w:tab w:val="left" w:pos="3402"/>
                <w:tab w:val="left" w:pos="4534"/>
              </w:tabs>
              <w:jc w:val="center"/>
              <w:rPr>
                <w:rFonts w:cs="Arial"/>
                <w:b/>
                <w:sz w:val="20"/>
                <w:szCs w:val="20"/>
                <w:lang w:val="en-GB"/>
              </w:rPr>
            </w:pPr>
            <w:r w:rsidRPr="00D76DB2">
              <w:rPr>
                <w:rFonts w:cs="Arial"/>
                <w:b/>
                <w:sz w:val="20"/>
                <w:szCs w:val="20"/>
                <w:lang w:val="en-GB"/>
              </w:rPr>
              <w:t xml:space="preserve">Decision/recommendation/ action </w:t>
            </w:r>
          </w:p>
        </w:tc>
        <w:tc>
          <w:tcPr>
            <w:tcW w:w="2114" w:type="pct"/>
            <w:vAlign w:val="center"/>
          </w:tcPr>
          <w:p w:rsidR="00722C4E" w:rsidRPr="00D76DB2" w:rsidRDefault="00722C4E" w:rsidP="00F716DE">
            <w:pPr>
              <w:tabs>
                <w:tab w:val="left" w:pos="1134"/>
                <w:tab w:val="left" w:pos="2268"/>
                <w:tab w:val="left" w:pos="3402"/>
                <w:tab w:val="left" w:pos="4534"/>
              </w:tabs>
              <w:jc w:val="center"/>
              <w:rPr>
                <w:rFonts w:cs="Arial"/>
                <w:b/>
                <w:sz w:val="20"/>
                <w:szCs w:val="20"/>
                <w:lang w:val="en-GB"/>
              </w:rPr>
            </w:pPr>
            <w:r>
              <w:rPr>
                <w:rFonts w:cs="Arial"/>
                <w:b/>
                <w:sz w:val="20"/>
                <w:szCs w:val="20"/>
                <w:lang w:val="en-GB"/>
              </w:rPr>
              <w:t xml:space="preserve">GISC </w:t>
            </w:r>
            <w:r w:rsidR="00F716DE">
              <w:rPr>
                <w:rFonts w:cs="Arial"/>
                <w:b/>
                <w:sz w:val="20"/>
                <w:szCs w:val="20"/>
                <w:lang w:val="en-GB"/>
              </w:rPr>
              <w:t>Jeddah</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bookmarkStart w:id="0" w:name="Action1"/>
            <w:r w:rsidRPr="00D76DB2">
              <w:rPr>
                <w:rFonts w:cs="Arial"/>
                <w:sz w:val="20"/>
                <w:szCs w:val="20"/>
                <w:lang w:val="en-GB"/>
              </w:rPr>
              <w:t>14/1-1</w:t>
            </w:r>
            <w:bookmarkEnd w:id="0"/>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Decision:</w:t>
            </w:r>
            <w:r w:rsidRPr="00D76DB2">
              <w:rPr>
                <w:rFonts w:cs="Arial"/>
                <w:sz w:val="20"/>
                <w:szCs w:val="20"/>
                <w:lang w:val="en-GB"/>
              </w:rPr>
              <w:t xml:space="preserve"> Endorsed the core </w:t>
            </w:r>
            <w:smartTag w:uri="urn:schemas-microsoft-com:office:smarttags" w:element="place">
              <w:smartTag w:uri="urn:schemas-microsoft-com:office:smarttags" w:element="State">
                <w:r w:rsidRPr="00D76DB2">
                  <w:rPr>
                    <w:rFonts w:cs="Arial"/>
                    <w:sz w:val="20"/>
                    <w:szCs w:val="20"/>
                    <w:lang w:val="en-GB"/>
                  </w:rPr>
                  <w:t>WIS</w:t>
                </w:r>
              </w:smartTag>
            </w:smartTag>
            <w:r w:rsidRPr="00D76DB2">
              <w:rPr>
                <w:rFonts w:cs="Arial"/>
                <w:sz w:val="20"/>
                <w:szCs w:val="20"/>
                <w:lang w:val="en-GB"/>
              </w:rPr>
              <w:t xml:space="preserve"> competencies and the associated output documents on competencies and learning guide:</w:t>
            </w:r>
          </w:p>
          <w:p w:rsidR="00722C4E" w:rsidRPr="00D76DB2" w:rsidRDefault="00722C4E" w:rsidP="00811212">
            <w:pPr>
              <w:tabs>
                <w:tab w:val="left" w:pos="1134"/>
                <w:tab w:val="left" w:pos="2268"/>
                <w:tab w:val="left" w:pos="3402"/>
                <w:tab w:val="left" w:pos="4534"/>
              </w:tabs>
              <w:jc w:val="both"/>
              <w:rPr>
                <w:rFonts w:cs="Arial"/>
                <w:highlight w:val="green"/>
                <w:lang w:val="en-GB"/>
              </w:rPr>
            </w:pPr>
            <w:r w:rsidRPr="00D76DB2">
              <w:rPr>
                <w:rFonts w:cs="Arial"/>
                <w:sz w:val="20"/>
                <w:szCs w:val="20"/>
                <w:lang w:val="en-GB"/>
              </w:rPr>
              <w:t>[</w:t>
            </w:r>
            <w:hyperlink r:id="rId6" w:history="1">
              <w:r w:rsidRPr="00D76DB2">
                <w:rPr>
                  <w:rStyle w:val="Hyperlink"/>
                  <w:rFonts w:cs="Arial"/>
                  <w:sz w:val="20"/>
                  <w:szCs w:val="20"/>
                  <w:lang w:val="en-GB"/>
                </w:rPr>
                <w:t>http://wis.wmo.int/file=687</w:t>
              </w:r>
            </w:hyperlink>
            <w:r w:rsidRPr="00D76DB2">
              <w:rPr>
                <w:rFonts w:cs="Arial"/>
                <w:sz w:val="20"/>
                <w:szCs w:val="20"/>
                <w:lang w:val="en-GB"/>
              </w:rPr>
              <w:t>] [</w:t>
            </w:r>
            <w:hyperlink r:id="rId7" w:history="1">
              <w:r w:rsidRPr="00D76DB2">
                <w:rPr>
                  <w:rStyle w:val="Hyperlink"/>
                  <w:rFonts w:cs="Arial"/>
                  <w:sz w:val="20"/>
                  <w:szCs w:val="20"/>
                  <w:lang w:val="en-GB"/>
                </w:rPr>
                <w:t>http://wis.wmo.int/file=689</w:t>
              </w:r>
            </w:hyperlink>
            <w:r w:rsidRPr="00D76DB2">
              <w:rPr>
                <w:rFonts w:cs="Arial"/>
                <w:sz w:val="20"/>
                <w:szCs w:val="20"/>
                <w:lang w:val="en-GB"/>
              </w:rPr>
              <w:t>].</w:t>
            </w:r>
          </w:p>
        </w:tc>
        <w:tc>
          <w:tcPr>
            <w:tcW w:w="2114"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 xml:space="preserve">Noted, considered for training, etc. </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bookmarkStart w:id="1" w:name="Action2"/>
            <w:r w:rsidRPr="00D76DB2">
              <w:rPr>
                <w:rFonts w:cs="Arial"/>
                <w:sz w:val="20"/>
                <w:szCs w:val="20"/>
                <w:lang w:val="en-GB"/>
              </w:rPr>
              <w:t>14/1-2</w:t>
            </w:r>
            <w:bookmarkEnd w:id="1"/>
          </w:p>
        </w:tc>
        <w:tc>
          <w:tcPr>
            <w:tcW w:w="2447" w:type="pct"/>
          </w:tcPr>
          <w:p w:rsidR="00722C4E" w:rsidRPr="00D76DB2" w:rsidRDefault="00722C4E" w:rsidP="00811212">
            <w:pPr>
              <w:tabs>
                <w:tab w:val="left" w:pos="1134"/>
                <w:tab w:val="left" w:pos="2268"/>
                <w:tab w:val="left" w:pos="3402"/>
                <w:tab w:val="left" w:pos="4534"/>
              </w:tabs>
              <w:jc w:val="both"/>
              <w:rPr>
                <w:rFonts w:cs="Arial"/>
                <w:b/>
                <w:sz w:val="20"/>
                <w:szCs w:val="20"/>
                <w:lang w:val="en-GB"/>
              </w:rPr>
            </w:pPr>
            <w:r w:rsidRPr="00D76DB2">
              <w:rPr>
                <w:rFonts w:cs="Arial"/>
                <w:b/>
                <w:sz w:val="20"/>
                <w:szCs w:val="20"/>
                <w:lang w:val="en-GB"/>
              </w:rPr>
              <w:t xml:space="preserve">Action: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a) Encouraged all GISCs to start to utilize the competency and learning guide in their capacity development and training activities.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b) All GISCs should aim at ensuring centres in their area of responsibility have staff equipped with appropriate competencies and thus maximize their ability to support and benefit from </w:t>
            </w:r>
            <w:smartTag w:uri="urn:schemas-microsoft-com:office:smarttags" w:element="place">
              <w:smartTag w:uri="urn:schemas-microsoft-com:office:smarttags" w:element="State">
                <w:r w:rsidRPr="00D76DB2">
                  <w:rPr>
                    <w:rFonts w:cs="Arial"/>
                    <w:sz w:val="20"/>
                    <w:szCs w:val="20"/>
                    <w:lang w:val="en-GB"/>
                  </w:rPr>
                  <w:t>WIS</w:t>
                </w:r>
              </w:smartTag>
            </w:smartTag>
          </w:p>
        </w:tc>
        <w:tc>
          <w:tcPr>
            <w:tcW w:w="2114" w:type="pct"/>
          </w:tcPr>
          <w:p w:rsidR="008C3BF9" w:rsidRDefault="008C3BF9" w:rsidP="008C3BF9">
            <w:pPr>
              <w:tabs>
                <w:tab w:val="left" w:pos="1134"/>
                <w:tab w:val="left" w:pos="2268"/>
                <w:tab w:val="left" w:pos="3402"/>
                <w:tab w:val="left" w:pos="4534"/>
              </w:tabs>
              <w:jc w:val="both"/>
              <w:rPr>
                <w:rFonts w:cs="Arial"/>
                <w:sz w:val="20"/>
                <w:szCs w:val="20"/>
              </w:rPr>
            </w:pPr>
            <w:r w:rsidRPr="00032B10">
              <w:rPr>
                <w:rFonts w:ascii="Garamond" w:eastAsia="Times New Roman" w:hAnsi="Garamond"/>
                <w:color w:val="000000"/>
              </w:rPr>
              <w:t xml:space="preserve">A workshop organized in </w:t>
            </w:r>
            <w:r>
              <w:rPr>
                <w:rFonts w:ascii="Garamond" w:eastAsia="Times New Roman" w:hAnsi="Garamond"/>
                <w:color w:val="000000"/>
              </w:rPr>
              <w:t>Jeddah May 19-20 2014. Some WIS specialists from area of responsibility attended the workshop.</w:t>
            </w:r>
          </w:p>
          <w:p w:rsidR="008C3BF9" w:rsidRPr="008C3BF9" w:rsidRDefault="008C3BF9" w:rsidP="00811212">
            <w:pPr>
              <w:tabs>
                <w:tab w:val="left" w:pos="1134"/>
                <w:tab w:val="left" w:pos="2268"/>
                <w:tab w:val="left" w:pos="3402"/>
                <w:tab w:val="left" w:pos="4534"/>
              </w:tabs>
              <w:jc w:val="both"/>
              <w:rPr>
                <w:rFonts w:cs="Arial"/>
                <w:sz w:val="20"/>
                <w:szCs w:val="20"/>
              </w:rPr>
            </w:pPr>
          </w:p>
          <w:p w:rsidR="008C3BF9" w:rsidRDefault="008C3BF9" w:rsidP="00811212">
            <w:pPr>
              <w:tabs>
                <w:tab w:val="left" w:pos="1134"/>
                <w:tab w:val="left" w:pos="2268"/>
                <w:tab w:val="left" w:pos="3402"/>
                <w:tab w:val="left" w:pos="4534"/>
              </w:tabs>
              <w:jc w:val="both"/>
              <w:rPr>
                <w:rFonts w:cs="Arial"/>
                <w:sz w:val="20"/>
                <w:szCs w:val="20"/>
                <w:lang w:val="en-GB"/>
              </w:rPr>
            </w:pPr>
          </w:p>
          <w:p w:rsidR="008C3BF9" w:rsidRDefault="008C3BF9" w:rsidP="00811212">
            <w:pPr>
              <w:tabs>
                <w:tab w:val="left" w:pos="1134"/>
                <w:tab w:val="left" w:pos="2268"/>
                <w:tab w:val="left" w:pos="3402"/>
                <w:tab w:val="left" w:pos="4534"/>
              </w:tabs>
              <w:jc w:val="both"/>
              <w:rPr>
                <w:rFonts w:cs="Arial"/>
                <w:sz w:val="20"/>
                <w:szCs w:val="20"/>
                <w:lang w:val="en-GB"/>
              </w:rPr>
            </w:pPr>
          </w:p>
          <w:p w:rsidR="00722C4E"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 xml:space="preserve"> </w:t>
            </w:r>
          </w:p>
          <w:p w:rsidR="00722C4E" w:rsidRPr="00D76DB2" w:rsidRDefault="00722C4E" w:rsidP="00811212">
            <w:pPr>
              <w:tabs>
                <w:tab w:val="left" w:pos="1134"/>
                <w:tab w:val="left" w:pos="2268"/>
                <w:tab w:val="left" w:pos="3402"/>
                <w:tab w:val="left" w:pos="4534"/>
              </w:tabs>
              <w:jc w:val="both"/>
              <w:rPr>
                <w:rFonts w:cs="Arial"/>
                <w:sz w:val="20"/>
                <w:szCs w:val="20"/>
                <w:lang w:val="en-GB"/>
              </w:rPr>
            </w:pP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bookmarkStart w:id="2" w:name="Action3"/>
            <w:r w:rsidRPr="00D76DB2">
              <w:rPr>
                <w:rFonts w:cs="Arial"/>
                <w:sz w:val="20"/>
                <w:szCs w:val="20"/>
                <w:lang w:val="en-GB"/>
              </w:rPr>
              <w:t>14/1-3</w:t>
            </w:r>
            <w:bookmarkEnd w:id="2"/>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Jacques Anquetil to coordinate the collection of the comments from all the GISCs on the elements proposed for monitoring and to submit a report to ET-WISC by the 27 March. It requested that the secretariat facilitate provision of the report to ET-WIS.</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See also action 14/1-13</w:t>
            </w:r>
          </w:p>
        </w:tc>
        <w:tc>
          <w:tcPr>
            <w:tcW w:w="2114" w:type="pct"/>
          </w:tcPr>
          <w:p w:rsidR="00722C4E" w:rsidRPr="00D76DB2" w:rsidRDefault="003625C9" w:rsidP="00302AB4">
            <w:pPr>
              <w:tabs>
                <w:tab w:val="left" w:pos="1134"/>
                <w:tab w:val="left" w:pos="2268"/>
                <w:tab w:val="left" w:pos="3402"/>
                <w:tab w:val="left" w:pos="4534"/>
              </w:tabs>
              <w:jc w:val="both"/>
              <w:rPr>
                <w:rFonts w:cs="Arial"/>
                <w:sz w:val="20"/>
                <w:szCs w:val="20"/>
                <w:lang w:val="en-GB"/>
              </w:rPr>
            </w:pPr>
            <w:r>
              <w:rPr>
                <w:rFonts w:cs="Arial"/>
                <w:sz w:val="20"/>
                <w:szCs w:val="20"/>
                <w:lang w:val="en-GB"/>
              </w:rPr>
              <w:t>Noted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14/1-4</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All GISCs to generate and publish metadata for those bulletins that they are producing and already circulating on GTS as soon as possible</w:t>
            </w:r>
          </w:p>
        </w:tc>
        <w:tc>
          <w:tcPr>
            <w:tcW w:w="2114" w:type="pct"/>
          </w:tcPr>
          <w:p w:rsidR="00722C4E" w:rsidRPr="00D76DB2" w:rsidRDefault="008C3BF9" w:rsidP="00D76269">
            <w:pPr>
              <w:tabs>
                <w:tab w:val="left" w:pos="1134"/>
                <w:tab w:val="left" w:pos="2268"/>
                <w:tab w:val="left" w:pos="3402"/>
                <w:tab w:val="left" w:pos="4534"/>
              </w:tabs>
              <w:jc w:val="both"/>
              <w:rPr>
                <w:rFonts w:cs="Arial"/>
                <w:sz w:val="20"/>
                <w:szCs w:val="20"/>
                <w:lang w:val="en-GB"/>
              </w:rPr>
            </w:pPr>
            <w:r>
              <w:rPr>
                <w:rFonts w:cs="Arial"/>
                <w:sz w:val="20"/>
                <w:szCs w:val="20"/>
                <w:lang w:val="en-GB"/>
              </w:rPr>
              <w:t>GISC Jeddah becomes fully operation  in October 2014. It generated MD for all bulletins of AoR, except Q</w:t>
            </w:r>
            <w:r w:rsidR="00FA25F4">
              <w:rPr>
                <w:rFonts w:cs="Arial"/>
                <w:sz w:val="20"/>
                <w:szCs w:val="20"/>
                <w:lang w:val="en-GB"/>
              </w:rPr>
              <w:t>atar</w:t>
            </w:r>
            <w:r>
              <w:rPr>
                <w:rFonts w:cs="Arial"/>
                <w:sz w:val="20"/>
                <w:szCs w:val="20"/>
                <w:lang w:val="en-GB"/>
              </w:rPr>
              <w:t>. Qatar DCPC generate MD for Q</w:t>
            </w:r>
            <w:r w:rsidR="00D76269">
              <w:rPr>
                <w:rFonts w:cs="Arial"/>
                <w:sz w:val="20"/>
                <w:szCs w:val="20"/>
                <w:lang w:val="en-GB"/>
              </w:rPr>
              <w:t>atar</w:t>
            </w:r>
            <w:bookmarkStart w:id="3" w:name="_GoBack"/>
            <w:bookmarkEnd w:id="3"/>
            <w:r>
              <w:rPr>
                <w:rFonts w:cs="Arial"/>
                <w:sz w:val="20"/>
                <w:szCs w:val="20"/>
                <w:lang w:val="en-GB"/>
              </w:rPr>
              <w:t xml:space="preserve">  bulletins. However, GISC Jeddah harvested Q</w:t>
            </w:r>
            <w:r w:rsidR="00FA25F4">
              <w:rPr>
                <w:rFonts w:cs="Arial"/>
                <w:sz w:val="20"/>
                <w:szCs w:val="20"/>
                <w:lang w:val="en-GB"/>
              </w:rPr>
              <w:t>atar</w:t>
            </w:r>
            <w:r>
              <w:rPr>
                <w:rFonts w:cs="Arial"/>
                <w:sz w:val="20"/>
                <w:szCs w:val="20"/>
                <w:lang w:val="en-GB"/>
              </w:rPr>
              <w:t xml:space="preserve"> MD successfully. </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14/1-5</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Decision:</w:t>
            </w:r>
            <w:r w:rsidRPr="00D76DB2">
              <w:rPr>
                <w:rFonts w:cs="Arial"/>
                <w:sz w:val="20"/>
                <w:szCs w:val="20"/>
                <w:lang w:val="en-GB"/>
              </w:rPr>
              <w:t xml:space="preserve"> Agreed that GISC Tokyo provide its "WIS-UNASSOCIATED" set as the authoritative source of baseline metadata and invited all GISCs to synchronize the set.</w:t>
            </w:r>
          </w:p>
        </w:tc>
        <w:tc>
          <w:tcPr>
            <w:tcW w:w="2114" w:type="pct"/>
          </w:tcPr>
          <w:p w:rsidR="00722C4E" w:rsidRPr="00E95A48" w:rsidRDefault="001A1F72" w:rsidP="0076385C">
            <w:pPr>
              <w:pStyle w:val="a5"/>
              <w:numPr>
                <w:ilvl w:val="0"/>
                <w:numId w:val="1"/>
              </w:numPr>
              <w:tabs>
                <w:tab w:val="left" w:pos="1134"/>
                <w:tab w:val="left" w:pos="2268"/>
                <w:tab w:val="left" w:pos="3402"/>
                <w:tab w:val="left" w:pos="4534"/>
              </w:tabs>
              <w:ind w:left="350" w:hanging="284"/>
              <w:jc w:val="both"/>
              <w:rPr>
                <w:rFonts w:cs="Arial"/>
                <w:color w:val="000000" w:themeColor="text1"/>
                <w:sz w:val="20"/>
                <w:szCs w:val="20"/>
                <w:lang w:val="en-GB"/>
              </w:rPr>
            </w:pPr>
            <w:r w:rsidRPr="00E95A48">
              <w:rPr>
                <w:rFonts w:cs="Arial"/>
                <w:color w:val="000000" w:themeColor="text1"/>
                <w:sz w:val="20"/>
                <w:szCs w:val="20"/>
                <w:lang w:val="en-GB"/>
              </w:rPr>
              <w:t xml:space="preserve">In October 2014, </w:t>
            </w:r>
            <w:r w:rsidR="008C3BF9" w:rsidRPr="00E95A48">
              <w:rPr>
                <w:rFonts w:cs="Arial"/>
                <w:color w:val="000000" w:themeColor="text1"/>
                <w:sz w:val="20"/>
                <w:szCs w:val="20"/>
                <w:lang w:val="en-GB"/>
              </w:rPr>
              <w:t xml:space="preserve">GISC Jeddah </w:t>
            </w:r>
            <w:r w:rsidRPr="00E95A48">
              <w:rPr>
                <w:rFonts w:cs="Arial"/>
                <w:color w:val="000000" w:themeColor="text1"/>
                <w:sz w:val="20"/>
                <w:szCs w:val="20"/>
                <w:lang w:val="en-GB"/>
              </w:rPr>
              <w:t>took</w:t>
            </w:r>
            <w:r w:rsidR="008C3BF9" w:rsidRPr="00E95A48">
              <w:rPr>
                <w:rFonts w:cs="Arial"/>
                <w:color w:val="000000" w:themeColor="text1"/>
                <w:sz w:val="20"/>
                <w:szCs w:val="20"/>
                <w:lang w:val="en-GB"/>
              </w:rPr>
              <w:t xml:space="preserve"> responsibility of all MD belongs to its AoR that were </w:t>
            </w:r>
            <w:r w:rsidR="00C51323" w:rsidRPr="00E95A48">
              <w:rPr>
                <w:rFonts w:cs="Arial"/>
                <w:color w:val="000000" w:themeColor="text1"/>
                <w:sz w:val="20"/>
                <w:szCs w:val="20"/>
                <w:lang w:val="en-GB"/>
              </w:rPr>
              <w:t xml:space="preserve">served by </w:t>
            </w:r>
            <w:r w:rsidR="0076385C" w:rsidRPr="00E95A48">
              <w:rPr>
                <w:rFonts w:cs="Arial"/>
                <w:color w:val="000000" w:themeColor="text1"/>
                <w:sz w:val="20"/>
                <w:szCs w:val="20"/>
                <w:lang w:val="en-GB"/>
              </w:rPr>
              <w:t xml:space="preserve"> GISC </w:t>
            </w:r>
            <w:r w:rsidR="00C51323" w:rsidRPr="00E95A48">
              <w:rPr>
                <w:rFonts w:cs="Arial"/>
                <w:color w:val="000000" w:themeColor="text1"/>
                <w:sz w:val="20"/>
                <w:szCs w:val="20"/>
                <w:lang w:val="en-GB"/>
              </w:rPr>
              <w:t xml:space="preserve">Tokyo as </w:t>
            </w:r>
            <w:r w:rsidR="002E197C" w:rsidRPr="00E95A48">
              <w:rPr>
                <w:rFonts w:cs="Arial"/>
                <w:color w:val="000000" w:themeColor="text1"/>
                <w:sz w:val="20"/>
                <w:szCs w:val="20"/>
                <w:lang w:val="en-GB"/>
              </w:rPr>
              <w:t>WIMM</w:t>
            </w:r>
            <w:r w:rsidR="00C51323" w:rsidRPr="00E95A48">
              <w:rPr>
                <w:rFonts w:cs="Arial"/>
                <w:color w:val="000000" w:themeColor="text1"/>
                <w:sz w:val="20"/>
                <w:szCs w:val="20"/>
                <w:lang w:val="en-GB"/>
              </w:rPr>
              <w:t>S</w:t>
            </w:r>
            <w:r w:rsidRPr="00E95A48">
              <w:rPr>
                <w:rFonts w:cs="Arial"/>
                <w:color w:val="000000" w:themeColor="text1"/>
                <w:sz w:val="20"/>
                <w:szCs w:val="20"/>
                <w:lang w:val="en-GB"/>
              </w:rPr>
              <w:t xml:space="preserve">. </w:t>
            </w:r>
          </w:p>
          <w:p w:rsidR="001A1F72" w:rsidRPr="00E95A48" w:rsidRDefault="001A1F72" w:rsidP="00CB1F32">
            <w:pPr>
              <w:pStyle w:val="a5"/>
              <w:numPr>
                <w:ilvl w:val="0"/>
                <w:numId w:val="1"/>
              </w:numPr>
              <w:tabs>
                <w:tab w:val="right" w:pos="421"/>
                <w:tab w:val="left" w:pos="2268"/>
                <w:tab w:val="left" w:pos="3402"/>
                <w:tab w:val="left" w:pos="4534"/>
              </w:tabs>
              <w:ind w:left="208" w:hanging="142"/>
              <w:jc w:val="both"/>
              <w:rPr>
                <w:rFonts w:cs="Arial"/>
                <w:color w:val="000000" w:themeColor="text1"/>
                <w:sz w:val="20"/>
                <w:szCs w:val="20"/>
                <w:lang w:val="en-GB"/>
              </w:rPr>
            </w:pPr>
            <w:r w:rsidRPr="00E95A48">
              <w:rPr>
                <w:rFonts w:cs="Arial"/>
                <w:color w:val="000000" w:themeColor="text1"/>
                <w:sz w:val="20"/>
                <w:szCs w:val="20"/>
                <w:lang w:val="en-GB"/>
              </w:rPr>
              <w:t>GISC Tokyo has been harvested by GISC Jeddah.</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14/1-6</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Decision:</w:t>
            </w:r>
            <w:r w:rsidRPr="00D76DB2">
              <w:rPr>
                <w:rFonts w:cs="Arial"/>
                <w:sz w:val="20"/>
                <w:szCs w:val="20"/>
                <w:lang w:val="en-GB"/>
              </w:rPr>
              <w:t xml:space="preserve"> Agreed </w:t>
            </w:r>
            <w:hyperlink r:id="rId8" w:history="1">
              <w:r w:rsidRPr="00D76DB2">
                <w:rPr>
                  <w:rStyle w:val="Hyperlink"/>
                  <w:rFonts w:cs="Arial"/>
                  <w:sz w:val="20"/>
                  <w:szCs w:val="20"/>
                  <w:lang w:val="en-GB"/>
                </w:rPr>
                <w:t>Doc 04</w:t>
              </w:r>
            </w:hyperlink>
            <w:r w:rsidRPr="00D76DB2">
              <w:rPr>
                <w:rFonts w:cs="Arial"/>
                <w:sz w:val="20"/>
                <w:szCs w:val="20"/>
                <w:lang w:val="en-GB"/>
              </w:rPr>
              <w:t xml:space="preserve"> provides the basic structures of OAI-Sets to be provided by each GISC.</w:t>
            </w:r>
          </w:p>
        </w:tc>
        <w:tc>
          <w:tcPr>
            <w:tcW w:w="2114" w:type="pct"/>
          </w:tcPr>
          <w:p w:rsidR="00722C4E" w:rsidRPr="00E95A48" w:rsidRDefault="00722C4E" w:rsidP="00811212">
            <w:pPr>
              <w:tabs>
                <w:tab w:val="left" w:pos="1134"/>
                <w:tab w:val="left" w:pos="2268"/>
                <w:tab w:val="left" w:pos="3402"/>
                <w:tab w:val="left" w:pos="4534"/>
              </w:tabs>
              <w:jc w:val="both"/>
              <w:rPr>
                <w:rFonts w:cs="Arial"/>
                <w:color w:val="000000" w:themeColor="text1"/>
                <w:sz w:val="20"/>
                <w:szCs w:val="20"/>
                <w:lang w:val="en-GB"/>
              </w:rPr>
            </w:pPr>
            <w:r w:rsidRPr="00E95A48">
              <w:rPr>
                <w:rFonts w:cs="Arial"/>
                <w:color w:val="000000" w:themeColor="text1"/>
                <w:sz w:val="20"/>
                <w:szCs w:val="20"/>
                <w:lang w:val="en-GB"/>
              </w:rPr>
              <w:t>Compliant</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14/1-7</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Requested: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a) all GISCs to implement the set membership in the headers of items returned in response to the GetRecord requests; and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b) each GISC to make sure that all the sets include all the records, especially records that have not belonged to any operational GISC.</w:t>
            </w:r>
          </w:p>
        </w:tc>
        <w:tc>
          <w:tcPr>
            <w:tcW w:w="2114" w:type="pct"/>
          </w:tcPr>
          <w:p w:rsidR="00722C4E" w:rsidRPr="00E95A48" w:rsidRDefault="00722C4E" w:rsidP="00811212">
            <w:pPr>
              <w:tabs>
                <w:tab w:val="left" w:pos="1134"/>
                <w:tab w:val="left" w:pos="2268"/>
                <w:tab w:val="left" w:pos="3402"/>
                <w:tab w:val="left" w:pos="4534"/>
              </w:tabs>
              <w:jc w:val="both"/>
              <w:rPr>
                <w:rFonts w:cs="Arial"/>
                <w:color w:val="000000" w:themeColor="text1"/>
                <w:sz w:val="20"/>
                <w:szCs w:val="20"/>
                <w:lang w:val="en-GB"/>
              </w:rPr>
            </w:pPr>
            <w:r w:rsidRPr="00E95A48">
              <w:rPr>
                <w:rFonts w:cs="Arial"/>
                <w:color w:val="000000" w:themeColor="text1"/>
                <w:sz w:val="20"/>
                <w:szCs w:val="20"/>
                <w:lang w:val="en-GB"/>
              </w:rPr>
              <w:t>Compliant</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14/1-8</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 xml:space="preserve">Decision: </w:t>
            </w:r>
            <w:r w:rsidRPr="00D76DB2">
              <w:rPr>
                <w:rFonts w:cs="Arial"/>
                <w:sz w:val="20"/>
                <w:szCs w:val="20"/>
                <w:lang w:val="en-GB"/>
              </w:rPr>
              <w:t xml:space="preserve">Agreed to minimize the synchronization failure by following two practical rules: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a) avoid using identifiers with only case difference as the primary rule,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b) if there is no way other than using identifiers with only case difference, delete old records explicitly (by issuing OAI deleted message), before adding new records</w:t>
            </w:r>
          </w:p>
        </w:tc>
        <w:tc>
          <w:tcPr>
            <w:tcW w:w="2114" w:type="pct"/>
          </w:tcPr>
          <w:p w:rsidR="00722C4E" w:rsidRPr="00E95A48" w:rsidRDefault="00722C4E" w:rsidP="00811212">
            <w:pPr>
              <w:tabs>
                <w:tab w:val="left" w:pos="1134"/>
                <w:tab w:val="left" w:pos="2268"/>
                <w:tab w:val="left" w:pos="3402"/>
                <w:tab w:val="left" w:pos="4534"/>
              </w:tabs>
              <w:jc w:val="both"/>
              <w:rPr>
                <w:rFonts w:cs="Arial"/>
                <w:color w:val="000000" w:themeColor="text1"/>
                <w:sz w:val="20"/>
                <w:szCs w:val="20"/>
                <w:lang w:val="en-GB"/>
              </w:rPr>
            </w:pPr>
            <w:r w:rsidRPr="00E95A48">
              <w:rPr>
                <w:rFonts w:cs="Arial"/>
                <w:color w:val="000000" w:themeColor="text1"/>
                <w:sz w:val="20"/>
                <w:szCs w:val="20"/>
                <w:lang w:val="en-GB"/>
              </w:rPr>
              <w:t>Compliant</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14/1-9</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 xml:space="preserve">Action: </w:t>
            </w:r>
            <w:r w:rsidRPr="00D76DB2">
              <w:rPr>
                <w:rFonts w:cs="Arial"/>
                <w:sz w:val="20"/>
                <w:szCs w:val="20"/>
                <w:lang w:val="en-GB"/>
              </w:rPr>
              <w:t>Agreed:</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a) That all harvesters need to be able to harvest records even with default namespace declarations;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b) To encourage metadata creators to avoid using default namespace declaration.</w:t>
            </w:r>
          </w:p>
        </w:tc>
        <w:tc>
          <w:tcPr>
            <w:tcW w:w="2114" w:type="pct"/>
          </w:tcPr>
          <w:p w:rsidR="00722C4E" w:rsidRPr="00E95A48" w:rsidRDefault="00722C4E" w:rsidP="00811212">
            <w:pPr>
              <w:tabs>
                <w:tab w:val="left" w:pos="1134"/>
                <w:tab w:val="left" w:pos="2268"/>
                <w:tab w:val="left" w:pos="3402"/>
                <w:tab w:val="left" w:pos="4534"/>
              </w:tabs>
              <w:jc w:val="both"/>
              <w:rPr>
                <w:rFonts w:cs="Arial"/>
                <w:color w:val="000000" w:themeColor="text1"/>
                <w:sz w:val="20"/>
                <w:szCs w:val="20"/>
                <w:lang w:val="en-GB"/>
              </w:rPr>
            </w:pPr>
            <w:r w:rsidRPr="00E95A48">
              <w:rPr>
                <w:rFonts w:cs="Arial"/>
                <w:color w:val="000000" w:themeColor="text1"/>
                <w:sz w:val="20"/>
                <w:szCs w:val="20"/>
                <w:lang w:val="en-GB"/>
              </w:rPr>
              <w:t>Compliant</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14/1-10</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 xml:space="preserve">Action: </w:t>
            </w:r>
            <w:r w:rsidRPr="00D76DB2">
              <w:rPr>
                <w:rFonts w:cs="Arial"/>
                <w:sz w:val="20"/>
                <w:szCs w:val="20"/>
                <w:lang w:val="en-GB"/>
              </w:rPr>
              <w:t>Urged the GISCs to fix inaccurate datestamps in OAI headers and selective harvesting arguments: “until” and “from”, by the next ET-WISC meeting</w:t>
            </w:r>
          </w:p>
        </w:tc>
        <w:tc>
          <w:tcPr>
            <w:tcW w:w="2114" w:type="pct"/>
          </w:tcPr>
          <w:p w:rsidR="00722C4E" w:rsidRPr="00E95A48" w:rsidRDefault="00722C4E" w:rsidP="00811212">
            <w:pPr>
              <w:tabs>
                <w:tab w:val="left" w:pos="1134"/>
                <w:tab w:val="left" w:pos="2268"/>
                <w:tab w:val="left" w:pos="3402"/>
                <w:tab w:val="left" w:pos="4534"/>
              </w:tabs>
              <w:jc w:val="both"/>
              <w:rPr>
                <w:rFonts w:cs="Arial"/>
                <w:color w:val="000000" w:themeColor="text1"/>
                <w:sz w:val="20"/>
                <w:szCs w:val="20"/>
                <w:lang w:val="en-GB"/>
              </w:rPr>
            </w:pPr>
            <w:r w:rsidRPr="00E95A48">
              <w:rPr>
                <w:rFonts w:cs="Arial"/>
                <w:color w:val="000000" w:themeColor="text1"/>
                <w:sz w:val="20"/>
                <w:szCs w:val="20"/>
                <w:lang w:val="en-GB"/>
              </w:rPr>
              <w:t>Compliant</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14/1-11</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Agreed to use the ET-WISC internal forum (</w:t>
            </w:r>
            <w:hyperlink r:id="rId9" w:history="1">
              <w:r w:rsidRPr="00D76DB2">
                <w:rPr>
                  <w:rStyle w:val="Hyperlink"/>
                  <w:rFonts w:cs="Arial"/>
                  <w:sz w:val="20"/>
                  <w:szCs w:val="20"/>
                  <w:lang w:val="en-GB"/>
                </w:rPr>
                <w:t>http://www.wmo.int/pages/prog/www/WIS/wiswiki/tiki-view_forum.php?forumId=12</w:t>
              </w:r>
            </w:hyperlink>
            <w:r w:rsidRPr="00D76DB2">
              <w:rPr>
                <w:rFonts w:cs="Arial"/>
                <w:sz w:val="20"/>
                <w:szCs w:val="20"/>
                <w:lang w:val="en-GB"/>
              </w:rPr>
              <w:t>) to discuss issues.</w:t>
            </w:r>
          </w:p>
        </w:tc>
        <w:tc>
          <w:tcPr>
            <w:tcW w:w="2114" w:type="pct"/>
          </w:tcPr>
          <w:p w:rsidR="00722C4E" w:rsidRPr="00E95A48" w:rsidRDefault="00031135" w:rsidP="00031135">
            <w:pPr>
              <w:tabs>
                <w:tab w:val="left" w:pos="1134"/>
                <w:tab w:val="left" w:pos="2268"/>
                <w:tab w:val="left" w:pos="3402"/>
                <w:tab w:val="left" w:pos="4534"/>
              </w:tabs>
              <w:jc w:val="both"/>
              <w:rPr>
                <w:rFonts w:cs="Arial"/>
                <w:color w:val="000000" w:themeColor="text1"/>
                <w:sz w:val="20"/>
                <w:szCs w:val="20"/>
                <w:lang w:val="en-GB"/>
              </w:rPr>
            </w:pPr>
            <w:r w:rsidRPr="00E95A48">
              <w:rPr>
                <w:rFonts w:cs="Arial"/>
                <w:color w:val="000000" w:themeColor="text1"/>
                <w:sz w:val="20"/>
                <w:szCs w:val="20"/>
                <w:lang w:val="en-GB"/>
              </w:rPr>
              <w:t>Noted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lastRenderedPageBreak/>
              <w:t>14/1-12</w:t>
            </w:r>
          </w:p>
        </w:tc>
        <w:tc>
          <w:tcPr>
            <w:tcW w:w="2447" w:type="pct"/>
          </w:tcPr>
          <w:p w:rsidR="00722C4E" w:rsidRPr="00D76DB2" w:rsidRDefault="00722C4E" w:rsidP="00811212">
            <w:pPr>
              <w:tabs>
                <w:tab w:val="left" w:pos="1134"/>
                <w:tab w:val="left" w:pos="2268"/>
                <w:tab w:val="left" w:pos="3402"/>
                <w:tab w:val="left" w:pos="4534"/>
              </w:tabs>
              <w:jc w:val="both"/>
              <w:rPr>
                <w:rFonts w:cs="Arial"/>
                <w:b/>
                <w:sz w:val="20"/>
                <w:szCs w:val="20"/>
                <w:lang w:val="en-GB"/>
              </w:rPr>
            </w:pPr>
            <w:r w:rsidRPr="00D76DB2">
              <w:rPr>
                <w:rFonts w:cs="Arial"/>
                <w:b/>
                <w:sz w:val="20"/>
                <w:szCs w:val="20"/>
                <w:lang w:val="en-GB"/>
              </w:rPr>
              <w:t xml:space="preserve">Action: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a) Requested ET-CTS, while investigating cloud computing solutions, to address: legal issues of countries using storage outside of nation; - political barriers to one country using a service managed by another; and data access policy.</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 b) The chair suggested that once ET-CTS has considered this document from a CTS perspective, it is recommended that at least a couple of GISCs experiment further with this concept.</w:t>
            </w:r>
          </w:p>
        </w:tc>
        <w:tc>
          <w:tcPr>
            <w:tcW w:w="2114" w:type="pct"/>
          </w:tcPr>
          <w:p w:rsidR="00722C4E" w:rsidRPr="00E95A48" w:rsidRDefault="005B02DB" w:rsidP="00DA607B">
            <w:pPr>
              <w:tabs>
                <w:tab w:val="left" w:pos="1134"/>
                <w:tab w:val="left" w:pos="2268"/>
                <w:tab w:val="left" w:pos="3402"/>
                <w:tab w:val="left" w:pos="4534"/>
              </w:tabs>
              <w:jc w:val="both"/>
              <w:rPr>
                <w:rFonts w:cs="Arial"/>
                <w:color w:val="000000" w:themeColor="text1"/>
                <w:sz w:val="20"/>
                <w:szCs w:val="20"/>
                <w:lang w:val="en-GB"/>
              </w:rPr>
            </w:pPr>
            <w:r w:rsidRPr="00E95A48">
              <w:rPr>
                <w:rFonts w:cs="Arial"/>
                <w:color w:val="000000" w:themeColor="text1"/>
                <w:sz w:val="20"/>
                <w:szCs w:val="20"/>
                <w:lang w:val="en-GB"/>
              </w:rPr>
              <w:t>No Action</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14/1-13</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Recommendation:</w:t>
            </w:r>
            <w:r w:rsidRPr="00D76DB2">
              <w:rPr>
                <w:rFonts w:cs="Arial"/>
                <w:sz w:val="20"/>
                <w:szCs w:val="20"/>
                <w:lang w:val="en-GB"/>
              </w:rPr>
              <w:t xml:space="preserve"> Agreed that detailed monitoring would be at the GISC level, while only the common holding needs to be monitored globally. Thus all GISCs should meet the basic requirement set by monitoring a) The number of core Cache updates in the last 24 hours and b) 24 hour input volume and c) number of items in the complete cache, plus the status of the common holding (core) component. Each GISC is encouraged to establish more detailed monitoring for its own quality assurance process. (See also action 14/1-3)</w:t>
            </w:r>
          </w:p>
        </w:tc>
        <w:tc>
          <w:tcPr>
            <w:tcW w:w="2114" w:type="pct"/>
          </w:tcPr>
          <w:p w:rsidR="00722C4E" w:rsidRPr="00E95A48" w:rsidRDefault="00464086" w:rsidP="00811212">
            <w:pPr>
              <w:tabs>
                <w:tab w:val="left" w:pos="1134"/>
                <w:tab w:val="left" w:pos="2268"/>
                <w:tab w:val="left" w:pos="3402"/>
                <w:tab w:val="left" w:pos="4534"/>
              </w:tabs>
              <w:jc w:val="both"/>
              <w:rPr>
                <w:rFonts w:cs="Arial"/>
                <w:color w:val="000000" w:themeColor="text1"/>
                <w:sz w:val="20"/>
                <w:szCs w:val="20"/>
                <w:lang w:val="en-GB"/>
              </w:rPr>
            </w:pPr>
            <w:r w:rsidRPr="00E95A48">
              <w:rPr>
                <w:rFonts w:cs="Arial"/>
                <w:color w:val="000000" w:themeColor="text1"/>
                <w:sz w:val="20"/>
                <w:szCs w:val="20"/>
                <w:lang w:val="en-GB"/>
              </w:rPr>
              <w:t>Noted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14/1-14</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Agreed to:</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a) the need for GISC agreement making processes necessary to manage multilateral GISC issues.</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b) establish a sub team to define TOR and working practices to report back to TT-GISC on recommended procedures for approving inclusion of data in GISC core cache, and similar decisions, so it can be reported to ET-WISC and ICT-ISS. </w:t>
            </w:r>
          </w:p>
        </w:tc>
        <w:tc>
          <w:tcPr>
            <w:tcW w:w="2114" w:type="pct"/>
          </w:tcPr>
          <w:p w:rsidR="00722C4E" w:rsidRPr="00E95A48" w:rsidRDefault="00722C4E" w:rsidP="00811212">
            <w:pPr>
              <w:tabs>
                <w:tab w:val="left" w:pos="1134"/>
                <w:tab w:val="left" w:pos="2268"/>
                <w:tab w:val="left" w:pos="3402"/>
                <w:tab w:val="left" w:pos="4534"/>
              </w:tabs>
              <w:jc w:val="both"/>
              <w:rPr>
                <w:rFonts w:cs="Arial"/>
                <w:color w:val="000000" w:themeColor="text1"/>
                <w:sz w:val="20"/>
                <w:szCs w:val="20"/>
                <w:lang w:val="en-GB"/>
              </w:rPr>
            </w:pPr>
            <w:r w:rsidRPr="00E95A48">
              <w:rPr>
                <w:rFonts w:cs="Arial"/>
                <w:color w:val="000000" w:themeColor="text1"/>
                <w:sz w:val="20"/>
                <w:szCs w:val="20"/>
                <w:lang w:val="en-GB"/>
              </w:rPr>
              <w:t>No action</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14/1-15</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Meeting</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a) confirmed file format of 24h cache to be full meteorological bulletin as in report of ET-WISC meeting, 2013.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b) encouraged all GISCs to use the full “Meteorological bulletin” as default representation of GTS-bulletin data instances</w:t>
            </w:r>
          </w:p>
        </w:tc>
        <w:tc>
          <w:tcPr>
            <w:tcW w:w="2114" w:type="pct"/>
          </w:tcPr>
          <w:p w:rsidR="00722C4E" w:rsidRPr="00E95A48" w:rsidRDefault="00722C4E" w:rsidP="00811212">
            <w:pPr>
              <w:tabs>
                <w:tab w:val="left" w:pos="1134"/>
                <w:tab w:val="left" w:pos="2268"/>
                <w:tab w:val="left" w:pos="3402"/>
                <w:tab w:val="left" w:pos="4534"/>
              </w:tabs>
              <w:jc w:val="both"/>
              <w:rPr>
                <w:rFonts w:cs="Arial"/>
                <w:color w:val="000000" w:themeColor="text1"/>
                <w:sz w:val="20"/>
                <w:szCs w:val="20"/>
                <w:lang w:val="en-GB"/>
              </w:rPr>
            </w:pPr>
            <w:r w:rsidRPr="00E95A48">
              <w:rPr>
                <w:rFonts w:cs="Arial"/>
                <w:color w:val="000000" w:themeColor="text1"/>
                <w:sz w:val="20"/>
                <w:szCs w:val="20"/>
                <w:lang w:val="en-GB"/>
              </w:rPr>
              <w:t>a) noted</w:t>
            </w:r>
          </w:p>
          <w:p w:rsidR="00722C4E" w:rsidRPr="00E95A48" w:rsidRDefault="00722C4E" w:rsidP="00811212">
            <w:pPr>
              <w:tabs>
                <w:tab w:val="left" w:pos="1134"/>
                <w:tab w:val="left" w:pos="2268"/>
                <w:tab w:val="left" w:pos="3402"/>
                <w:tab w:val="left" w:pos="4534"/>
              </w:tabs>
              <w:jc w:val="both"/>
              <w:rPr>
                <w:rFonts w:cs="Arial"/>
                <w:color w:val="000000" w:themeColor="text1"/>
                <w:sz w:val="20"/>
                <w:szCs w:val="20"/>
                <w:lang w:val="en-GB"/>
              </w:rPr>
            </w:pPr>
            <w:r w:rsidRPr="00E95A48">
              <w:rPr>
                <w:rFonts w:cs="Arial"/>
                <w:color w:val="000000" w:themeColor="text1"/>
                <w:sz w:val="20"/>
                <w:szCs w:val="20"/>
                <w:lang w:val="en-GB"/>
              </w:rPr>
              <w:t>b) compliant</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14/1-16</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Establish a method by which access to a GISC cache is reviewed/audited. </w:t>
            </w:r>
          </w:p>
        </w:tc>
        <w:tc>
          <w:tcPr>
            <w:tcW w:w="2114" w:type="pct"/>
          </w:tcPr>
          <w:p w:rsidR="00722C4E" w:rsidRPr="00E95A48" w:rsidRDefault="00722C4E" w:rsidP="00811212">
            <w:pPr>
              <w:tabs>
                <w:tab w:val="left" w:pos="1134"/>
                <w:tab w:val="left" w:pos="2268"/>
                <w:tab w:val="left" w:pos="3402"/>
                <w:tab w:val="left" w:pos="4534"/>
              </w:tabs>
              <w:jc w:val="both"/>
              <w:rPr>
                <w:rFonts w:cs="Arial"/>
                <w:color w:val="000000" w:themeColor="text1"/>
                <w:sz w:val="20"/>
                <w:szCs w:val="20"/>
                <w:lang w:val="en-GB"/>
              </w:rPr>
            </w:pPr>
            <w:r w:rsidRPr="00E95A48">
              <w:rPr>
                <w:rFonts w:cs="Arial"/>
                <w:color w:val="000000" w:themeColor="text1"/>
                <w:sz w:val="20"/>
                <w:szCs w:val="20"/>
                <w:lang w:val="en-GB"/>
              </w:rPr>
              <w:t>No action</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14/1-17</w:t>
            </w:r>
          </w:p>
        </w:tc>
        <w:tc>
          <w:tcPr>
            <w:tcW w:w="2447" w:type="pct"/>
          </w:tcPr>
          <w:p w:rsidR="00722C4E" w:rsidRPr="00D76DB2" w:rsidRDefault="00722C4E" w:rsidP="00811212">
            <w:pPr>
              <w:tabs>
                <w:tab w:val="left" w:pos="1134"/>
                <w:tab w:val="left" w:pos="2268"/>
                <w:tab w:val="left" w:pos="3402"/>
                <w:tab w:val="left" w:pos="4534"/>
              </w:tabs>
              <w:rPr>
                <w:rFonts w:cs="Arial"/>
                <w:sz w:val="20"/>
                <w:szCs w:val="20"/>
                <w:lang w:val="en-GB"/>
              </w:rPr>
            </w:pPr>
            <w:r w:rsidRPr="00D76DB2">
              <w:rPr>
                <w:rFonts w:cs="Arial"/>
                <w:b/>
                <w:sz w:val="20"/>
                <w:szCs w:val="20"/>
                <w:lang w:val="en-GB"/>
              </w:rPr>
              <w:t xml:space="preserve">Action: </w:t>
            </w:r>
            <w:r w:rsidRPr="00D76DB2">
              <w:rPr>
                <w:rFonts w:cs="Arial"/>
                <w:sz w:val="20"/>
                <w:szCs w:val="20"/>
                <w:lang w:val="en-GB"/>
              </w:rPr>
              <w:t>TT-GISC recommended:</w:t>
            </w:r>
          </w:p>
          <w:p w:rsidR="00722C4E" w:rsidRPr="00D76DB2" w:rsidRDefault="00722C4E" w:rsidP="00811212">
            <w:pPr>
              <w:tabs>
                <w:tab w:val="left" w:pos="1134"/>
                <w:tab w:val="left" w:pos="2268"/>
                <w:tab w:val="left" w:pos="3402"/>
                <w:tab w:val="left" w:pos="4534"/>
              </w:tabs>
              <w:rPr>
                <w:rFonts w:cs="Arial"/>
                <w:sz w:val="20"/>
                <w:szCs w:val="20"/>
                <w:lang w:val="en-GB"/>
              </w:rPr>
            </w:pPr>
            <w:r w:rsidRPr="00D76DB2">
              <w:rPr>
                <w:rFonts w:cs="Arial"/>
                <w:sz w:val="20"/>
                <w:szCs w:val="20"/>
                <w:lang w:val="en-GB"/>
              </w:rPr>
              <w:t>a)  GISCs should agree on a single standard to facilitate user federation;</w:t>
            </w:r>
          </w:p>
          <w:p w:rsidR="00722C4E" w:rsidRPr="00D76DB2" w:rsidRDefault="00722C4E" w:rsidP="00811212">
            <w:pPr>
              <w:tabs>
                <w:tab w:val="left" w:pos="1134"/>
                <w:tab w:val="left" w:pos="2268"/>
                <w:tab w:val="left" w:pos="3402"/>
                <w:tab w:val="left" w:pos="4534"/>
              </w:tabs>
              <w:rPr>
                <w:rFonts w:cs="Arial"/>
                <w:sz w:val="20"/>
                <w:szCs w:val="20"/>
                <w:lang w:val="en-GB"/>
              </w:rPr>
            </w:pPr>
            <w:r w:rsidRPr="00D76DB2">
              <w:rPr>
                <w:rFonts w:cs="Arial"/>
                <w:sz w:val="20"/>
                <w:szCs w:val="20"/>
                <w:lang w:val="en-GB"/>
              </w:rPr>
              <w:t>b) Establish group to investigate, including establishing basic use cases</w:t>
            </w:r>
          </w:p>
          <w:p w:rsidR="00722C4E" w:rsidRPr="00D76DB2" w:rsidRDefault="00722C4E" w:rsidP="00811212">
            <w:pPr>
              <w:tabs>
                <w:tab w:val="left" w:pos="1134"/>
                <w:tab w:val="left" w:pos="2268"/>
                <w:tab w:val="left" w:pos="3402"/>
                <w:tab w:val="left" w:pos="4534"/>
              </w:tabs>
              <w:rPr>
                <w:rFonts w:cs="Arial"/>
                <w:sz w:val="20"/>
                <w:szCs w:val="20"/>
                <w:lang w:val="en-GB"/>
              </w:rPr>
            </w:pPr>
            <w:r w:rsidRPr="00D76DB2">
              <w:rPr>
                <w:rFonts w:cs="Arial"/>
                <w:sz w:val="20"/>
                <w:szCs w:val="20"/>
                <w:lang w:val="en-GB"/>
              </w:rPr>
              <w:t>c)  Confirm elements needed to be shared.</w:t>
            </w:r>
          </w:p>
        </w:tc>
        <w:tc>
          <w:tcPr>
            <w:tcW w:w="2114" w:type="pct"/>
          </w:tcPr>
          <w:p w:rsidR="00722C4E" w:rsidRPr="00E95A48" w:rsidRDefault="00722C4E" w:rsidP="00811212">
            <w:pPr>
              <w:tabs>
                <w:tab w:val="left" w:pos="1134"/>
                <w:tab w:val="left" w:pos="2268"/>
                <w:tab w:val="left" w:pos="3402"/>
                <w:tab w:val="left" w:pos="4534"/>
              </w:tabs>
              <w:jc w:val="both"/>
              <w:rPr>
                <w:rFonts w:cs="Arial"/>
                <w:color w:val="000000" w:themeColor="text1"/>
                <w:sz w:val="20"/>
                <w:szCs w:val="20"/>
                <w:lang w:val="it-IT"/>
              </w:rPr>
            </w:pPr>
            <w:r w:rsidRPr="00E95A48">
              <w:rPr>
                <w:rFonts w:cs="Arial"/>
                <w:color w:val="000000" w:themeColor="text1"/>
                <w:sz w:val="20"/>
                <w:szCs w:val="20"/>
                <w:lang w:val="it-IT"/>
              </w:rPr>
              <w:t xml:space="preserve">Noted. </w:t>
            </w:r>
          </w:p>
          <w:p w:rsidR="00722C4E" w:rsidRPr="00E95A48" w:rsidRDefault="00722C4E" w:rsidP="00811212">
            <w:pPr>
              <w:tabs>
                <w:tab w:val="left" w:pos="1134"/>
                <w:tab w:val="left" w:pos="2268"/>
                <w:tab w:val="left" w:pos="3402"/>
                <w:tab w:val="left" w:pos="4534"/>
              </w:tabs>
              <w:jc w:val="both"/>
              <w:rPr>
                <w:rFonts w:cs="Arial"/>
                <w:color w:val="000000" w:themeColor="text1"/>
                <w:sz w:val="20"/>
                <w:szCs w:val="20"/>
                <w:lang w:val="it-IT"/>
              </w:rPr>
            </w:pP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14/1-18</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Decision:</w:t>
            </w:r>
            <w:r w:rsidRPr="00D76DB2">
              <w:rPr>
                <w:rFonts w:cs="Arial"/>
                <w:sz w:val="20"/>
                <w:szCs w:val="20"/>
                <w:lang w:val="en-GB"/>
              </w:rPr>
              <w:t xml:space="preserve"> agreed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a) on the proposed GISC backup procedures in </w:t>
            </w:r>
            <w:hyperlink w:anchor="_Annex_to_9.1:" w:history="1">
              <w:r w:rsidRPr="00D76DB2">
                <w:rPr>
                  <w:rStyle w:val="Hyperlink"/>
                  <w:rFonts w:cs="Arial"/>
                  <w:sz w:val="20"/>
                  <w:szCs w:val="20"/>
                  <w:lang w:val="en-GB"/>
                </w:rPr>
                <w:t>Appendix D, Annex to 9.1</w:t>
              </w:r>
            </w:hyperlink>
            <w:r w:rsidRPr="00D76DB2">
              <w:rPr>
                <w:rFonts w:cs="Arial"/>
                <w:sz w:val="20"/>
                <w:szCs w:val="20"/>
                <w:lang w:val="en-GB"/>
              </w:rPr>
              <w:t xml:space="preserve"> to this report</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b) not to include metadata management in GISC backup, and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c) not to exchange or transfer metadata management privilege for backup purposes</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d) If there is a need to exchange user information, proper security measures should be taken based on the agreement on the two GISCs.</w:t>
            </w:r>
          </w:p>
        </w:tc>
        <w:tc>
          <w:tcPr>
            <w:tcW w:w="2114" w:type="pct"/>
          </w:tcPr>
          <w:p w:rsidR="00722C4E" w:rsidRPr="00E95A48" w:rsidRDefault="00722C4E" w:rsidP="00811212">
            <w:pPr>
              <w:tabs>
                <w:tab w:val="left" w:pos="1134"/>
                <w:tab w:val="left" w:pos="2268"/>
                <w:tab w:val="left" w:pos="3402"/>
                <w:tab w:val="left" w:pos="4534"/>
              </w:tabs>
              <w:jc w:val="both"/>
              <w:rPr>
                <w:rFonts w:cs="Arial"/>
                <w:color w:val="000000" w:themeColor="text1"/>
                <w:sz w:val="20"/>
                <w:szCs w:val="20"/>
                <w:lang w:val="en-GB"/>
              </w:rPr>
            </w:pPr>
            <w:r w:rsidRPr="00E95A48">
              <w:rPr>
                <w:rFonts w:cs="Arial"/>
                <w:color w:val="000000" w:themeColor="text1"/>
                <w:sz w:val="20"/>
                <w:szCs w:val="20"/>
                <w:lang w:val="en-GB"/>
              </w:rPr>
              <w:t>Noted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lastRenderedPageBreak/>
              <w:t>14/1-19</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Recommendation:</w:t>
            </w:r>
            <w:r w:rsidRPr="00D76DB2">
              <w:rPr>
                <w:rFonts w:cs="Arial"/>
                <w:sz w:val="20"/>
                <w:szCs w:val="20"/>
                <w:lang w:val="en-GB"/>
              </w:rPr>
              <w:t xml:space="preserve"> The meeting agreed that:</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a) The terms for “</w:t>
            </w:r>
            <w:r w:rsidRPr="00D76DB2">
              <w:rPr>
                <w:rFonts w:cs="Arial"/>
                <w:i/>
                <w:sz w:val="20"/>
                <w:szCs w:val="20"/>
                <w:lang w:val="en-GB"/>
              </w:rPr>
              <w:t>GISC Registered User</w:t>
            </w:r>
            <w:r w:rsidRPr="00D76DB2">
              <w:rPr>
                <w:rFonts w:cs="Arial"/>
                <w:sz w:val="20"/>
                <w:szCs w:val="20"/>
                <w:lang w:val="en-GB"/>
              </w:rPr>
              <w:t xml:space="preserve">” should be included in the Manual on </w:t>
            </w:r>
            <w:smartTag w:uri="urn:schemas-microsoft-com:office:smarttags" w:element="place">
              <w:smartTag w:uri="urn:schemas-microsoft-com:office:smarttags" w:element="State">
                <w:r w:rsidRPr="00D76DB2">
                  <w:rPr>
                    <w:rFonts w:cs="Arial"/>
                    <w:sz w:val="20"/>
                    <w:szCs w:val="20"/>
                    <w:lang w:val="en-GB"/>
                  </w:rPr>
                  <w:t>WIS</w:t>
                </w:r>
              </w:smartTag>
            </w:smartTag>
            <w:r w:rsidRPr="00D76DB2">
              <w:rPr>
                <w:rFonts w:cs="Arial"/>
                <w:sz w:val="20"/>
                <w:szCs w:val="20"/>
                <w:lang w:val="en-GB"/>
              </w:rPr>
              <w:t>, and that the paragraph 3.9.2 be updated to include “</w:t>
            </w:r>
            <w:r w:rsidRPr="00D76DB2">
              <w:rPr>
                <w:rFonts w:cs="Arial"/>
                <w:i/>
                <w:sz w:val="20"/>
                <w:szCs w:val="20"/>
                <w:lang w:val="en-GB"/>
              </w:rPr>
              <w:t>In addition, GISCs are encouraged to, where feasible, provide backup for registered GISC users that are not included within the mandatory backup procedures for NCs and DCPCs within the GISCs AMDCN</w:t>
            </w:r>
            <w:r w:rsidRPr="00D76DB2">
              <w:rPr>
                <w:rFonts w:cs="Arial"/>
                <w:sz w:val="20"/>
                <w:szCs w:val="20"/>
                <w:lang w:val="en-GB"/>
              </w:rPr>
              <w:t>.</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b) The procedure in </w:t>
            </w:r>
            <w:hyperlink w:anchor="_Annex_to_9.3" w:history="1">
              <w:r w:rsidRPr="00D76DB2">
                <w:rPr>
                  <w:rStyle w:val="Hyperlink"/>
                  <w:rFonts w:cs="Arial"/>
                  <w:sz w:val="20"/>
                  <w:szCs w:val="20"/>
                  <w:lang w:val="en-GB"/>
                </w:rPr>
                <w:t>Appendix D, Annex to 9.3</w:t>
              </w:r>
            </w:hyperlink>
            <w:r w:rsidRPr="00D76DB2">
              <w:rPr>
                <w:rFonts w:cs="Arial"/>
                <w:sz w:val="20"/>
                <w:szCs w:val="20"/>
                <w:lang w:val="en-GB"/>
              </w:rPr>
              <w:t xml:space="preserve"> for NCs and DCPCs changing their principal GISC for inclusion in the Guide to the </w:t>
            </w:r>
            <w:smartTag w:uri="urn:schemas-microsoft-com:office:smarttags" w:element="place">
              <w:smartTag w:uri="urn:schemas-microsoft-com:office:smarttags" w:element="State">
                <w:r w:rsidRPr="00D76DB2">
                  <w:rPr>
                    <w:rFonts w:cs="Arial"/>
                    <w:sz w:val="20"/>
                    <w:szCs w:val="20"/>
                    <w:lang w:val="en-GB"/>
                  </w:rPr>
                  <w:t>WIS</w:t>
                </w:r>
              </w:smartTag>
            </w:smartTag>
            <w:r w:rsidRPr="00D76DB2">
              <w:rPr>
                <w:rFonts w:cs="Arial"/>
                <w:sz w:val="20"/>
                <w:szCs w:val="20"/>
                <w:lang w:val="en-GB"/>
              </w:rPr>
              <w:t xml:space="preserve"> (WMO No 1061)</w:t>
            </w:r>
          </w:p>
        </w:tc>
        <w:tc>
          <w:tcPr>
            <w:tcW w:w="2114" w:type="pct"/>
          </w:tcPr>
          <w:p w:rsidR="00722C4E" w:rsidRPr="00E95A48" w:rsidRDefault="00722C4E" w:rsidP="00811212">
            <w:pPr>
              <w:tabs>
                <w:tab w:val="left" w:pos="1134"/>
                <w:tab w:val="left" w:pos="2268"/>
                <w:tab w:val="left" w:pos="3402"/>
                <w:tab w:val="left" w:pos="4534"/>
              </w:tabs>
              <w:jc w:val="both"/>
              <w:rPr>
                <w:rFonts w:cs="Arial"/>
                <w:color w:val="000000" w:themeColor="text1"/>
                <w:sz w:val="20"/>
                <w:szCs w:val="20"/>
                <w:lang w:val="en-GB"/>
              </w:rPr>
            </w:pPr>
            <w:r w:rsidRPr="00E95A48">
              <w:rPr>
                <w:rFonts w:cs="Arial"/>
                <w:color w:val="000000" w:themeColor="text1"/>
                <w:sz w:val="20"/>
                <w:szCs w:val="20"/>
                <w:lang w:val="en-GB"/>
              </w:rPr>
              <w:t>Noted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14/1-20</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Recommendation:</w:t>
            </w:r>
            <w:r w:rsidRPr="00D76DB2">
              <w:rPr>
                <w:rFonts w:cs="Arial"/>
                <w:sz w:val="20"/>
                <w:szCs w:val="20"/>
                <w:lang w:val="en-GB"/>
              </w:rPr>
              <w:t xml:space="preserve"> TT-GISC</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a) agreed that GISC working arrangements, including recommended practices from TT-GISC, should be recorded in an easily maintained Operations Guide to GISCs (possibly a wiki)</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b) proposed that </w:t>
            </w:r>
            <w:hyperlink w:anchor="_Annex_to_9.2" w:history="1">
              <w:r w:rsidRPr="00D76DB2">
                <w:rPr>
                  <w:rStyle w:val="Hyperlink"/>
                  <w:rFonts w:cs="Arial"/>
                  <w:sz w:val="20"/>
                  <w:szCs w:val="20"/>
                  <w:lang w:val="en-GB"/>
                </w:rPr>
                <w:t>Appendix D, Annex to 9.2</w:t>
              </w:r>
            </w:hyperlink>
            <w:r w:rsidRPr="00D76DB2">
              <w:rPr>
                <w:rFonts w:cs="Arial"/>
                <w:sz w:val="20"/>
                <w:szCs w:val="20"/>
                <w:lang w:val="en-GB"/>
              </w:rPr>
              <w:t xml:space="preserve"> should be included in a GISC operating guide.</w:t>
            </w:r>
          </w:p>
        </w:tc>
        <w:tc>
          <w:tcPr>
            <w:tcW w:w="2114" w:type="pct"/>
          </w:tcPr>
          <w:p w:rsidR="00722C4E" w:rsidRPr="00E95A48" w:rsidRDefault="00722C4E" w:rsidP="00811212">
            <w:pPr>
              <w:tabs>
                <w:tab w:val="left" w:pos="1134"/>
                <w:tab w:val="left" w:pos="2268"/>
                <w:tab w:val="left" w:pos="3402"/>
                <w:tab w:val="left" w:pos="4534"/>
              </w:tabs>
              <w:jc w:val="both"/>
              <w:rPr>
                <w:rFonts w:cs="Arial"/>
                <w:color w:val="000000" w:themeColor="text1"/>
                <w:sz w:val="20"/>
                <w:szCs w:val="20"/>
                <w:lang w:val="en-GB"/>
              </w:rPr>
            </w:pPr>
            <w:r w:rsidRPr="00E95A48">
              <w:rPr>
                <w:rFonts w:cs="Arial"/>
                <w:color w:val="000000" w:themeColor="text1"/>
                <w:sz w:val="20"/>
                <w:szCs w:val="20"/>
                <w:lang w:val="en-GB"/>
              </w:rPr>
              <w:t>Noted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14/1-21</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Recommendation:</w:t>
            </w:r>
            <w:r w:rsidRPr="00D76DB2">
              <w:rPr>
                <w:rFonts w:cs="Arial"/>
                <w:sz w:val="20"/>
                <w:szCs w:val="20"/>
                <w:lang w:val="en-GB"/>
              </w:rPr>
              <w:t xml:space="preserve"> TT-GISC recommends that WMO be registered as a DCPC with a principal GISC of Toulouse.</w:t>
            </w:r>
          </w:p>
        </w:tc>
        <w:tc>
          <w:tcPr>
            <w:tcW w:w="2114" w:type="pct"/>
          </w:tcPr>
          <w:p w:rsidR="00722C4E" w:rsidRPr="00E95A48" w:rsidRDefault="00722C4E" w:rsidP="00811212">
            <w:pPr>
              <w:tabs>
                <w:tab w:val="left" w:pos="1134"/>
                <w:tab w:val="left" w:pos="2268"/>
                <w:tab w:val="left" w:pos="3402"/>
                <w:tab w:val="left" w:pos="4534"/>
              </w:tabs>
              <w:jc w:val="both"/>
              <w:rPr>
                <w:rFonts w:cs="Arial"/>
                <w:color w:val="000000" w:themeColor="text1"/>
                <w:sz w:val="20"/>
                <w:szCs w:val="20"/>
                <w:lang w:val="en-GB"/>
              </w:rPr>
            </w:pPr>
            <w:r w:rsidRPr="00E95A48">
              <w:rPr>
                <w:rFonts w:cs="Arial"/>
                <w:color w:val="000000" w:themeColor="text1"/>
                <w:sz w:val="20"/>
                <w:szCs w:val="20"/>
                <w:lang w:val="en-GB"/>
              </w:rPr>
              <w:t>Noted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14/1-22</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TT-GISC:</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a) Agreed that there was a need for a standard format and method along the lines proposed by GISC Pretoria and described in Appendix D, Annex to 9.4.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b) Requested </w:t>
            </w:r>
            <w:smartTag w:uri="urn:schemas-microsoft-com:office:smarttags" w:element="country-region">
              <w:r w:rsidRPr="00D76DB2">
                <w:rPr>
                  <w:rFonts w:cs="Arial"/>
                  <w:sz w:val="20"/>
                  <w:szCs w:val="20"/>
                  <w:lang w:val="en-GB"/>
                </w:rPr>
                <w:t>France</w:t>
              </w:r>
            </w:smartTag>
            <w:r w:rsidRPr="00D76DB2">
              <w:rPr>
                <w:rFonts w:cs="Arial"/>
                <w:sz w:val="20"/>
                <w:szCs w:val="20"/>
                <w:lang w:val="en-GB"/>
              </w:rPr>
              <w:t xml:space="preserve"> and </w:t>
            </w:r>
            <w:smartTag w:uri="urn:schemas-microsoft-com:office:smarttags" w:element="place">
              <w:smartTag w:uri="urn:schemas-microsoft-com:office:smarttags" w:element="country-region">
                <w:r w:rsidRPr="00D76DB2">
                  <w:rPr>
                    <w:rFonts w:cs="Arial"/>
                    <w:sz w:val="20"/>
                    <w:szCs w:val="20"/>
                    <w:lang w:val="en-GB"/>
                  </w:rPr>
                  <w:t>Germany</w:t>
                </w:r>
              </w:smartTag>
            </w:smartTag>
            <w:r w:rsidRPr="00D76DB2">
              <w:rPr>
                <w:rFonts w:cs="Arial"/>
                <w:sz w:val="20"/>
                <w:szCs w:val="20"/>
                <w:lang w:val="en-GB"/>
              </w:rPr>
              <w:t xml:space="preserve"> to explore this issue further to prepare a report to TT-GISC with an aim to including the details in the GISC Practices Guide</w:t>
            </w:r>
          </w:p>
        </w:tc>
        <w:tc>
          <w:tcPr>
            <w:tcW w:w="2114" w:type="pct"/>
          </w:tcPr>
          <w:p w:rsidR="00722C4E" w:rsidRPr="00E95A48" w:rsidRDefault="00722C4E" w:rsidP="00811212">
            <w:pPr>
              <w:tabs>
                <w:tab w:val="left" w:pos="1134"/>
                <w:tab w:val="left" w:pos="2268"/>
                <w:tab w:val="left" w:pos="3402"/>
                <w:tab w:val="left" w:pos="4534"/>
              </w:tabs>
              <w:jc w:val="both"/>
              <w:rPr>
                <w:rFonts w:cs="Arial"/>
                <w:color w:val="000000" w:themeColor="text1"/>
                <w:sz w:val="20"/>
                <w:szCs w:val="20"/>
                <w:lang w:val="en-GB"/>
              </w:rPr>
            </w:pPr>
            <w:r w:rsidRPr="00E95A48">
              <w:rPr>
                <w:rFonts w:cs="Arial"/>
                <w:color w:val="000000" w:themeColor="text1"/>
                <w:sz w:val="20"/>
                <w:szCs w:val="20"/>
                <w:lang w:val="en-GB"/>
              </w:rPr>
              <w:t>No Action</w:t>
            </w:r>
          </w:p>
        </w:tc>
      </w:tr>
    </w:tbl>
    <w:p w:rsidR="0053519E" w:rsidRDefault="00D76269"/>
    <w:sectPr w:rsidR="0053519E" w:rsidSect="00F4416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B2"/>
    <w:family w:val="swiss"/>
    <w:notTrueType/>
    <w:pitch w:val="variable"/>
    <w:sig w:usb0="00002001" w:usb1="00000000" w:usb2="00000000" w:usb3="00000000" w:csb0="0000004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275A1B"/>
    <w:multiLevelType w:val="hybridMultilevel"/>
    <w:tmpl w:val="1B80888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16A"/>
    <w:rsid w:val="00031135"/>
    <w:rsid w:val="00194F8E"/>
    <w:rsid w:val="001A1F72"/>
    <w:rsid w:val="001B5278"/>
    <w:rsid w:val="002C4ECC"/>
    <w:rsid w:val="002D37A5"/>
    <w:rsid w:val="002E197C"/>
    <w:rsid w:val="00302AB4"/>
    <w:rsid w:val="00303484"/>
    <w:rsid w:val="003625C9"/>
    <w:rsid w:val="003A60AF"/>
    <w:rsid w:val="00464086"/>
    <w:rsid w:val="005B02DB"/>
    <w:rsid w:val="00661941"/>
    <w:rsid w:val="00722C4E"/>
    <w:rsid w:val="0076385C"/>
    <w:rsid w:val="008C3BF9"/>
    <w:rsid w:val="00A50B30"/>
    <w:rsid w:val="00AD7263"/>
    <w:rsid w:val="00C51323"/>
    <w:rsid w:val="00CB1F32"/>
    <w:rsid w:val="00CC62DA"/>
    <w:rsid w:val="00D76269"/>
    <w:rsid w:val="00DA607B"/>
    <w:rsid w:val="00E95A48"/>
    <w:rsid w:val="00F4416A"/>
    <w:rsid w:val="00F716DE"/>
    <w:rsid w:val="00FA25F4"/>
    <w:rsid w:val="00FF2976"/>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416A"/>
    <w:pPr>
      <w:spacing w:after="0" w:line="240" w:lineRule="auto"/>
    </w:pPr>
    <w:rPr>
      <w:rFonts w:ascii="Times New Roman" w:eastAsia="MS Mincho" w:hAnsi="Times New Roman" w:cs="Times New Roman"/>
      <w:sz w:val="24"/>
      <w:szCs w:val="24"/>
      <w:lang w:val="fr-FR"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rsid w:val="00F4416A"/>
    <w:rPr>
      <w:color w:val="0000FF"/>
      <w:u w:val="single"/>
    </w:rPr>
  </w:style>
  <w:style w:type="character" w:styleId="a3">
    <w:name w:val="FollowedHyperlink"/>
    <w:basedOn w:val="a0"/>
    <w:uiPriority w:val="99"/>
    <w:semiHidden/>
    <w:unhideWhenUsed/>
    <w:rsid w:val="00F4416A"/>
    <w:rPr>
      <w:color w:val="800080" w:themeColor="followedHyperlink"/>
      <w:u w:val="single"/>
    </w:rPr>
  </w:style>
  <w:style w:type="paragraph" w:styleId="a4">
    <w:name w:val="Balloon Text"/>
    <w:basedOn w:val="a"/>
    <w:link w:val="Char"/>
    <w:uiPriority w:val="99"/>
    <w:semiHidden/>
    <w:unhideWhenUsed/>
    <w:rsid w:val="00722C4E"/>
    <w:rPr>
      <w:rFonts w:ascii="Tahoma" w:hAnsi="Tahoma" w:cs="Tahoma"/>
      <w:sz w:val="16"/>
      <w:szCs w:val="16"/>
    </w:rPr>
  </w:style>
  <w:style w:type="character" w:customStyle="1" w:styleId="Char">
    <w:name w:val="نص في بالون Char"/>
    <w:basedOn w:val="a0"/>
    <w:link w:val="a4"/>
    <w:uiPriority w:val="99"/>
    <w:semiHidden/>
    <w:rsid w:val="00722C4E"/>
    <w:rPr>
      <w:rFonts w:ascii="Tahoma" w:eastAsia="MS Mincho" w:hAnsi="Tahoma" w:cs="Tahoma"/>
      <w:sz w:val="16"/>
      <w:szCs w:val="16"/>
      <w:lang w:val="fr-FR" w:eastAsia="ja-JP"/>
    </w:rPr>
  </w:style>
  <w:style w:type="paragraph" w:styleId="a5">
    <w:name w:val="List Paragraph"/>
    <w:basedOn w:val="a"/>
    <w:uiPriority w:val="34"/>
    <w:qFormat/>
    <w:rsid w:val="0076385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416A"/>
    <w:pPr>
      <w:spacing w:after="0" w:line="240" w:lineRule="auto"/>
    </w:pPr>
    <w:rPr>
      <w:rFonts w:ascii="Times New Roman" w:eastAsia="MS Mincho" w:hAnsi="Times New Roman" w:cs="Times New Roman"/>
      <w:sz w:val="24"/>
      <w:szCs w:val="24"/>
      <w:lang w:val="fr-FR"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rsid w:val="00F4416A"/>
    <w:rPr>
      <w:color w:val="0000FF"/>
      <w:u w:val="single"/>
    </w:rPr>
  </w:style>
  <w:style w:type="character" w:styleId="a3">
    <w:name w:val="FollowedHyperlink"/>
    <w:basedOn w:val="a0"/>
    <w:uiPriority w:val="99"/>
    <w:semiHidden/>
    <w:unhideWhenUsed/>
    <w:rsid w:val="00F4416A"/>
    <w:rPr>
      <w:color w:val="800080" w:themeColor="followedHyperlink"/>
      <w:u w:val="single"/>
    </w:rPr>
  </w:style>
  <w:style w:type="paragraph" w:styleId="a4">
    <w:name w:val="Balloon Text"/>
    <w:basedOn w:val="a"/>
    <w:link w:val="Char"/>
    <w:uiPriority w:val="99"/>
    <w:semiHidden/>
    <w:unhideWhenUsed/>
    <w:rsid w:val="00722C4E"/>
    <w:rPr>
      <w:rFonts w:ascii="Tahoma" w:hAnsi="Tahoma" w:cs="Tahoma"/>
      <w:sz w:val="16"/>
      <w:szCs w:val="16"/>
    </w:rPr>
  </w:style>
  <w:style w:type="character" w:customStyle="1" w:styleId="Char">
    <w:name w:val="نص في بالون Char"/>
    <w:basedOn w:val="a0"/>
    <w:link w:val="a4"/>
    <w:uiPriority w:val="99"/>
    <w:semiHidden/>
    <w:rsid w:val="00722C4E"/>
    <w:rPr>
      <w:rFonts w:ascii="Tahoma" w:eastAsia="MS Mincho" w:hAnsi="Tahoma" w:cs="Tahoma"/>
      <w:sz w:val="16"/>
      <w:szCs w:val="16"/>
      <w:lang w:val="fr-FR" w:eastAsia="ja-JP"/>
    </w:rPr>
  </w:style>
  <w:style w:type="paragraph" w:styleId="a5">
    <w:name w:val="List Paragraph"/>
    <w:basedOn w:val="a"/>
    <w:uiPriority w:val="34"/>
    <w:qFormat/>
    <w:rsid w:val="007638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is.wmo.int/doc=2831" TargetMode="External"/><Relationship Id="rId3" Type="http://schemas.microsoft.com/office/2007/relationships/stylesWithEffects" Target="stylesWithEffects.xml"/><Relationship Id="rId7" Type="http://schemas.openxmlformats.org/officeDocument/2006/relationships/hyperlink" Target="http://wis.wmo.int/file=68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is.wmo.int/file=687"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wmo.int/pages/prog/www/WIS/wiswiki/tiki-view_forum.php?forumId=12"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1051</Words>
  <Characters>5991</Characters>
  <Application>Microsoft Office Word</Application>
  <DocSecurity>0</DocSecurity>
  <Lines>49</Lines>
  <Paragraphs>14</Paragraphs>
  <ScaleCrop>false</ScaleCrop>
  <HeadingPairs>
    <vt:vector size="4" baseType="variant">
      <vt:variant>
        <vt:lpstr>العنوان</vt:lpstr>
      </vt:variant>
      <vt:variant>
        <vt:i4>1</vt:i4>
      </vt:variant>
      <vt:variant>
        <vt:lpstr>Titel</vt:lpstr>
      </vt:variant>
      <vt:variant>
        <vt:i4>1</vt:i4>
      </vt:variant>
    </vt:vector>
  </HeadingPairs>
  <TitlesOfParts>
    <vt:vector size="2" baseType="lpstr">
      <vt:lpstr/>
      <vt:lpstr/>
    </vt:vector>
  </TitlesOfParts>
  <Company>Deutscher Wetterdienst</Company>
  <LinksUpToDate>false</LinksUpToDate>
  <CharactersWithSpaces>7028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Heene Markus</dc:creator>
  <cp:lastModifiedBy>saad</cp:lastModifiedBy>
  <cp:revision>7</cp:revision>
  <cp:lastPrinted>2014-10-30T14:18:00Z</cp:lastPrinted>
  <dcterms:created xsi:type="dcterms:W3CDTF">2014-11-05T10:44:00Z</dcterms:created>
  <dcterms:modified xsi:type="dcterms:W3CDTF">2014-11-05T10:46:00Z</dcterms:modified>
</cp:coreProperties>
</file>