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701FDB" w:rsidRPr="00812884">
        <w:trPr>
          <w:cantSplit/>
          <w:trHeight w:val="1438"/>
        </w:trPr>
        <w:tc>
          <w:tcPr>
            <w:tcW w:w="4548" w:type="dxa"/>
            <w:vAlign w:val="center"/>
          </w:tcPr>
          <w:p w:rsidR="00701FDB" w:rsidRPr="00FF7038" w:rsidRDefault="00701FDB" w:rsidP="00E92931">
            <w:pPr>
              <w:shd w:val="clear" w:color="auto" w:fill="FFFFFF"/>
              <w:spacing w:after="18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701FDB" w:rsidRPr="00683FE2" w:rsidRDefault="00701FDB" w:rsidP="00E92931">
            <w:pPr>
              <w:shd w:val="clear" w:color="auto" w:fill="FFFFFF"/>
              <w:spacing w:before="60" w:beforeAutospacing="0" w:after="12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483" w:type="dxa"/>
            <w:gridSpan w:val="4"/>
            <w:tcMar>
              <w:left w:w="6" w:type="dxa"/>
              <w:right w:w="6" w:type="dxa"/>
            </w:tcMar>
          </w:tcPr>
          <w:p w:rsidR="00701FDB" w:rsidRPr="00812884" w:rsidRDefault="00E33512" w:rsidP="00E33512">
            <w:pPr>
              <w:shd w:val="solid" w:color="FFFFFF" w:fill="FFFFFF"/>
              <w:spacing w:before="240" w:beforeAutospacing="0" w:after="0" w:afterAutospacing="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8" o:title=""/>
                </v:shape>
                <o:OLEObject Type="Embed" ProgID="PBrush" ShapeID="_x0000_i1025" DrawAspect="Content" ObjectID="_1455525518" r:id="rId9"/>
              </w:object>
            </w:r>
          </w:p>
        </w:tc>
      </w:tr>
      <w:tr w:rsidR="00701FDB" w:rsidRPr="00812884">
        <w:trPr>
          <w:cantSplit/>
        </w:trPr>
        <w:tc>
          <w:tcPr>
            <w:tcW w:w="6228" w:type="dxa"/>
            <w:gridSpan w:val="2"/>
            <w:tcBorders>
              <w:top w:val="single" w:sz="12" w:space="0" w:color="auto"/>
            </w:tcBorders>
          </w:tcPr>
          <w:p w:rsidR="00701FDB" w:rsidRPr="00812884" w:rsidRDefault="00701FDB" w:rsidP="00E33512">
            <w:pPr>
              <w:shd w:val="solid" w:color="FFFFFF" w:fill="FFFFFF"/>
              <w:spacing w:after="48"/>
              <w:rPr>
                <w:rFonts w:ascii="Verdana" w:hAnsi="Verdana" w:cs="Verdana"/>
              </w:rPr>
            </w:pPr>
          </w:p>
        </w:tc>
        <w:tc>
          <w:tcPr>
            <w:tcW w:w="3803" w:type="dxa"/>
            <w:gridSpan w:val="3"/>
            <w:tcBorders>
              <w:top w:val="single" w:sz="12" w:space="0" w:color="auto"/>
            </w:tcBorders>
          </w:tcPr>
          <w:p w:rsidR="00701FDB" w:rsidRPr="00812884" w:rsidRDefault="00701FDB" w:rsidP="00E33512">
            <w:pPr>
              <w:shd w:val="solid" w:color="FFFFFF" w:fill="FFFFFF"/>
              <w:spacing w:after="48" w:line="240" w:lineRule="atLeast"/>
            </w:pPr>
          </w:p>
        </w:tc>
      </w:tr>
      <w:tr w:rsidR="00682FE9" w:rsidRPr="00812884">
        <w:trPr>
          <w:cantSplit/>
          <w:trHeight w:val="83"/>
        </w:trPr>
        <w:tc>
          <w:tcPr>
            <w:tcW w:w="6228" w:type="dxa"/>
            <w:gridSpan w:val="2"/>
            <w:vMerge w:val="restart"/>
          </w:tcPr>
          <w:p w:rsidR="00A91A6F" w:rsidRPr="00872AB2" w:rsidRDefault="00A91A6F" w:rsidP="00A91A6F">
            <w:pPr>
              <w:shd w:val="solid" w:color="FFFFFF" w:fill="FFFFFF"/>
              <w:spacing w:after="240"/>
              <w:rPr>
                <w:rFonts w:ascii="Verdana" w:hAnsi="Verdana" w:cs="Verdana"/>
                <w:b/>
                <w:sz w:val="20"/>
                <w:szCs w:val="20"/>
              </w:rPr>
            </w:pPr>
            <w:bookmarkStart w:id="1" w:name="recibido"/>
            <w:bookmarkStart w:id="2" w:name="dnum" w:colFirst="1" w:colLast="1"/>
            <w:bookmarkEnd w:id="1"/>
            <w:r w:rsidRPr="00872AB2">
              <w:rPr>
                <w:rFonts w:ascii="Verdana" w:hAnsi="Verdana" w:cs="Verdana"/>
                <w:b/>
                <w:sz w:val="20"/>
                <w:szCs w:val="20"/>
              </w:rPr>
              <w:t xml:space="preserve">Steering Group on Radio Frequency </w:t>
            </w:r>
            <w:r>
              <w:rPr>
                <w:rFonts w:ascii="Verdana" w:hAnsi="Verdana" w:cs="Verdana"/>
                <w:b/>
                <w:sz w:val="20"/>
                <w:szCs w:val="20"/>
              </w:rPr>
              <w:br/>
            </w:r>
            <w:r w:rsidRPr="00872AB2">
              <w:rPr>
                <w:rFonts w:ascii="Verdana" w:hAnsi="Verdana" w:cs="Verdana"/>
                <w:b/>
                <w:sz w:val="20"/>
                <w:szCs w:val="20"/>
              </w:rPr>
              <w:t>Coordination (SG-RFC)</w:t>
            </w:r>
          </w:p>
          <w:p w:rsidR="00682FE9" w:rsidRPr="0044117D" w:rsidRDefault="00A91A6F" w:rsidP="00A91A6F">
            <w:pPr>
              <w:shd w:val="solid" w:color="FFFFFF" w:fill="FFFFFF"/>
              <w:spacing w:after="240"/>
              <w:ind w:left="1134" w:hanging="1134"/>
              <w:rPr>
                <w:rFonts w:ascii="Verdana" w:hAnsi="Verdana" w:cs="Verdana"/>
                <w:sz w:val="20"/>
                <w:szCs w:val="20"/>
              </w:rPr>
            </w:pPr>
            <w:r>
              <w:rPr>
                <w:rFonts w:ascii="Verdana" w:hAnsi="Verdana" w:cs="Verdana"/>
                <w:b/>
                <w:sz w:val="20"/>
                <w:szCs w:val="20"/>
              </w:rPr>
              <w:t>Boulder, Colorado. USA</w:t>
            </w:r>
            <w:r w:rsidRPr="00872AB2">
              <w:rPr>
                <w:rFonts w:ascii="Verdana" w:hAnsi="Verdana" w:cs="Verdana"/>
                <w:b/>
                <w:sz w:val="20"/>
                <w:szCs w:val="20"/>
              </w:rPr>
              <w:t xml:space="preserve">. </w:t>
            </w:r>
            <w:r>
              <w:rPr>
                <w:rFonts w:ascii="Verdana" w:hAnsi="Verdana" w:cs="Verdana"/>
                <w:b/>
                <w:sz w:val="20"/>
                <w:szCs w:val="20"/>
              </w:rPr>
              <w:t>11-13</w:t>
            </w:r>
            <w:r w:rsidRPr="00872AB2">
              <w:rPr>
                <w:rFonts w:ascii="Verdana" w:hAnsi="Verdana" w:cs="Verdana"/>
                <w:b/>
                <w:sz w:val="20"/>
                <w:szCs w:val="20"/>
              </w:rPr>
              <w:t xml:space="preserve"> March 2014</w:t>
            </w:r>
          </w:p>
        </w:tc>
        <w:tc>
          <w:tcPr>
            <w:tcW w:w="3803" w:type="dxa"/>
            <w:gridSpan w:val="3"/>
          </w:tcPr>
          <w:p w:rsidR="00682FE9" w:rsidRPr="007A7EA5" w:rsidRDefault="00682FE9" w:rsidP="00A91A6F">
            <w:pPr>
              <w:shd w:val="solid" w:color="FFFFFF" w:fill="FFFFFF"/>
              <w:spacing w:line="240" w:lineRule="atLeast"/>
              <w:rPr>
                <w:rFonts w:ascii="Verdana" w:hAnsi="Verdana" w:cs="Verdana"/>
                <w:sz w:val="20"/>
                <w:szCs w:val="20"/>
                <w:lang w:eastAsia="zh-CN"/>
              </w:rPr>
            </w:pPr>
            <w:r w:rsidRPr="00812884">
              <w:rPr>
                <w:rFonts w:ascii="Verdana" w:hAnsi="Verdana" w:cs="Verdana"/>
                <w:b/>
                <w:bCs/>
                <w:sz w:val="20"/>
                <w:szCs w:val="20"/>
                <w:lang w:eastAsia="zh-CN"/>
              </w:rPr>
              <w:t xml:space="preserve">Document </w:t>
            </w:r>
            <w:r>
              <w:rPr>
                <w:rFonts w:ascii="Verdana" w:hAnsi="Verdana" w:cs="Verdana"/>
                <w:b/>
                <w:bCs/>
                <w:sz w:val="20"/>
                <w:szCs w:val="20"/>
                <w:lang w:eastAsia="zh-CN"/>
              </w:rPr>
              <w:t>SG-RFC/201</w:t>
            </w:r>
            <w:r w:rsidR="00A91A6F">
              <w:rPr>
                <w:rFonts w:ascii="Verdana" w:hAnsi="Verdana" w:cs="Verdana"/>
                <w:b/>
                <w:bCs/>
                <w:sz w:val="20"/>
                <w:szCs w:val="20"/>
                <w:lang w:eastAsia="zh-CN"/>
              </w:rPr>
              <w:t>4</w:t>
            </w:r>
            <w:r>
              <w:rPr>
                <w:rFonts w:ascii="Verdana" w:hAnsi="Verdana" w:cs="Verdana"/>
                <w:b/>
                <w:bCs/>
                <w:sz w:val="20"/>
                <w:szCs w:val="20"/>
                <w:lang w:eastAsia="zh-CN"/>
              </w:rPr>
              <w:t>-1-</w:t>
            </w:r>
            <w:r w:rsidR="00A91A6F">
              <w:rPr>
                <w:rFonts w:ascii="Verdana" w:hAnsi="Verdana" w:cs="Verdana"/>
                <w:b/>
                <w:bCs/>
                <w:sz w:val="20"/>
                <w:szCs w:val="20"/>
                <w:lang w:eastAsia="zh-CN"/>
              </w:rPr>
              <w:t>19</w:t>
            </w:r>
          </w:p>
        </w:tc>
      </w:tr>
      <w:tr w:rsidR="00682FE9" w:rsidRPr="00812884">
        <w:trPr>
          <w:cantSplit/>
          <w:trHeight w:val="81"/>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B13027" w:rsidP="00A91A6F">
            <w:pPr>
              <w:shd w:val="solid" w:color="FFFFFF" w:fill="FFFFFF"/>
              <w:spacing w:before="0" w:line="240" w:lineRule="atLeast"/>
              <w:rPr>
                <w:rFonts w:ascii="Verdana" w:hAnsi="Verdana" w:cs="Verdana"/>
                <w:sz w:val="20"/>
                <w:szCs w:val="20"/>
                <w:lang w:eastAsia="zh-CN"/>
              </w:rPr>
            </w:pPr>
            <w:r>
              <w:rPr>
                <w:rFonts w:ascii="Verdana" w:hAnsi="Verdana" w:cs="Verdana"/>
                <w:b/>
                <w:bCs/>
                <w:sz w:val="20"/>
                <w:szCs w:val="20"/>
                <w:lang w:eastAsia="zh-CN"/>
              </w:rPr>
              <w:t xml:space="preserve">4 </w:t>
            </w:r>
            <w:r w:rsidR="00A91A6F">
              <w:rPr>
                <w:rFonts w:ascii="Verdana" w:hAnsi="Verdana" w:cs="Verdana"/>
                <w:b/>
                <w:bCs/>
                <w:sz w:val="20"/>
                <w:szCs w:val="20"/>
                <w:lang w:eastAsia="zh-CN"/>
              </w:rPr>
              <w:t>March</w:t>
            </w:r>
            <w:r w:rsidRPr="00812884">
              <w:rPr>
                <w:rFonts w:ascii="Verdana" w:hAnsi="Verdana" w:cs="Verdana"/>
                <w:b/>
                <w:bCs/>
                <w:sz w:val="20"/>
                <w:szCs w:val="20"/>
                <w:lang w:eastAsia="zh-CN"/>
              </w:rPr>
              <w:t xml:space="preserve"> 201</w:t>
            </w:r>
            <w:r w:rsidR="00A91A6F">
              <w:rPr>
                <w:rFonts w:ascii="Verdana" w:hAnsi="Verdana" w:cs="Verdana"/>
                <w:b/>
                <w:bCs/>
                <w:sz w:val="20"/>
                <w:szCs w:val="20"/>
                <w:lang w:eastAsia="zh-CN"/>
              </w:rPr>
              <w:t>4</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cs="Verdana"/>
                <w:b/>
                <w:bCs/>
                <w:sz w:val="20"/>
                <w:szCs w:val="20"/>
                <w:lang w:eastAsia="zh-CN"/>
              </w:rPr>
            </w:pP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2880" w:type="dxa"/>
            <w:tcBorders>
              <w:right w:val="single" w:sz="8" w:space="0" w:color="auto"/>
            </w:tcBorders>
            <w:tcMar>
              <w:top w:w="11" w:type="dxa"/>
              <w:bottom w:w="11" w:type="dxa"/>
            </w:tcMar>
            <w:vAlign w:val="center"/>
          </w:tcPr>
          <w:p w:rsidR="00682FE9" w:rsidRPr="00BC3021" w:rsidRDefault="00682FE9" w:rsidP="00E33512">
            <w:pPr>
              <w:shd w:val="solid" w:color="FFFFFF" w:fill="FFFFFF"/>
              <w:spacing w:before="0" w:line="240" w:lineRule="atLeast"/>
              <w:rPr>
                <w:rFonts w:ascii="Verdana" w:eastAsia="SimSun" w:hAnsi="Verdana" w:cs="Verdana"/>
                <w:b/>
                <w:bCs/>
                <w:sz w:val="20"/>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(Y/N)</w:t>
            </w:r>
            <w:r>
              <w:rPr>
                <w:rStyle w:val="FootnoteReference"/>
                <w:rFonts w:ascii="Verdana" w:eastAsia="SimSun" w:hAnsi="Verdana" w:cs="Verdana"/>
                <w:b/>
                <w:bCs/>
                <w:sz w:val="20"/>
                <w:szCs w:val="20"/>
                <w:lang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r>
              <w:rPr>
                <w:rFonts w:ascii="Verdana" w:eastAsia="SimSun" w:hAnsi="Verdana" w:cs="Verdana"/>
                <w:b/>
                <w:bCs/>
                <w:sz w:val="20"/>
                <w:szCs w:val="20"/>
                <w:lang w:eastAsia="zh-CN"/>
              </w:rPr>
              <w:t>N</w:t>
            </w:r>
          </w:p>
        </w:tc>
        <w:tc>
          <w:tcPr>
            <w:tcW w:w="443" w:type="dxa"/>
            <w:tcBorders>
              <w:left w:val="single" w:sz="8" w:space="0" w:color="auto"/>
            </w:tcBorders>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p>
        </w:tc>
      </w:tr>
      <w:tr w:rsidR="00701FDB" w:rsidRPr="00812884">
        <w:trPr>
          <w:cantSplit/>
        </w:trPr>
        <w:tc>
          <w:tcPr>
            <w:tcW w:w="10031" w:type="dxa"/>
            <w:gridSpan w:val="5"/>
            <w:noWrap/>
            <w:tcMar>
              <w:left w:w="6" w:type="dxa"/>
              <w:right w:w="6" w:type="dxa"/>
            </w:tcMar>
          </w:tcPr>
          <w:p w:rsidR="00701FDB" w:rsidRPr="00E51B91" w:rsidRDefault="00701FDB" w:rsidP="00832FA4">
            <w:pPr>
              <w:pStyle w:val="Source"/>
              <w:rPr>
                <w:rFonts w:ascii="Times New Roman" w:hAnsi="Times New Roman"/>
                <w:lang w:eastAsia="zh-CN"/>
              </w:rPr>
            </w:pPr>
            <w:bookmarkStart w:id="3" w:name="dsource" w:colFirst="0" w:colLast="0"/>
            <w:bookmarkEnd w:id="2"/>
            <w:r w:rsidRPr="00E51B91">
              <w:rPr>
                <w:rFonts w:ascii="Times New Roman" w:hAnsi="Times New Roman"/>
              </w:rPr>
              <w:t>STEERING GROUP ON RA</w:t>
            </w:r>
            <w:bookmarkStart w:id="4" w:name="_GoBack"/>
            <w:bookmarkEnd w:id="4"/>
            <w:r w:rsidRPr="00E51B91">
              <w:rPr>
                <w:rFonts w:ascii="Times New Roman" w:hAnsi="Times New Roman"/>
              </w:rPr>
              <w:t>DIO FREQUENCY COORDINATION (SG-RFC)</w:t>
            </w:r>
          </w:p>
        </w:tc>
      </w:tr>
      <w:tr w:rsidR="00B1454C" w:rsidRPr="00812884">
        <w:trPr>
          <w:cantSplit/>
        </w:trPr>
        <w:tc>
          <w:tcPr>
            <w:tcW w:w="10031" w:type="dxa"/>
            <w:gridSpan w:val="5"/>
          </w:tcPr>
          <w:p w:rsidR="00B1454C" w:rsidRPr="00E83F2D" w:rsidRDefault="00E83F2D" w:rsidP="002B2381">
            <w:pPr>
              <w:pStyle w:val="RepNo"/>
              <w:rPr>
                <w:bCs/>
                <w:lang w:eastAsia="zh-CN"/>
              </w:rPr>
            </w:pPr>
            <w:bookmarkStart w:id="5" w:name="drec" w:colFirst="0" w:colLast="0"/>
            <w:bookmarkEnd w:id="3"/>
            <w:r w:rsidRPr="00E83F2D">
              <w:rPr>
                <w:lang w:val="en-US" w:eastAsia="zh-CN"/>
              </w:rPr>
              <w:t>SG-RFC F</w:t>
            </w:r>
            <w:r w:rsidRPr="00E83F2D">
              <w:rPr>
                <w:caps w:val="0"/>
                <w:lang w:val="en-US" w:eastAsia="zh-CN"/>
              </w:rPr>
              <w:t>ocal</w:t>
            </w:r>
            <w:r w:rsidRPr="00E83F2D">
              <w:rPr>
                <w:lang w:val="en-US" w:eastAsia="zh-CN"/>
              </w:rPr>
              <w:t xml:space="preserve"> P</w:t>
            </w:r>
            <w:r w:rsidRPr="00E83F2D">
              <w:rPr>
                <w:caps w:val="0"/>
                <w:lang w:val="en-US" w:eastAsia="zh-CN"/>
              </w:rPr>
              <w:t xml:space="preserve">oints on </w:t>
            </w:r>
            <w:proofErr w:type="spellStart"/>
            <w:r w:rsidR="00837960">
              <w:rPr>
                <w:caps w:val="0"/>
                <w:lang w:val="en-US" w:eastAsia="zh-CN"/>
              </w:rPr>
              <w:t>MetSat</w:t>
            </w:r>
            <w:proofErr w:type="spellEnd"/>
            <w:r w:rsidR="00837960">
              <w:rPr>
                <w:bCs/>
              </w:rPr>
              <w:t xml:space="preserve"> </w:t>
            </w:r>
            <w:r w:rsidR="006B1BE2">
              <w:rPr>
                <w:bCs/>
                <w:caps w:val="0"/>
              </w:rPr>
              <w:t>and</w:t>
            </w:r>
            <w:r w:rsidR="006B1BE2">
              <w:rPr>
                <w:bCs/>
              </w:rPr>
              <w:t xml:space="preserve"> EESS (</w:t>
            </w:r>
            <w:r w:rsidR="006B1BE2">
              <w:rPr>
                <w:bCs/>
                <w:caps w:val="0"/>
              </w:rPr>
              <w:t>passive)</w:t>
            </w:r>
            <w:r w:rsidR="006B1BE2">
              <w:rPr>
                <w:bCs/>
              </w:rPr>
              <w:t xml:space="preserve"> </w:t>
            </w:r>
            <w:r w:rsidRPr="00E83F2D">
              <w:rPr>
                <w:bCs/>
              </w:rPr>
              <w:t>I</w:t>
            </w:r>
            <w:r w:rsidRPr="00E83F2D">
              <w:rPr>
                <w:bCs/>
                <w:caps w:val="0"/>
              </w:rPr>
              <w:t>ssues</w:t>
            </w:r>
          </w:p>
        </w:tc>
      </w:tr>
      <w:tr w:rsidR="00B1454C" w:rsidRPr="00812884">
        <w:trPr>
          <w:cantSplit/>
        </w:trPr>
        <w:tc>
          <w:tcPr>
            <w:tcW w:w="10031" w:type="dxa"/>
            <w:gridSpan w:val="5"/>
          </w:tcPr>
          <w:p w:rsidR="00B1454C" w:rsidRPr="00E83F2D" w:rsidRDefault="00B13027" w:rsidP="006B1BE2">
            <w:pPr>
              <w:pStyle w:val="Reptitle"/>
              <w:rPr>
                <w:bCs w:val="0"/>
                <w:lang w:eastAsia="zh-CN"/>
              </w:rPr>
            </w:pPr>
            <w:bookmarkStart w:id="6" w:name="dtitle1" w:colFirst="0" w:colLast="0"/>
            <w:bookmarkEnd w:id="5"/>
            <w:r w:rsidRPr="00E83F2D">
              <w:rPr>
                <w:bCs w:val="0"/>
              </w:rPr>
              <w:t xml:space="preserve">Report on </w:t>
            </w:r>
            <w:proofErr w:type="spellStart"/>
            <w:r w:rsidR="00837960">
              <w:rPr>
                <w:bCs w:val="0"/>
              </w:rPr>
              <w:t>MetSat</w:t>
            </w:r>
            <w:proofErr w:type="spellEnd"/>
            <w:r w:rsidR="006B1BE2">
              <w:rPr>
                <w:bCs w:val="0"/>
              </w:rPr>
              <w:t xml:space="preserve"> related EESS (passive &amp; active</w:t>
            </w:r>
            <w:r w:rsidR="006B1BE2">
              <w:rPr>
                <w:bCs w:val="0"/>
                <w:caps/>
              </w:rPr>
              <w:t>)</w:t>
            </w:r>
            <w:r w:rsidR="006B1BE2">
              <w:rPr>
                <w:bCs w:val="0"/>
              </w:rPr>
              <w:t xml:space="preserve"> </w:t>
            </w:r>
            <w:r w:rsidRPr="00E83F2D">
              <w:rPr>
                <w:bCs w:val="0"/>
              </w:rPr>
              <w:t>Issues</w:t>
            </w:r>
          </w:p>
        </w:tc>
      </w:tr>
      <w:bookmarkEnd w:id="6"/>
    </w:tbl>
    <w:p w:rsidR="00B1454C" w:rsidRDefault="00B1454C" w:rsidP="00B1454C">
      <w:pPr>
        <w:shd w:val="clear" w:color="auto" w:fill="FFFFFF"/>
        <w:spacing w:before="0" w:beforeAutospacing="0" w:after="0" w:afterAutospacing="0"/>
        <w:jc w:val="center"/>
        <w:outlineLvl w:val="1"/>
        <w:rPr>
          <w:rFonts w:ascii="Helvetica" w:hAnsi="Helvetica" w:cs="Helvetica"/>
          <w:b/>
          <w:bCs/>
          <w:sz w:val="28"/>
          <w:szCs w:val="28"/>
        </w:rPr>
      </w:pPr>
    </w:p>
    <w:p w:rsidR="00B1454C" w:rsidRDefault="00BB1DA7" w:rsidP="00A530FD">
      <w:r>
        <w:rPr>
          <w:b/>
          <w:bCs/>
          <w:u w:val="single"/>
        </w:rPr>
        <w:t>1</w:t>
      </w:r>
      <w:r>
        <w:rPr>
          <w:b/>
          <w:bCs/>
          <w:u w:val="single"/>
        </w:rPr>
        <w:tab/>
      </w:r>
      <w:r w:rsidR="00B1454C">
        <w:rPr>
          <w:b/>
          <w:bCs/>
          <w:u w:val="single"/>
        </w:rPr>
        <w:t>Introduction</w:t>
      </w:r>
    </w:p>
    <w:p w:rsidR="00BB1DA7" w:rsidRDefault="00B13027" w:rsidP="00F67A2D">
      <w:pPr>
        <w:jc w:val="both"/>
        <w:rPr>
          <w:b/>
          <w:bCs/>
          <w:u w:val="single"/>
        </w:rPr>
      </w:pPr>
      <w:r w:rsidRPr="00F67A2D">
        <w:t xml:space="preserve">This document provides a status update on issues affecting </w:t>
      </w:r>
      <w:proofErr w:type="spellStart"/>
      <w:r w:rsidR="00837960" w:rsidRPr="00F67A2D">
        <w:t>MetSat</w:t>
      </w:r>
      <w:proofErr w:type="spellEnd"/>
      <w:r w:rsidR="00837960" w:rsidRPr="00F67A2D">
        <w:t xml:space="preserve"> systems</w:t>
      </w:r>
      <w:r w:rsidR="00F67A2D" w:rsidRPr="00F67A2D">
        <w:t xml:space="preserve"> (incl. related active and passive sensing instruments)</w:t>
      </w:r>
      <w:r w:rsidRPr="00F67A2D">
        <w:t xml:space="preserve"> that may be of interest to SG-RFC members.  Agenda items</w:t>
      </w:r>
      <w:r w:rsidR="00837960" w:rsidRPr="00F67A2D">
        <w:t xml:space="preserve"> </w:t>
      </w:r>
      <w:r w:rsidRPr="00F67A2D">
        <w:t xml:space="preserve">for the 2015 World </w:t>
      </w:r>
      <w:proofErr w:type="spellStart"/>
      <w:r w:rsidRPr="00F67A2D">
        <w:t>Radiocommunication</w:t>
      </w:r>
      <w:proofErr w:type="spellEnd"/>
      <w:r w:rsidRPr="00F67A2D">
        <w:t xml:space="preserve"> Conference (WRC-15) </w:t>
      </w:r>
      <w:r w:rsidR="00837960" w:rsidRPr="00F67A2D">
        <w:t xml:space="preserve">of relevance to </w:t>
      </w:r>
      <w:proofErr w:type="spellStart"/>
      <w:r w:rsidR="00837960" w:rsidRPr="00F67A2D">
        <w:t>MetSat</w:t>
      </w:r>
      <w:proofErr w:type="spellEnd"/>
      <w:r w:rsidR="00837960" w:rsidRPr="00F67A2D">
        <w:t xml:space="preserve"> </w:t>
      </w:r>
      <w:r w:rsidRPr="00F67A2D">
        <w:t>include AI 1.1, AI 1.6.1, AI 1.6.2, AI 1.</w:t>
      </w:r>
      <w:r w:rsidR="003226DF" w:rsidRPr="00F67A2D">
        <w:t>9.</w:t>
      </w:r>
      <w:r w:rsidRPr="00F67A2D">
        <w:t>2</w:t>
      </w:r>
      <w:r w:rsidR="003226DF" w:rsidRPr="00F67A2D">
        <w:t>, AI 1.10, AI 1.11, and AI 9.1.1</w:t>
      </w:r>
      <w:r w:rsidRPr="00F67A2D">
        <w:t>. Recent work within Working Party 7</w:t>
      </w:r>
      <w:r w:rsidR="00837960" w:rsidRPr="00F67A2D">
        <w:t>B</w:t>
      </w:r>
      <w:r w:rsidRPr="00F67A2D">
        <w:t xml:space="preserve"> of the ITU-R Study Group 7 is also summarized.</w:t>
      </w:r>
      <w:r>
        <w:t xml:space="preserve">  </w:t>
      </w:r>
    </w:p>
    <w:p w:rsidR="00BB1DA7" w:rsidRDefault="00BB1DA7" w:rsidP="00B13027">
      <w:pPr>
        <w:rPr>
          <w:b/>
          <w:bCs/>
          <w:u w:val="single"/>
        </w:rPr>
      </w:pPr>
    </w:p>
    <w:p w:rsidR="002D2CE3" w:rsidRDefault="00BB1DA7" w:rsidP="00B13027">
      <w:pPr>
        <w:rPr>
          <w:b/>
          <w:bCs/>
          <w:u w:val="single"/>
        </w:rPr>
      </w:pPr>
      <w:r>
        <w:rPr>
          <w:b/>
          <w:bCs/>
          <w:u w:val="single"/>
        </w:rPr>
        <w:t>2</w:t>
      </w:r>
      <w:r>
        <w:rPr>
          <w:b/>
          <w:bCs/>
          <w:u w:val="single"/>
        </w:rPr>
        <w:tab/>
        <w:t xml:space="preserve">WRC-15 </w:t>
      </w:r>
      <w:proofErr w:type="gramStart"/>
      <w:r>
        <w:rPr>
          <w:b/>
          <w:bCs/>
          <w:u w:val="single"/>
        </w:rPr>
        <w:t>Preparation</w:t>
      </w:r>
      <w:proofErr w:type="gramEnd"/>
    </w:p>
    <w:p w:rsidR="00B13027" w:rsidRPr="000701FD" w:rsidRDefault="00BB1DA7" w:rsidP="00B13027">
      <w:pPr>
        <w:rPr>
          <w:u w:val="single"/>
        </w:rPr>
      </w:pPr>
      <w:r>
        <w:rPr>
          <w:b/>
          <w:bCs/>
          <w:u w:val="single"/>
        </w:rPr>
        <w:t>2.1</w:t>
      </w:r>
      <w:r>
        <w:rPr>
          <w:b/>
          <w:bCs/>
          <w:u w:val="single"/>
        </w:rPr>
        <w:tab/>
      </w:r>
      <w:r w:rsidR="00B13027" w:rsidRPr="000701FD">
        <w:rPr>
          <w:b/>
          <w:bCs/>
          <w:u w:val="single"/>
        </w:rPr>
        <w:t xml:space="preserve">WRC-15 Agenda Item 1.1 </w:t>
      </w:r>
    </w:p>
    <w:p w:rsidR="00577D06" w:rsidRDefault="00B13027" w:rsidP="00F67A2D">
      <w:pPr>
        <w:jc w:val="both"/>
      </w:pPr>
      <w:r>
        <w:t xml:space="preserve">This agenda item deals with </w:t>
      </w:r>
      <w:r w:rsidRPr="007C1D16">
        <w:t>consider</w:t>
      </w:r>
      <w:r>
        <w:t>ation of</w:t>
      </w:r>
      <w:r w:rsidRPr="007C1D16">
        <w:t xml:space="preserve"> additional spectrum allocations to the mobile service </w:t>
      </w:r>
      <w:proofErr w:type="gramStart"/>
      <w:r w:rsidRPr="007C1D16">
        <w:t>and</w:t>
      </w:r>
      <w:proofErr w:type="gramEnd"/>
      <w:r w:rsidRPr="007C1D16">
        <w:t xml:space="preserve"> identification of additional frequency bands for International Mobile Telecommunications (IMT) and to facilitate the development of terrestrial mobile broadband applications</w:t>
      </w:r>
      <w:r>
        <w:t xml:space="preserve">, likely to concentrate on bands below 6 GHz.  </w:t>
      </w:r>
    </w:p>
    <w:p w:rsidR="00577D06" w:rsidRDefault="00577D06" w:rsidP="00F67A2D">
      <w:pPr>
        <w:spacing w:before="0" w:beforeAutospacing="0" w:after="0" w:afterAutospacing="0"/>
        <w:jc w:val="both"/>
      </w:pPr>
      <w:r>
        <w:t xml:space="preserve">The main frequency bands at risk for </w:t>
      </w:r>
      <w:proofErr w:type="spellStart"/>
      <w:r>
        <w:t>MetSat</w:t>
      </w:r>
      <w:proofErr w:type="spellEnd"/>
      <w:r>
        <w:t xml:space="preserve"> systems, the embarked instruments and related services </w:t>
      </w:r>
      <w:proofErr w:type="spellStart"/>
      <w:r>
        <w:t>MetSat</w:t>
      </w:r>
      <w:proofErr w:type="spellEnd"/>
      <w:r>
        <w:t xml:space="preserve"> operators use are expected to be:</w:t>
      </w:r>
    </w:p>
    <w:p w:rsidR="00577D06" w:rsidRDefault="00577D06" w:rsidP="00F67A2D">
      <w:pPr>
        <w:spacing w:before="0" w:beforeAutospacing="0" w:after="0" w:afterAutospacing="0"/>
        <w:jc w:val="both"/>
      </w:pPr>
    </w:p>
    <w:p w:rsidR="00577D06" w:rsidRDefault="00577D06" w:rsidP="00F67A2D">
      <w:pPr>
        <w:spacing w:before="0" w:beforeAutospacing="0" w:after="120" w:afterAutospacing="0"/>
        <w:ind w:left="1134" w:hanging="414"/>
        <w:jc w:val="both"/>
      </w:pPr>
      <w:r>
        <w:t>•</w:t>
      </w:r>
      <w:r>
        <w:tab/>
      </w:r>
      <w:proofErr w:type="gramStart"/>
      <w:r>
        <w:t>the</w:t>
      </w:r>
      <w:proofErr w:type="gramEnd"/>
      <w:r>
        <w:t xml:space="preserve"> 1695 – 1710 MHz bands used for meteorological satellite applications;</w:t>
      </w:r>
    </w:p>
    <w:p w:rsidR="00577D06" w:rsidRDefault="00577D06" w:rsidP="00F67A2D">
      <w:pPr>
        <w:spacing w:before="0" w:beforeAutospacing="0" w:after="120" w:afterAutospacing="0"/>
        <w:ind w:left="1134" w:hanging="414"/>
        <w:jc w:val="both"/>
      </w:pPr>
      <w:r>
        <w:t>•</w:t>
      </w:r>
      <w:r>
        <w:tab/>
      </w:r>
      <w:proofErr w:type="gramStart"/>
      <w:r>
        <w:t>the</w:t>
      </w:r>
      <w:proofErr w:type="gramEnd"/>
      <w:r>
        <w:t xml:space="preserve"> bands 2025 – 2110 MHz and 2200 – 2290 MHz used for earth exploration satellite and space operati</w:t>
      </w:r>
      <w:r w:rsidR="00365FAE">
        <w:t>on (TM/TC and ranging) services</w:t>
      </w:r>
      <w:r>
        <w:t>;</w:t>
      </w:r>
    </w:p>
    <w:p w:rsidR="00577D06" w:rsidRDefault="00577D06" w:rsidP="00F67A2D">
      <w:pPr>
        <w:spacing w:before="0" w:beforeAutospacing="0" w:after="120" w:afterAutospacing="0"/>
        <w:ind w:left="1134" w:hanging="414"/>
        <w:jc w:val="both"/>
      </w:pPr>
      <w:r>
        <w:lastRenderedPageBreak/>
        <w:t>•</w:t>
      </w:r>
      <w:r>
        <w:tab/>
      </w:r>
      <w:proofErr w:type="gramStart"/>
      <w:r>
        <w:t>the</w:t>
      </w:r>
      <w:proofErr w:type="gramEnd"/>
      <w:r>
        <w:t xml:space="preserve"> C-band (3.4 - 4.2 GHz), used for dissemination of meteorological data in the framework of </w:t>
      </w:r>
      <w:proofErr w:type="spellStart"/>
      <w:r>
        <w:t>GEONETCast</w:t>
      </w:r>
      <w:proofErr w:type="spellEnd"/>
      <w:r>
        <w:t>;</w:t>
      </w:r>
    </w:p>
    <w:p w:rsidR="00986876" w:rsidRDefault="00577D06" w:rsidP="00F67A2D">
      <w:pPr>
        <w:spacing w:before="0" w:beforeAutospacing="0" w:after="120" w:afterAutospacing="0"/>
        <w:ind w:left="1134" w:hanging="414"/>
        <w:jc w:val="both"/>
      </w:pPr>
      <w:r>
        <w:t>•</w:t>
      </w:r>
      <w:r>
        <w:tab/>
      </w:r>
      <w:proofErr w:type="gramStart"/>
      <w:r>
        <w:t>the</w:t>
      </w:r>
      <w:proofErr w:type="gramEnd"/>
      <w:r>
        <w:t xml:space="preserve"> active remote sensing </w:t>
      </w:r>
      <w:r w:rsidR="00D54EA4">
        <w:t>in the band 5350 - 5470</w:t>
      </w:r>
      <w:r>
        <w:t xml:space="preserve"> MHz used for SARs, </w:t>
      </w:r>
      <w:proofErr w:type="spellStart"/>
      <w:r>
        <w:t>scatterometers</w:t>
      </w:r>
      <w:proofErr w:type="spellEnd"/>
      <w:r>
        <w:t xml:space="preserve"> and altimeters;</w:t>
      </w:r>
    </w:p>
    <w:p w:rsidR="006B1BE2" w:rsidRDefault="00986876" w:rsidP="00F67A2D">
      <w:pPr>
        <w:spacing w:before="0" w:beforeAutospacing="0" w:after="120" w:afterAutospacing="0"/>
        <w:ind w:left="1134" w:hanging="414"/>
        <w:jc w:val="both"/>
      </w:pPr>
      <w:r>
        <w:t>•</w:t>
      </w:r>
      <w:r>
        <w:tab/>
      </w:r>
      <w:proofErr w:type="gramStart"/>
      <w:r w:rsidR="006B1BE2">
        <w:t>the</w:t>
      </w:r>
      <w:proofErr w:type="gramEnd"/>
      <w:r w:rsidR="006B1BE2">
        <w:t xml:space="preserve"> passive remote sensing in the band 1400 - 1427 </w:t>
      </w:r>
      <w:proofErr w:type="spellStart"/>
      <w:r w:rsidR="006B1BE2">
        <w:t>MHz</w:t>
      </w:r>
      <w:r w:rsidR="006B1BE2" w:rsidRPr="006B1BE2">
        <w:t>.</w:t>
      </w:r>
      <w:proofErr w:type="spellEnd"/>
    </w:p>
    <w:p w:rsidR="00650278" w:rsidRDefault="00650278" w:rsidP="00F67A2D">
      <w:pPr>
        <w:spacing w:before="0" w:beforeAutospacing="0" w:after="0" w:afterAutospacing="0"/>
        <w:jc w:val="both"/>
      </w:pPr>
    </w:p>
    <w:p w:rsidR="00D54EA4" w:rsidRPr="00D54EA4" w:rsidRDefault="00D54EA4" w:rsidP="00F67A2D">
      <w:pPr>
        <w:spacing w:before="0" w:beforeAutospacing="0" w:after="0" w:afterAutospacing="0"/>
        <w:jc w:val="both"/>
        <w:rPr>
          <w:b/>
          <w:u w:val="single"/>
        </w:rPr>
      </w:pPr>
      <w:r w:rsidRPr="00D54EA4">
        <w:rPr>
          <w:b/>
          <w:u w:val="single"/>
        </w:rPr>
        <w:t>2.1.1</w:t>
      </w:r>
      <w:r w:rsidRPr="00D54EA4">
        <w:rPr>
          <w:b/>
          <w:u w:val="single"/>
        </w:rPr>
        <w:tab/>
        <w:t>1695 – 1710 MHz</w:t>
      </w:r>
    </w:p>
    <w:p w:rsidR="00D54EA4" w:rsidRDefault="00D54EA4" w:rsidP="00F67A2D">
      <w:pPr>
        <w:spacing w:before="0" w:beforeAutospacing="0" w:after="0" w:afterAutospacing="0"/>
        <w:jc w:val="both"/>
      </w:pPr>
    </w:p>
    <w:p w:rsidR="00D54EA4" w:rsidRDefault="00D54EA4" w:rsidP="00F67A2D">
      <w:pPr>
        <w:spacing w:before="0" w:beforeAutospacing="0" w:after="0" w:afterAutospacing="0"/>
        <w:jc w:val="both"/>
        <w:rPr>
          <w:lang w:eastAsia="zh-CN"/>
        </w:rPr>
      </w:pPr>
      <w:r>
        <w:t>The sharing studies in the framework of JTG-4-5-6-7 are completed. The results are summarized in Draft New</w:t>
      </w:r>
      <w:r>
        <w:rPr>
          <w:lang w:eastAsia="zh-CN"/>
        </w:rPr>
        <w:t xml:space="preserve"> Report ITU-R SA</w:t>
      </w:r>
      <w:proofErr w:type="gramStart"/>
      <w:r>
        <w:rPr>
          <w:lang w:eastAsia="zh-CN"/>
        </w:rPr>
        <w:t>.[</w:t>
      </w:r>
      <w:proofErr w:type="gramEnd"/>
      <w:r>
        <w:rPr>
          <w:lang w:eastAsia="zh-CN"/>
        </w:rPr>
        <w:t xml:space="preserve">METSAT 1.7 GHz] (Sharing assessment between meteorological satellite systems and IMT stations in the 1 695-1 710 MHz frequency band) which is based on three sets of studies from China, USA and EUMETSAT.  </w:t>
      </w:r>
    </w:p>
    <w:p w:rsidR="00D54EA4" w:rsidRDefault="00D54EA4" w:rsidP="00F67A2D">
      <w:pPr>
        <w:jc w:val="both"/>
      </w:pPr>
      <w:r>
        <w:t xml:space="preserve">The report </w:t>
      </w:r>
      <w:r w:rsidRPr="00733397">
        <w:t xml:space="preserve">shows that the required protection area around </w:t>
      </w:r>
      <w:proofErr w:type="spellStart"/>
      <w:r w:rsidRPr="00733397">
        <w:t>MetSat</w:t>
      </w:r>
      <w:proofErr w:type="spellEnd"/>
      <w:r w:rsidRPr="00733397">
        <w:t xml:space="preserve"> stations from which potential IMT base stations in the 1 695-1 710 MHz frequency band would be up to </w:t>
      </w:r>
      <w:r w:rsidRPr="00733397">
        <w:rPr>
          <w:bCs/>
        </w:rPr>
        <w:t xml:space="preserve">several hundred </w:t>
      </w:r>
      <w:proofErr w:type="spellStart"/>
      <w:r w:rsidRPr="00733397">
        <w:t>kilometres</w:t>
      </w:r>
      <w:proofErr w:type="spellEnd"/>
      <w:r w:rsidRPr="00733397">
        <w:t xml:space="preserve">.  Therefore, sharing between IMT base stations and </w:t>
      </w:r>
      <w:proofErr w:type="spellStart"/>
      <w:r w:rsidRPr="00733397">
        <w:t>MetSat</w:t>
      </w:r>
      <w:proofErr w:type="spellEnd"/>
      <w:r w:rsidRPr="00733397">
        <w:t xml:space="preserve"> stations in the 1 695-1 710 MHz frequency band is not feasible. </w:t>
      </w:r>
    </w:p>
    <w:p w:rsidR="00D54EA4" w:rsidRDefault="00D54EA4" w:rsidP="00F67A2D">
      <w:pPr>
        <w:jc w:val="both"/>
      </w:pPr>
      <w:r>
        <w:t xml:space="preserve">Regarding the assessments of </w:t>
      </w:r>
      <w:r w:rsidRPr="00733397">
        <w:t>protection area</w:t>
      </w:r>
      <w:r>
        <w:t>s</w:t>
      </w:r>
      <w:r w:rsidRPr="00733397">
        <w:t xml:space="preserve"> around </w:t>
      </w:r>
      <w:proofErr w:type="spellStart"/>
      <w:r w:rsidRPr="00733397">
        <w:t>MetSat</w:t>
      </w:r>
      <w:proofErr w:type="spellEnd"/>
      <w:r w:rsidRPr="00733397">
        <w:t xml:space="preserve"> stations</w:t>
      </w:r>
      <w:r>
        <w:t xml:space="preserve"> from which </w:t>
      </w:r>
      <w:r w:rsidRPr="00D55A1D">
        <w:t xml:space="preserve">IMT </w:t>
      </w:r>
      <w:r>
        <w:t>mobile</w:t>
      </w:r>
      <w:r w:rsidRPr="00D55A1D">
        <w:t xml:space="preserve"> terminals </w:t>
      </w:r>
      <w:r w:rsidRPr="00733397">
        <w:t>in the 1 695-1 710 MHz frequency band would have to be excluded</w:t>
      </w:r>
      <w:r>
        <w:t xml:space="preserve">, this report provides diverging results </w:t>
      </w:r>
      <w:r w:rsidRPr="00FB16B2">
        <w:t>depending on the assumptions, parameters, and methodologies used</w:t>
      </w:r>
      <w:r>
        <w:t xml:space="preserve">. </w:t>
      </w:r>
    </w:p>
    <w:p w:rsidR="00D54EA4" w:rsidRDefault="00D54EA4" w:rsidP="00F67A2D">
      <w:pPr>
        <w:jc w:val="both"/>
      </w:pPr>
      <w:r>
        <w:t xml:space="preserve">Two (Annex A and B) of the three studies depict required separation distances </w:t>
      </w:r>
      <w:r w:rsidRPr="00D55A1D">
        <w:t>from 46 </w:t>
      </w:r>
      <w:proofErr w:type="spellStart"/>
      <w:r w:rsidRPr="00D55A1D">
        <w:t>kilometres</w:t>
      </w:r>
      <w:proofErr w:type="spellEnd"/>
      <w:r>
        <w:t xml:space="preserve"> (GSO case) and 60 </w:t>
      </w:r>
      <w:proofErr w:type="spellStart"/>
      <w:r>
        <w:t>kilometres</w:t>
      </w:r>
      <w:proofErr w:type="spellEnd"/>
      <w:r>
        <w:t xml:space="preserve"> (NGSO case) up </w:t>
      </w:r>
      <w:r w:rsidRPr="00D55A1D">
        <w:t>to more than 1</w:t>
      </w:r>
      <w:r>
        <w:t>2</w:t>
      </w:r>
      <w:r w:rsidRPr="00D55A1D">
        <w:t>0 </w:t>
      </w:r>
      <w:proofErr w:type="spellStart"/>
      <w:r w:rsidRPr="00D55A1D">
        <w:t>kilometres</w:t>
      </w:r>
      <w:proofErr w:type="spellEnd"/>
      <w:r>
        <w:t xml:space="preserve"> (NGSO case), even considering low rural deployment and conclude that sharing is not feasible between IMT mobile terminals and </w:t>
      </w:r>
      <w:proofErr w:type="spellStart"/>
      <w:r w:rsidRPr="00D55A1D">
        <w:t>MetSat</w:t>
      </w:r>
      <w:proofErr w:type="spellEnd"/>
      <w:r w:rsidRPr="00D55A1D">
        <w:t xml:space="preserve"> stations in the 1 695-1 710 </w:t>
      </w:r>
      <w:proofErr w:type="spellStart"/>
      <w:r w:rsidRPr="00D55A1D">
        <w:t>MHz</w:t>
      </w:r>
      <w:r>
        <w:t>.</w:t>
      </w:r>
      <w:proofErr w:type="spellEnd"/>
      <w:r>
        <w:t xml:space="preserve">  The study in Annex C provides an example calculation</w:t>
      </w:r>
      <w:r w:rsidRPr="00D55A1D">
        <w:t xml:space="preserve"> resulting in separation distances ranging from </w:t>
      </w:r>
      <w:r>
        <w:t xml:space="preserve">32 to </w:t>
      </w:r>
      <w:r w:rsidRPr="00D55A1D">
        <w:t>46 </w:t>
      </w:r>
      <w:proofErr w:type="spellStart"/>
      <w:r w:rsidRPr="00D55A1D">
        <w:t>kilometres</w:t>
      </w:r>
      <w:proofErr w:type="spellEnd"/>
      <w:r>
        <w:t xml:space="preserve"> (NGSO case) and</w:t>
      </w:r>
      <w:r w:rsidDel="007D5B41">
        <w:t xml:space="preserve"> </w:t>
      </w:r>
      <w:r>
        <w:t xml:space="preserve">concludes that sharing between IMT mobile terminals and </w:t>
      </w:r>
      <w:proofErr w:type="spellStart"/>
      <w:r>
        <w:t>MetSat</w:t>
      </w:r>
      <w:proofErr w:type="spellEnd"/>
      <w:r>
        <w:t xml:space="preserve"> stations is feasible.</w:t>
      </w:r>
    </w:p>
    <w:p w:rsidR="00D54EA4" w:rsidRDefault="00D54EA4" w:rsidP="00F67A2D">
      <w:pPr>
        <w:spacing w:before="0" w:beforeAutospacing="0" w:after="0" w:afterAutospacing="0"/>
        <w:jc w:val="both"/>
      </w:pPr>
      <w:r>
        <w:t xml:space="preserve">In the discussions at JTG-4-5-6-7 on this issue it can be observed that there are only a very limited number of administrations present </w:t>
      </w:r>
      <w:r w:rsidR="009E53C3">
        <w:t>in the consideration of this band with</w:t>
      </w:r>
      <w:r>
        <w:t xml:space="preserve"> no representatives from mobile operators or mobile equipment manufacturers. </w:t>
      </w:r>
      <w:r w:rsidR="009E53C3">
        <w:t xml:space="preserve">Currently there is only one country actively supporting this band, drawing a positive conclusion on the sharing between IMT mobile terminals and </w:t>
      </w:r>
      <w:proofErr w:type="spellStart"/>
      <w:r w:rsidR="009E53C3">
        <w:t>MetSat</w:t>
      </w:r>
      <w:proofErr w:type="spellEnd"/>
      <w:r w:rsidR="009E53C3">
        <w:t xml:space="preserve"> stations. It can be expected that this situation will not change towards WRC-15.</w:t>
      </w:r>
      <w:r>
        <w:t xml:space="preserve"> </w:t>
      </w:r>
    </w:p>
    <w:p w:rsidR="009E53C3" w:rsidRDefault="009E53C3" w:rsidP="009E53C3">
      <w:pPr>
        <w:spacing w:before="0" w:beforeAutospacing="0" w:after="0" w:afterAutospacing="0"/>
        <w:jc w:val="both"/>
      </w:pPr>
    </w:p>
    <w:p w:rsidR="009E53C3" w:rsidRPr="00D54EA4" w:rsidRDefault="009E53C3" w:rsidP="009E53C3">
      <w:pPr>
        <w:spacing w:before="0" w:beforeAutospacing="0" w:after="0" w:afterAutospacing="0"/>
        <w:rPr>
          <w:b/>
          <w:u w:val="single"/>
        </w:rPr>
      </w:pPr>
      <w:r>
        <w:rPr>
          <w:b/>
          <w:u w:val="single"/>
        </w:rPr>
        <w:t>2.1.2</w:t>
      </w:r>
      <w:r w:rsidRPr="00D54EA4">
        <w:rPr>
          <w:b/>
          <w:u w:val="single"/>
        </w:rPr>
        <w:tab/>
      </w:r>
      <w:r w:rsidRPr="009E53C3">
        <w:rPr>
          <w:b/>
          <w:u w:val="single"/>
        </w:rPr>
        <w:t>2025 – 2110 MHz and 2200 – 2290 MHz</w:t>
      </w:r>
    </w:p>
    <w:p w:rsidR="009E53C3" w:rsidRDefault="009E53C3" w:rsidP="009E53C3">
      <w:pPr>
        <w:spacing w:before="0" w:beforeAutospacing="0" w:after="0" w:afterAutospacing="0"/>
      </w:pPr>
    </w:p>
    <w:p w:rsidR="009E53C3" w:rsidRDefault="009E53C3" w:rsidP="009E53C3">
      <w:pPr>
        <w:spacing w:before="0" w:beforeAutospacing="0" w:after="0" w:afterAutospacing="0"/>
        <w:jc w:val="both"/>
        <w:rPr>
          <w:lang w:eastAsia="zh-CN"/>
        </w:rPr>
      </w:pPr>
      <w:r>
        <w:t xml:space="preserve">Thanks to NASA providing sharing studies between LTE systems and </w:t>
      </w:r>
      <w:r w:rsidRPr="00252888">
        <w:rPr>
          <w:lang w:eastAsia="zh-CN"/>
        </w:rPr>
        <w:t>DRS forward and return links operating in the 2 025-2 110 MHz and 2 200-2 290 MHz frequency bands in the space research (space-to-space), Earth exploration-satellite (space-to-space) and space operations (space-to-space</w:t>
      </w:r>
      <w:r>
        <w:rPr>
          <w:lang w:eastAsia="zh-CN"/>
        </w:rPr>
        <w:t xml:space="preserve">) services a negative conclusion </w:t>
      </w:r>
      <w:r w:rsidR="00365FAE">
        <w:rPr>
          <w:lang w:eastAsia="zh-CN"/>
        </w:rPr>
        <w:t xml:space="preserve">on the sharing capabilities with IMT </w:t>
      </w:r>
      <w:r>
        <w:rPr>
          <w:lang w:eastAsia="zh-CN"/>
        </w:rPr>
        <w:t xml:space="preserve">was drawn, resulting in Draft New </w:t>
      </w:r>
      <w:r w:rsidRPr="001336DD">
        <w:rPr>
          <w:lang w:eastAsia="zh-CN"/>
        </w:rPr>
        <w:t xml:space="preserve">REPORT ITU-R SA.[2 025 - 2 290 MHz] </w:t>
      </w:r>
      <w:r>
        <w:rPr>
          <w:lang w:eastAsia="zh-CN"/>
        </w:rPr>
        <w:t>(</w:t>
      </w:r>
      <w:r w:rsidRPr="001336DD">
        <w:rPr>
          <w:lang w:eastAsia="zh-CN"/>
        </w:rPr>
        <w:t xml:space="preserve">Feasibility assessment for accommodation of mobile broadband </w:t>
      </w:r>
      <w:r>
        <w:rPr>
          <w:lang w:eastAsia="zh-CN"/>
        </w:rPr>
        <w:t>IMT</w:t>
      </w:r>
      <w:r w:rsidRPr="001336DD">
        <w:rPr>
          <w:lang w:eastAsia="zh-CN"/>
        </w:rPr>
        <w:t xml:space="preserve"> systems in the 2 025-2 110 MHz and 2 200-2 290 MHz frequency bands</w:t>
      </w:r>
      <w:r>
        <w:rPr>
          <w:lang w:eastAsia="zh-CN"/>
        </w:rPr>
        <w:t>).</w:t>
      </w:r>
    </w:p>
    <w:p w:rsidR="00365FAE" w:rsidRDefault="00365FAE" w:rsidP="00365FAE">
      <w:pPr>
        <w:jc w:val="both"/>
      </w:pPr>
      <w:r>
        <w:rPr>
          <w:lang w:eastAsia="zh-CN"/>
        </w:rPr>
        <w:t>With t</w:t>
      </w:r>
      <w:r w:rsidRPr="00733397">
        <w:t>h</w:t>
      </w:r>
      <w:r>
        <w:t>is new study</w:t>
      </w:r>
      <w:r w:rsidRPr="00733397">
        <w:t xml:space="preserve"> earlier ITU-R studies as in Recommendation </w:t>
      </w:r>
      <w:hyperlink r:id="rId10" w:history="1">
        <w:r w:rsidRPr="00A00AF6">
          <w:rPr>
            <w:lang w:eastAsia="zh-CN"/>
          </w:rPr>
          <w:t>ITU-R SA.1154</w:t>
        </w:r>
      </w:hyperlink>
      <w:r w:rsidRPr="00733397">
        <w:rPr>
          <w:lang w:eastAsia="zh-CN"/>
        </w:rPr>
        <w:t xml:space="preserve"> </w:t>
      </w:r>
      <w:r>
        <w:t xml:space="preserve">are </w:t>
      </w:r>
      <w:r w:rsidRPr="00733397">
        <w:t>reaffirmed that resulted in the adoption of RR No</w:t>
      </w:r>
      <w:r w:rsidRPr="00B45EB7">
        <w:t>. 5.391</w:t>
      </w:r>
      <w:r w:rsidRPr="00733397">
        <w:t xml:space="preserve"> at WRC-97, which prohibits high-density mobile systems from operation within these frequency bands.</w:t>
      </w:r>
    </w:p>
    <w:p w:rsidR="00365FAE" w:rsidRPr="00733397" w:rsidRDefault="00365FAE" w:rsidP="00365FAE">
      <w:pPr>
        <w:jc w:val="both"/>
      </w:pPr>
      <w:r>
        <w:lastRenderedPageBreak/>
        <w:t xml:space="preserve">The attempt of Telstra to propose and study the concept of band segmentation in these bands was overruled by the Administration of Australia. Except an opportunistic approach of the Swedish administration to support any attempt of band segmentation in these and other bands, there were no further attempts to propose and support this band for IMT broadband introduction. It can be expected that this situation will not change towards WRC-15, but there is still the probability that individual countries will propose parts of these bands for IMT broadband on the basis of band segmentation. </w:t>
      </w:r>
    </w:p>
    <w:p w:rsidR="00365FAE" w:rsidRPr="00D54EA4" w:rsidRDefault="00365FAE" w:rsidP="00365FAE">
      <w:pPr>
        <w:spacing w:before="0" w:beforeAutospacing="0" w:after="0" w:afterAutospacing="0"/>
        <w:rPr>
          <w:b/>
          <w:u w:val="single"/>
        </w:rPr>
      </w:pPr>
      <w:r>
        <w:rPr>
          <w:b/>
          <w:u w:val="single"/>
        </w:rPr>
        <w:t>2.1.3</w:t>
      </w:r>
      <w:r w:rsidRPr="00D54EA4">
        <w:rPr>
          <w:b/>
          <w:u w:val="single"/>
        </w:rPr>
        <w:tab/>
      </w:r>
      <w:r>
        <w:rPr>
          <w:b/>
          <w:u w:val="single"/>
        </w:rPr>
        <w:t>3400 – 4200 MHz</w:t>
      </w:r>
    </w:p>
    <w:p w:rsidR="004F7939" w:rsidRDefault="00365FAE" w:rsidP="004F7939">
      <w:pPr>
        <w:jc w:val="both"/>
      </w:pPr>
      <w:r>
        <w:t>This range is one of the prime targets for mobile industry to cover their bro</w:t>
      </w:r>
      <w:r w:rsidR="004F7939">
        <w:t>adband spectrum “requirements”.</w:t>
      </w:r>
      <w:r w:rsidR="004F7939" w:rsidRPr="004F7939">
        <w:t xml:space="preserve"> </w:t>
      </w:r>
      <w:r w:rsidR="004F7939" w:rsidRPr="00160C60">
        <w:t>Some parties even go as far as to p</w:t>
      </w:r>
      <w:r w:rsidR="004F7939">
        <w:t>ropose the entire C-Band (3.4-</w:t>
      </w:r>
      <w:r w:rsidR="004F7939" w:rsidRPr="00160C60">
        <w:t xml:space="preserve">4.2 GHz) for mobile broadband identification. </w:t>
      </w:r>
      <w:r w:rsidR="004F7939">
        <w:t xml:space="preserve">However, there is also very strong opposition by </w:t>
      </w:r>
      <w:r w:rsidR="00DE5A6D">
        <w:t xml:space="preserve">a number of </w:t>
      </w:r>
      <w:r w:rsidR="004F7939">
        <w:t xml:space="preserve">countries around the world against identifying further spectrum in this range. </w:t>
      </w:r>
    </w:p>
    <w:p w:rsidR="004F7939" w:rsidRDefault="004F7939" w:rsidP="004F7939">
      <w:pPr>
        <w:jc w:val="both"/>
      </w:pPr>
      <w:r>
        <w:t xml:space="preserve">Note: </w:t>
      </w:r>
      <w:r w:rsidRPr="00160C60">
        <w:t>Already at WRC-12</w:t>
      </w:r>
      <w:r>
        <w:t xml:space="preserve"> the band 3400-</w:t>
      </w:r>
      <w:r w:rsidRPr="00160C60">
        <w:t xml:space="preserve">3600 MHz was allocated to the mobile service and identified for International Mobile Telecommunications (IMT) in a number of countries by </w:t>
      </w:r>
      <w:r w:rsidRPr="004F7939">
        <w:t xml:space="preserve">footnotes RR No. </w:t>
      </w:r>
      <w:r w:rsidRPr="004F7939">
        <w:rPr>
          <w:bCs/>
        </w:rPr>
        <w:t>5.430A</w:t>
      </w:r>
      <w:r w:rsidRPr="004F7939">
        <w:t xml:space="preserve">, </w:t>
      </w:r>
      <w:r w:rsidRPr="004F7939">
        <w:rPr>
          <w:bCs/>
        </w:rPr>
        <w:t>5.431A</w:t>
      </w:r>
      <w:r w:rsidRPr="004F7939">
        <w:t xml:space="preserve">, </w:t>
      </w:r>
      <w:r w:rsidRPr="004F7939">
        <w:rPr>
          <w:bCs/>
        </w:rPr>
        <w:t>5.432A</w:t>
      </w:r>
      <w:r w:rsidRPr="004F7939">
        <w:t xml:space="preserve">, </w:t>
      </w:r>
      <w:r w:rsidRPr="004F7939">
        <w:rPr>
          <w:bCs/>
        </w:rPr>
        <w:t>5.432B</w:t>
      </w:r>
      <w:r w:rsidRPr="004F7939">
        <w:t xml:space="preserve"> and </w:t>
      </w:r>
      <w:r w:rsidRPr="004F7939">
        <w:rPr>
          <w:bCs/>
        </w:rPr>
        <w:t>5.433A</w:t>
      </w:r>
      <w:r w:rsidRPr="004F7939">
        <w:t xml:space="preserve"> to the Radio Regulations. </w:t>
      </w:r>
    </w:p>
    <w:p w:rsidR="004F7939" w:rsidRDefault="004F7939" w:rsidP="004F7939">
      <w:pPr>
        <w:jc w:val="both"/>
      </w:pPr>
      <w:r>
        <w:t xml:space="preserve">From the sharing studies performed in JTG-4-5-6-7 it is concluded (and </w:t>
      </w:r>
      <w:proofErr w:type="spellStart"/>
      <w:r>
        <w:t>analysed</w:t>
      </w:r>
      <w:proofErr w:type="spellEnd"/>
      <w:r>
        <w:t xml:space="preserve"> in the draft CPM-Text) that c</w:t>
      </w:r>
      <w:r w:rsidRPr="009935C7">
        <w:t>o-frequency sharing between FSS earth stations and IMT-Advanced macro-cell or small-cell outdoor networks would not be feasible in the same geographical area when the FSS earth stations and/or IMT-Advanced stations are deployed in a ubiquitous manner and/or with no individual licensing of earth stations, since no minimum separation can be guaranteed</w:t>
      </w:r>
      <w:r>
        <w:t>.</w:t>
      </w:r>
    </w:p>
    <w:p w:rsidR="00DE5A6D" w:rsidRDefault="00DE5A6D" w:rsidP="004F7939">
      <w:pPr>
        <w:jc w:val="both"/>
      </w:pPr>
      <w:r>
        <w:t xml:space="preserve">This range will be in the focus of all administration either supporting or opposing the entire range or parts it for IMT broadband introduction. </w:t>
      </w:r>
    </w:p>
    <w:p w:rsidR="004F7939" w:rsidRDefault="004F7939" w:rsidP="004F7939">
      <w:pPr>
        <w:jc w:val="both"/>
      </w:pPr>
      <w:r w:rsidRPr="00160C60">
        <w:t xml:space="preserve">In view of the incompatibility between </w:t>
      </w:r>
      <w:r>
        <w:t>mobile broadband systems and Earth stations in the FSS</w:t>
      </w:r>
      <w:r w:rsidRPr="00160C60">
        <w:t xml:space="preserve"> a designation of the entire band </w:t>
      </w:r>
      <w:r>
        <w:t>for mobile broadband w</w:t>
      </w:r>
      <w:r w:rsidRPr="00160C60">
        <w:t xml:space="preserve">ould be detrimental for the commercial satellite operators, and with this could also negatively affect the </w:t>
      </w:r>
      <w:r>
        <w:t xml:space="preserve">service providers supporting the </w:t>
      </w:r>
      <w:r w:rsidRPr="00160C60">
        <w:t xml:space="preserve">dissemination of meteorological data </w:t>
      </w:r>
      <w:r>
        <w:t xml:space="preserve">via </w:t>
      </w:r>
      <w:proofErr w:type="spellStart"/>
      <w:r w:rsidR="00DE5A6D">
        <w:t>GEONET</w:t>
      </w:r>
      <w:r>
        <w:t>Cast</w:t>
      </w:r>
      <w:proofErr w:type="spellEnd"/>
      <w:r>
        <w:t xml:space="preserve"> </w:t>
      </w:r>
      <w:r w:rsidRPr="00160C60">
        <w:t xml:space="preserve">in the long term. </w:t>
      </w:r>
    </w:p>
    <w:p w:rsidR="00DE5A6D" w:rsidRPr="00D54EA4" w:rsidRDefault="00DE5A6D" w:rsidP="00DE5A6D">
      <w:pPr>
        <w:spacing w:before="0" w:beforeAutospacing="0" w:after="0" w:afterAutospacing="0"/>
        <w:rPr>
          <w:b/>
          <w:u w:val="single"/>
        </w:rPr>
      </w:pPr>
      <w:r>
        <w:rPr>
          <w:b/>
          <w:u w:val="single"/>
        </w:rPr>
        <w:t>2.1.4</w:t>
      </w:r>
      <w:r w:rsidRPr="00D54EA4">
        <w:rPr>
          <w:b/>
          <w:u w:val="single"/>
        </w:rPr>
        <w:tab/>
      </w:r>
      <w:r>
        <w:rPr>
          <w:b/>
          <w:u w:val="single"/>
        </w:rPr>
        <w:t>5350 – 5470 MHz</w:t>
      </w:r>
    </w:p>
    <w:p w:rsidR="00DE5A6D" w:rsidRPr="00DE5A6D" w:rsidRDefault="00DE5A6D" w:rsidP="00DE5A6D">
      <w:pPr>
        <w:jc w:val="both"/>
        <w:rPr>
          <w:lang w:val="en-GB"/>
        </w:rPr>
      </w:pPr>
      <w:r w:rsidRPr="00DE5A6D">
        <w:rPr>
          <w:lang w:val="en-GB"/>
        </w:rPr>
        <w:t>Under this agenda item also the extension of the current RLAN (</w:t>
      </w:r>
      <w:proofErr w:type="spellStart"/>
      <w:r w:rsidRPr="00DE5A6D">
        <w:rPr>
          <w:lang w:val="en-GB"/>
        </w:rPr>
        <w:t>WiFi</w:t>
      </w:r>
      <w:proofErr w:type="spellEnd"/>
      <w:r w:rsidRPr="00DE5A6D">
        <w:rPr>
          <w:lang w:val="en-GB"/>
        </w:rPr>
        <w:t xml:space="preserve">) spectrum (5150-5350 MHz and 5470-5725 MHz) by also allocating the gap in between (5350-5470 MHz) for RLANs is under discussion. </w:t>
      </w:r>
    </w:p>
    <w:p w:rsidR="00DE5A6D" w:rsidRPr="00DE5A6D" w:rsidRDefault="00DE5A6D" w:rsidP="00DE5A6D">
      <w:pPr>
        <w:jc w:val="both"/>
        <w:rPr>
          <w:lang w:val="en-GB"/>
        </w:rPr>
      </w:pPr>
      <w:r w:rsidRPr="00DE5A6D">
        <w:rPr>
          <w:lang w:val="en-GB"/>
        </w:rPr>
        <w:t xml:space="preserve">Such additional allocation of the band 5350-5470 MHz </w:t>
      </w:r>
      <w:r>
        <w:rPr>
          <w:lang w:val="en-GB"/>
        </w:rPr>
        <w:t>w</w:t>
      </w:r>
      <w:r w:rsidRPr="00DE5A6D">
        <w:rPr>
          <w:lang w:val="en-GB"/>
        </w:rPr>
        <w:t>ould affect most severely SAR</w:t>
      </w:r>
      <w:r>
        <w:rPr>
          <w:lang w:val="en-GB"/>
        </w:rPr>
        <w:t xml:space="preserve">s such </w:t>
      </w:r>
      <w:proofErr w:type="gramStart"/>
      <w:r>
        <w:rPr>
          <w:lang w:val="en-GB"/>
        </w:rPr>
        <w:t xml:space="preserve">as </w:t>
      </w:r>
      <w:r w:rsidRPr="00DE5A6D">
        <w:rPr>
          <w:lang w:val="en-GB"/>
        </w:rPr>
        <w:t xml:space="preserve"> </w:t>
      </w:r>
      <w:r>
        <w:rPr>
          <w:lang w:val="en-GB"/>
        </w:rPr>
        <w:t>CSAR</w:t>
      </w:r>
      <w:proofErr w:type="gramEnd"/>
      <w:r>
        <w:rPr>
          <w:lang w:val="en-GB"/>
        </w:rPr>
        <w:t xml:space="preserve"> </w:t>
      </w:r>
      <w:r w:rsidRPr="00DE5A6D">
        <w:rPr>
          <w:lang w:val="en-GB"/>
        </w:rPr>
        <w:t>on Sentinel-1</w:t>
      </w:r>
      <w:r>
        <w:rPr>
          <w:lang w:val="en-GB"/>
        </w:rPr>
        <w:t xml:space="preserve"> or </w:t>
      </w:r>
      <w:proofErr w:type="spellStart"/>
      <w:r>
        <w:rPr>
          <w:lang w:val="en-GB"/>
        </w:rPr>
        <w:t>RadarSat</w:t>
      </w:r>
      <w:proofErr w:type="spellEnd"/>
      <w:r>
        <w:rPr>
          <w:lang w:val="en-GB"/>
        </w:rPr>
        <w:t xml:space="preserve">. Less sensitive to RLAN interference but also affected by RLAN introduction in the band 5350 – 5470 MHz could be </w:t>
      </w:r>
      <w:proofErr w:type="spellStart"/>
      <w:r>
        <w:rPr>
          <w:lang w:val="en-GB"/>
        </w:rPr>
        <w:t>scatterometers</w:t>
      </w:r>
      <w:proofErr w:type="spellEnd"/>
      <w:r>
        <w:rPr>
          <w:lang w:val="en-GB"/>
        </w:rPr>
        <w:t xml:space="preserve"> and altimeters</w:t>
      </w:r>
      <w:r w:rsidRPr="00DE5A6D">
        <w:rPr>
          <w:lang w:val="en-GB"/>
        </w:rPr>
        <w:t xml:space="preserve">. </w:t>
      </w:r>
    </w:p>
    <w:p w:rsidR="002F4192" w:rsidRDefault="002F4192" w:rsidP="002F4192">
      <w:pPr>
        <w:jc w:val="both"/>
      </w:pPr>
      <w:r>
        <w:t xml:space="preserve">At the JTG4-5-6-7 meeting in </w:t>
      </w:r>
      <w:proofErr w:type="spellStart"/>
      <w:r>
        <w:t>Februaray</w:t>
      </w:r>
      <w:proofErr w:type="spellEnd"/>
      <w:r>
        <w:t xml:space="preserve"> 2014, five sharing studies were received as well as documents discussing about the feasibility/usefulness/enforceability of possible mitigation techniques.</w:t>
      </w:r>
    </w:p>
    <w:p w:rsidR="002F4192" w:rsidRDefault="002F4192" w:rsidP="002F4192">
      <w:pPr>
        <w:jc w:val="both"/>
      </w:pPr>
      <w:r>
        <w:t xml:space="preserve">All studies agreed that, with the current RLAN parameters, compatibility cannot be achieved, even if the RLAN systems are limited to indoor use only. Thus there is a need to see if additional mitigation techniques could give compatibility. One study indicated that an </w:t>
      </w:r>
      <w:proofErr w:type="spellStart"/>
      <w:r>
        <w:t>eirp</w:t>
      </w:r>
      <w:proofErr w:type="spellEnd"/>
      <w:r>
        <w:t xml:space="preserve"> mask imposed on RLAN could give compatibility. Another study proposed to use an orbit avoidance concept, based </w:t>
      </w:r>
      <w:r>
        <w:lastRenderedPageBreak/>
        <w:t xml:space="preserve">on the knowledge by the RLAN devices of the EESS satellites orbital positions and their channel usage avoidance during the satellites visibility periods. Other studies indicated that none of these two methods (or other methods previously considered) would be working for multiple reasons associated either to insufficient mitigation or to technical problems with the implementation or to the impossibility for administrations to enforce and verify these mitigations on unlicensed mass-market devices or a combination of the above reasons. In order to get more information to evaluate these mitigation techniques, a Liaison Statement has been sent to WP 5A and 7C to get additional information on this subject. </w:t>
      </w:r>
    </w:p>
    <w:p w:rsidR="002F4192" w:rsidRDefault="002F4192" w:rsidP="002F4192">
      <w:pPr>
        <w:jc w:val="both"/>
      </w:pPr>
      <w:r>
        <w:t>For the moment the sharing studies have been simply listed in the CPM text and in the PDNR RS</w:t>
      </w:r>
      <w:proofErr w:type="gramStart"/>
      <w:r>
        <w:t>.[</w:t>
      </w:r>
      <w:proofErr w:type="gramEnd"/>
      <w:r>
        <w:t xml:space="preserve">RLAN EESS 5GHz].  In the PDNR a summary table has been drafted to include in a synthetic way the results of all the sharing studies. Some details of this table as well as the final results of each study will be finalized at the next JTG. </w:t>
      </w:r>
    </w:p>
    <w:p w:rsidR="00365FAE" w:rsidRDefault="002F4192" w:rsidP="002F4192">
      <w:pPr>
        <w:jc w:val="both"/>
      </w:pPr>
      <w:r>
        <w:t xml:space="preserve">Important to note is the fact that at the last JTG meeting a number of sharing studies were received which showed incompatibility of RLANs with terrestrial radars operated in the band 5350 – 5470 </w:t>
      </w:r>
      <w:proofErr w:type="spellStart"/>
      <w:r>
        <w:t>MHz.</w:t>
      </w:r>
      <w:proofErr w:type="spellEnd"/>
      <w:r>
        <w:t xml:space="preserve"> Now the complete picture can be </w:t>
      </w:r>
      <w:proofErr w:type="spellStart"/>
      <w:r>
        <w:t>analysed</w:t>
      </w:r>
      <w:proofErr w:type="spellEnd"/>
      <w:r>
        <w:t xml:space="preserve"> by administrations as now all sharing issues and problems are on the table.</w:t>
      </w:r>
    </w:p>
    <w:p w:rsidR="00986876" w:rsidRPr="00D54EA4" w:rsidRDefault="00986876" w:rsidP="00986876">
      <w:pPr>
        <w:spacing w:before="0" w:beforeAutospacing="0" w:after="0" w:afterAutospacing="0"/>
        <w:rPr>
          <w:b/>
          <w:u w:val="single"/>
        </w:rPr>
      </w:pPr>
      <w:r>
        <w:rPr>
          <w:b/>
          <w:u w:val="single"/>
        </w:rPr>
        <w:t>2.1.5</w:t>
      </w:r>
      <w:r w:rsidRPr="00D54EA4">
        <w:rPr>
          <w:b/>
          <w:u w:val="single"/>
        </w:rPr>
        <w:tab/>
        <w:t>1</w:t>
      </w:r>
      <w:r>
        <w:rPr>
          <w:b/>
          <w:u w:val="single"/>
        </w:rPr>
        <w:t>400</w:t>
      </w:r>
      <w:r w:rsidRPr="00D54EA4">
        <w:rPr>
          <w:b/>
          <w:u w:val="single"/>
        </w:rPr>
        <w:t xml:space="preserve"> – 1</w:t>
      </w:r>
      <w:r>
        <w:rPr>
          <w:b/>
          <w:u w:val="single"/>
        </w:rPr>
        <w:t>427</w:t>
      </w:r>
      <w:r w:rsidRPr="00D54EA4">
        <w:rPr>
          <w:b/>
          <w:u w:val="single"/>
        </w:rPr>
        <w:t xml:space="preserve"> MHz</w:t>
      </w:r>
    </w:p>
    <w:p w:rsidR="00082081" w:rsidRDefault="00986876" w:rsidP="00986876">
      <w:pPr>
        <w:jc w:val="both"/>
        <w:rPr>
          <w:lang w:val="en-GB"/>
        </w:rPr>
      </w:pPr>
      <w:r>
        <w:rPr>
          <w:lang w:val="en-GB"/>
        </w:rPr>
        <w:t xml:space="preserve">In relation to IMT broadband identification </w:t>
      </w:r>
      <w:r w:rsidRPr="00986876">
        <w:rPr>
          <w:lang w:val="en-GB"/>
        </w:rPr>
        <w:t xml:space="preserve">the work </w:t>
      </w:r>
      <w:r>
        <w:rPr>
          <w:lang w:val="en-GB"/>
        </w:rPr>
        <w:t xml:space="preserve">on the issue of </w:t>
      </w:r>
      <w:r w:rsidRPr="00986876">
        <w:rPr>
          <w:lang w:val="en-GB"/>
        </w:rPr>
        <w:t>IMT unwanted emissions in</w:t>
      </w:r>
      <w:r>
        <w:rPr>
          <w:lang w:val="en-GB"/>
        </w:rPr>
        <w:t>to</w:t>
      </w:r>
      <w:r w:rsidRPr="00986876">
        <w:rPr>
          <w:lang w:val="en-GB"/>
        </w:rPr>
        <w:t xml:space="preserve"> the band 1400-1427 MHz has been almost completed.  The unwanted emission limits have been agreed both for IMT base stations and for IMT mobile terminals. In order to complete the work, two main elements are still open: the correct way to express the reference IMT power level to be used for measuring the unwanted emission levels and the </w:t>
      </w:r>
      <w:r>
        <w:rPr>
          <w:lang w:val="en-GB"/>
        </w:rPr>
        <w:t xml:space="preserve">formal </w:t>
      </w:r>
      <w:r w:rsidRPr="00986876">
        <w:rPr>
          <w:lang w:val="en-GB"/>
        </w:rPr>
        <w:t xml:space="preserve">confirmation </w:t>
      </w:r>
      <w:r>
        <w:rPr>
          <w:lang w:val="en-GB"/>
        </w:rPr>
        <w:t xml:space="preserve">of an </w:t>
      </w:r>
      <w:r w:rsidRPr="00986876">
        <w:rPr>
          <w:lang w:val="en-GB"/>
        </w:rPr>
        <w:t xml:space="preserve">unwanted emission limit </w:t>
      </w:r>
      <w:r w:rsidR="00573700">
        <w:rPr>
          <w:lang w:val="en-GB"/>
        </w:rPr>
        <w:t>for the mobile terminals</w:t>
      </w:r>
      <w:r>
        <w:rPr>
          <w:lang w:val="en-GB"/>
        </w:rPr>
        <w:t xml:space="preserve">. </w:t>
      </w:r>
      <w:r w:rsidR="00082081">
        <w:rPr>
          <w:lang w:val="en-GB"/>
        </w:rPr>
        <w:t xml:space="preserve">Linked to this limit will be the need of </w:t>
      </w:r>
      <w:r w:rsidRPr="00986876">
        <w:rPr>
          <w:lang w:val="en-GB"/>
        </w:rPr>
        <w:t xml:space="preserve">finding regulatory means to enforce the </w:t>
      </w:r>
      <w:r w:rsidR="00082081">
        <w:rPr>
          <w:lang w:val="en-GB"/>
        </w:rPr>
        <w:t>i</w:t>
      </w:r>
      <w:r w:rsidRPr="00986876">
        <w:rPr>
          <w:lang w:val="en-GB"/>
        </w:rPr>
        <w:t>ntroduction of these limits in the relevant IMT standards</w:t>
      </w:r>
      <w:r w:rsidR="00082081">
        <w:rPr>
          <w:lang w:val="en-GB"/>
        </w:rPr>
        <w:t>.</w:t>
      </w:r>
    </w:p>
    <w:p w:rsidR="00365FAE" w:rsidRDefault="00365FAE" w:rsidP="00365FAE">
      <w:pPr>
        <w:spacing w:before="0" w:beforeAutospacing="0" w:after="0" w:afterAutospacing="0"/>
      </w:pPr>
    </w:p>
    <w:p w:rsidR="00B13027" w:rsidRDefault="00BB1DA7" w:rsidP="00BB1DA7">
      <w:pPr>
        <w:spacing w:before="0" w:beforeAutospacing="0" w:after="0" w:afterAutospacing="0"/>
      </w:pPr>
      <w:r>
        <w:rPr>
          <w:b/>
          <w:bCs/>
          <w:u w:val="single"/>
        </w:rPr>
        <w:t>2.2</w:t>
      </w:r>
      <w:r>
        <w:rPr>
          <w:b/>
          <w:bCs/>
          <w:u w:val="single"/>
        </w:rPr>
        <w:tab/>
      </w:r>
      <w:r w:rsidR="00577D06">
        <w:rPr>
          <w:b/>
          <w:bCs/>
          <w:u w:val="single"/>
        </w:rPr>
        <w:t>WRC-15 Agenda Item 1.6</w:t>
      </w:r>
      <w:r w:rsidR="00B13027">
        <w:rPr>
          <w:b/>
          <w:bCs/>
          <w:u w:val="single"/>
        </w:rPr>
        <w:t xml:space="preserve"> </w:t>
      </w:r>
    </w:p>
    <w:p w:rsidR="00577D06" w:rsidRDefault="00B13027" w:rsidP="00F67A2D">
      <w:pPr>
        <w:jc w:val="both"/>
      </w:pPr>
      <w:r>
        <w:t xml:space="preserve">This agenda item deals </w:t>
      </w:r>
      <w:r w:rsidR="00577D06">
        <w:t xml:space="preserve">under 1.6.1 </w:t>
      </w:r>
      <w:r>
        <w:t xml:space="preserve">with </w:t>
      </w:r>
      <w:r w:rsidRPr="007C1D16">
        <w:t>consider</w:t>
      </w:r>
      <w:r>
        <w:t>ation of</w:t>
      </w:r>
      <w:r w:rsidRPr="007C1D16">
        <w:t xml:space="preserve"> possible additional primary allocations to the fixed-satellite service (Earth-to-space and space-to-Earth) of 250 MHz in the range between 10 GHz and 17 GHz in Region 1</w:t>
      </w:r>
      <w:r>
        <w:t xml:space="preserve">.  </w:t>
      </w:r>
    </w:p>
    <w:p w:rsidR="00577D06" w:rsidRDefault="00577D06" w:rsidP="00F67A2D">
      <w:pPr>
        <w:jc w:val="both"/>
      </w:pPr>
      <w:r>
        <w:t xml:space="preserve">Agenda item 1.6.2 deals with </w:t>
      </w:r>
      <w:r w:rsidRPr="007C1D16">
        <w:t>consider</w:t>
      </w:r>
      <w:r>
        <w:t>ation of</w:t>
      </w:r>
      <w:r w:rsidRPr="007C1D16">
        <w:t xml:space="preserve"> possible additional primary allocations to the fixed-satellite service (Earth-to-space) of 250 MHz in Region 2 and 300 MHz in Region 3 within the range 13-17 GHz</w:t>
      </w:r>
      <w:r>
        <w:t xml:space="preserve">.  </w:t>
      </w:r>
    </w:p>
    <w:p w:rsidR="00577D06" w:rsidRDefault="00577D06" w:rsidP="00F67A2D">
      <w:pPr>
        <w:jc w:val="both"/>
      </w:pPr>
      <w:r w:rsidRPr="00577D06">
        <w:t>One of the targeted frequency bands for a possible allocation of FSS (Earth-to-space) is 13.25 – 13.75 GHz, which raises partic</w:t>
      </w:r>
      <w:r>
        <w:t>ular concerns with regard to th</w:t>
      </w:r>
      <w:r w:rsidR="00A151D7">
        <w:t>e</w:t>
      </w:r>
      <w:r w:rsidRPr="00577D06">
        <w:t xml:space="preserve"> allocation of this band to EESS (active).  This band is used for active remote sensing (altimeters and </w:t>
      </w:r>
      <w:proofErr w:type="spellStart"/>
      <w:r w:rsidRPr="00577D06">
        <w:t>scatterometers</w:t>
      </w:r>
      <w:proofErr w:type="spellEnd"/>
      <w:r w:rsidRPr="00577D06">
        <w:t xml:space="preserve">) by missions such as </w:t>
      </w:r>
      <w:proofErr w:type="spellStart"/>
      <w:r w:rsidRPr="00577D06">
        <w:t>Cryosat</w:t>
      </w:r>
      <w:proofErr w:type="spellEnd"/>
      <w:r w:rsidRPr="00577D06">
        <w:t xml:space="preserve">, Jason-2, </w:t>
      </w:r>
      <w:proofErr w:type="gramStart"/>
      <w:r w:rsidRPr="00577D06">
        <w:t>-3</w:t>
      </w:r>
      <w:proofErr w:type="gramEnd"/>
      <w:r w:rsidRPr="00577D06">
        <w:t xml:space="preserve">, Jason-CS, Sentinel-3, and HY-2. </w:t>
      </w:r>
    </w:p>
    <w:p w:rsidR="000C20A4" w:rsidRDefault="009B1E04" w:rsidP="00F67A2D">
      <w:pPr>
        <w:jc w:val="both"/>
      </w:pPr>
      <w:r>
        <w:t xml:space="preserve">Sharing studies </w:t>
      </w:r>
      <w:r w:rsidR="000C20A4">
        <w:t xml:space="preserve">between EESS (active) and FSS (space-to-Earth) performed so far are showing compatibility between both services. </w:t>
      </w:r>
      <w:r w:rsidR="00A151D7">
        <w:t xml:space="preserve">Regarding sharing between </w:t>
      </w:r>
      <w:r w:rsidR="000C20A4">
        <w:t>EESS (active) and FSS (Earth-to-space)</w:t>
      </w:r>
      <w:r w:rsidR="00A151D7">
        <w:t xml:space="preserve"> studies performed so far still show diverging results. Thus, a negative impact of an allocation to FSS (Earth-to-space) could currently not be excluded. Further studies are required on this subject.  </w:t>
      </w:r>
    </w:p>
    <w:p w:rsidR="00A151D7" w:rsidRDefault="00A151D7" w:rsidP="002D2CE3">
      <w:pPr>
        <w:rPr>
          <w:b/>
          <w:bCs/>
          <w:u w:val="single"/>
        </w:rPr>
      </w:pPr>
    </w:p>
    <w:p w:rsidR="002D2CE3" w:rsidRDefault="00BB1DA7" w:rsidP="002D2CE3">
      <w:r>
        <w:rPr>
          <w:b/>
          <w:bCs/>
          <w:u w:val="single"/>
        </w:rPr>
        <w:lastRenderedPageBreak/>
        <w:t>2.3</w:t>
      </w:r>
      <w:r>
        <w:rPr>
          <w:b/>
          <w:bCs/>
          <w:u w:val="single"/>
        </w:rPr>
        <w:tab/>
      </w:r>
      <w:r w:rsidR="002D2CE3">
        <w:rPr>
          <w:b/>
          <w:bCs/>
          <w:u w:val="single"/>
        </w:rPr>
        <w:t>WRC-15 Agenda Item 1.9.2</w:t>
      </w:r>
    </w:p>
    <w:p w:rsidR="002D2CE3" w:rsidRDefault="002D2CE3" w:rsidP="00F67A2D">
      <w:pPr>
        <w:jc w:val="both"/>
      </w:pPr>
      <w:r>
        <w:t>This Agenda Item deals with the possibility of allocating the bands 7 375-7 750 MHz and 8 025-8 400 MHz to the maritime-mobile satellite service (MMSS) and additional regulatory measures, depending on the results of appropriate studies.</w:t>
      </w:r>
    </w:p>
    <w:p w:rsidR="002D2CE3" w:rsidRDefault="002D2CE3" w:rsidP="00F67A2D">
      <w:pPr>
        <w:jc w:val="both"/>
      </w:pPr>
      <w:r>
        <w:t xml:space="preserve">The potentially affected space science service bands under this agenda item are 7450-7550 MHz </w:t>
      </w:r>
      <w:proofErr w:type="spellStart"/>
      <w:r>
        <w:t>MetSat</w:t>
      </w:r>
      <w:proofErr w:type="spellEnd"/>
      <w:r>
        <w:t xml:space="preserve"> (s-E, GSO) and 8025-8400 MHz EESS (s-E). Thus no new allocations to the MMSS should be made in these frequency bands unless acceptable sharing criteria with the science services are developed.  Of particular concern is the potential interference to EESS (s-E) operations in 8025-8400 MHz at high latitudes from ships operating in closer proximity.  Large exclusion zones may be needed to avoid interference to EESS earth stations.  Many EESS earth stations are located near coastal areas (e.g., </w:t>
      </w:r>
      <w:smartTag w:uri="urn:schemas-microsoft-com:office:smarttags" w:element="place">
        <w:r>
          <w:t>Svalbard</w:t>
        </w:r>
      </w:smartTag>
      <w:r>
        <w:t xml:space="preserve">, McMurdo, </w:t>
      </w:r>
      <w:proofErr w:type="spellStart"/>
      <w:r>
        <w:t>Maspalomas</w:t>
      </w:r>
      <w:proofErr w:type="spellEnd"/>
      <w:r>
        <w:t xml:space="preserve">, </w:t>
      </w:r>
      <w:proofErr w:type="spellStart"/>
      <w:r>
        <w:t>Lannion</w:t>
      </w:r>
      <w:proofErr w:type="spellEnd"/>
      <w:r>
        <w:t xml:space="preserve">, Wallops) and could be seriously affected by emissions from vessels navigating in the area.  </w:t>
      </w:r>
    </w:p>
    <w:p w:rsidR="00A151D7" w:rsidRDefault="002A1626" w:rsidP="002A1626">
      <w:pPr>
        <w:jc w:val="both"/>
      </w:pPr>
      <w:r>
        <w:t>All compatibility analysis</w:t>
      </w:r>
      <w:r w:rsidR="00A151D7">
        <w:t xml:space="preserve"> performed so far</w:t>
      </w:r>
      <w:r>
        <w:t xml:space="preserve"> on the two different sharing aspects (MMSS vs. EESS and MMSS vs. SRS) came to similar conclusions regarding the sharing difficulties with EESS and the required separation distances to protect the SRS Earth stations. To </w:t>
      </w:r>
      <w:proofErr w:type="spellStart"/>
      <w:r>
        <w:t>summarise</w:t>
      </w:r>
      <w:proofErr w:type="spellEnd"/>
      <w:r>
        <w:t xml:space="preserve"> the results of these compatibility analysis</w:t>
      </w:r>
      <w:r w:rsidR="00A151D7">
        <w:t>,</w:t>
      </w:r>
      <w:r>
        <w:t xml:space="preserve"> </w:t>
      </w:r>
      <w:r w:rsidR="00A151D7" w:rsidRPr="004215C2">
        <w:t>Preliminary Draft New Report SA</w:t>
      </w:r>
      <w:proofErr w:type="gramStart"/>
      <w:r w:rsidR="00A151D7" w:rsidRPr="004215C2">
        <w:t>.[</w:t>
      </w:r>
      <w:proofErr w:type="gramEnd"/>
      <w:r w:rsidR="00A151D7" w:rsidRPr="004215C2">
        <w:t>MMSS 8-GHz]</w:t>
      </w:r>
      <w:r w:rsidR="00A151D7">
        <w:t xml:space="preserve"> was developed in the framework of WP 7B.</w:t>
      </w:r>
    </w:p>
    <w:p w:rsidR="00A151D7" w:rsidRDefault="00A151D7" w:rsidP="00A151D7">
      <w:pPr>
        <w:jc w:val="both"/>
      </w:pPr>
      <w:r>
        <w:t xml:space="preserve">Furthermore, the issue of the large number of exclusion zones and the regulatory mechanisms for implementing and keeping up-to-date the necessary exclusions zones </w:t>
      </w:r>
      <w:r w:rsidR="00D13DDC">
        <w:t>makes such an allocation to the MMSS impracticable.</w:t>
      </w:r>
    </w:p>
    <w:p w:rsidR="00D13DDC" w:rsidRDefault="00D13DDC" w:rsidP="002D2CE3">
      <w:pPr>
        <w:rPr>
          <w:b/>
          <w:bCs/>
          <w:u w:val="single"/>
        </w:rPr>
      </w:pPr>
    </w:p>
    <w:p w:rsidR="002D2CE3" w:rsidRDefault="00BB1DA7" w:rsidP="002D2CE3">
      <w:r>
        <w:rPr>
          <w:b/>
          <w:bCs/>
          <w:u w:val="single"/>
        </w:rPr>
        <w:t>2.4</w:t>
      </w:r>
      <w:r>
        <w:rPr>
          <w:b/>
          <w:bCs/>
          <w:u w:val="single"/>
        </w:rPr>
        <w:tab/>
      </w:r>
      <w:r w:rsidR="002D2CE3">
        <w:rPr>
          <w:b/>
          <w:bCs/>
          <w:u w:val="single"/>
        </w:rPr>
        <w:t>WRC-15 Agenda Item 1.10</w:t>
      </w:r>
    </w:p>
    <w:p w:rsidR="002D2CE3" w:rsidRDefault="002D2CE3" w:rsidP="00D13DDC">
      <w:pPr>
        <w:jc w:val="both"/>
      </w:pPr>
      <w:r>
        <w:t>This Agenda Item deals with the consideration of spectrum requirements and possible additional spectrum allocations for the mobile-satellite service in the Earth-to-space and space-to-Earth directions, including the satellite component for broadband applications, including International Mobile Telecommunications (IMT), within the frequency range from 22 GHz to 26 GHz, in accordance with Resolution COM6/16 (WRC 12).</w:t>
      </w:r>
    </w:p>
    <w:p w:rsidR="002D2CE3" w:rsidRDefault="002D2CE3" w:rsidP="00D13DDC">
      <w:pPr>
        <w:jc w:val="both"/>
      </w:pPr>
      <w:r>
        <w:t xml:space="preserve">The main frequency bands at risk for CGMS member agencies are: </w:t>
      </w:r>
    </w:p>
    <w:p w:rsidR="002D2CE3" w:rsidRDefault="002D2CE3" w:rsidP="00D13DDC">
      <w:pPr>
        <w:spacing w:before="0" w:beforeAutospacing="0" w:after="120" w:afterAutospacing="0"/>
        <w:ind w:left="1195" w:hanging="475"/>
        <w:jc w:val="both"/>
      </w:pPr>
      <w:r>
        <w:t>•</w:t>
      </w:r>
      <w:r>
        <w:tab/>
        <w:t xml:space="preserve">The EESS (passive) band 23.6-24 GHz (purely passive, but to be protected against unwanted emissions taking into account interference apportionment and the levels contained in ITU </w:t>
      </w:r>
      <w:proofErr w:type="spellStart"/>
      <w:r>
        <w:t>Reslution</w:t>
      </w:r>
      <w:proofErr w:type="spellEnd"/>
      <w:r>
        <w:t xml:space="preserve"> 750 (rev. WRC-12));</w:t>
      </w:r>
    </w:p>
    <w:p w:rsidR="002D2CE3" w:rsidRDefault="002D2CE3" w:rsidP="00D13DDC">
      <w:pPr>
        <w:spacing w:before="0" w:beforeAutospacing="0" w:after="0" w:afterAutospacing="0"/>
        <w:ind w:left="1195" w:hanging="475"/>
        <w:jc w:val="both"/>
      </w:pPr>
      <w:r>
        <w:t>•</w:t>
      </w:r>
      <w:r>
        <w:tab/>
        <w:t>The first 500 MHz of the EESS/SRS space-to-Earth band 25.5 – 27.0 GHz.</w:t>
      </w:r>
    </w:p>
    <w:p w:rsidR="00D13DDC" w:rsidRDefault="00D13DDC" w:rsidP="00D13DDC">
      <w:pPr>
        <w:spacing w:before="0" w:beforeAutospacing="0" w:after="0" w:afterAutospacing="0"/>
        <w:ind w:left="1195" w:hanging="475"/>
        <w:jc w:val="both"/>
      </w:pPr>
    </w:p>
    <w:p w:rsidR="00D13DDC" w:rsidRDefault="00D13DDC" w:rsidP="00D13DDC">
      <w:pPr>
        <w:spacing w:before="0" w:beforeAutospacing="0" w:after="0" w:afterAutospacing="0"/>
        <w:jc w:val="both"/>
      </w:pPr>
      <w:r w:rsidRPr="00D13DDC">
        <w:t xml:space="preserve">The frequency band 25.5 – 27 GHz is allocated to the EESS (space-to-Earth) and is used for data links for EESS payloads. Relevant sharing criteria for this service are given in Recommendation ITU-R SA.1027. </w:t>
      </w:r>
    </w:p>
    <w:p w:rsidR="00D13DDC" w:rsidRDefault="00D13DDC" w:rsidP="00D13DDC">
      <w:pPr>
        <w:spacing w:before="0" w:beforeAutospacing="0" w:after="0" w:afterAutospacing="0"/>
        <w:jc w:val="both"/>
      </w:pPr>
    </w:p>
    <w:p w:rsidR="00D13DDC" w:rsidRDefault="00D13DDC" w:rsidP="00D13DDC">
      <w:pPr>
        <w:spacing w:before="0" w:beforeAutospacing="0" w:after="0" w:afterAutospacing="0"/>
        <w:jc w:val="both"/>
      </w:pPr>
      <w:r w:rsidRPr="00D13DDC">
        <w:t xml:space="preserve">Studies have been performed with SRS receiving Earth stations tracking non-GSO SRS satellites and are reported in section 3.2.12. These studies, using protection criteria given in Recommendation ITU-R SA.609 show no compatibility between MSS downlink and SRS. Since the sharing criteria in Recommendation ITU-R SA.1027 are globally more stringent than the protection criteria in Recommendation ITU-R SA.609, it is expected that similar conclusions would apply to the EESS </w:t>
      </w:r>
      <w:r w:rsidRPr="00D13DDC">
        <w:lastRenderedPageBreak/>
        <w:t>(space to-Earth). With regard to MSS uplinks, it has been shown that separation distances larger than 330 km would be required for SRS. These distances would even be larger when considering EESS.</w:t>
      </w:r>
    </w:p>
    <w:p w:rsidR="002D2CE3" w:rsidRDefault="002D2CE3" w:rsidP="00D13DDC">
      <w:pPr>
        <w:spacing w:before="0" w:beforeAutospacing="0" w:after="0" w:afterAutospacing="0"/>
        <w:jc w:val="both"/>
        <w:rPr>
          <w:b/>
          <w:bCs/>
          <w:u w:val="single"/>
        </w:rPr>
      </w:pPr>
    </w:p>
    <w:p w:rsidR="002D2CE3" w:rsidRDefault="00BB1DA7" w:rsidP="002D2CE3">
      <w:r>
        <w:rPr>
          <w:b/>
          <w:bCs/>
          <w:u w:val="single"/>
        </w:rPr>
        <w:t>2.5</w:t>
      </w:r>
      <w:r>
        <w:rPr>
          <w:b/>
          <w:bCs/>
          <w:u w:val="single"/>
        </w:rPr>
        <w:tab/>
      </w:r>
      <w:r w:rsidR="002D2CE3">
        <w:rPr>
          <w:b/>
          <w:bCs/>
          <w:u w:val="single"/>
        </w:rPr>
        <w:t>WRC-15 Agenda Item 1.11</w:t>
      </w:r>
    </w:p>
    <w:p w:rsidR="002D2CE3" w:rsidRDefault="002D2CE3" w:rsidP="00F67A2D">
      <w:pPr>
        <w:jc w:val="both"/>
      </w:pPr>
      <w:r>
        <w:t>This Agenda Item deals with the consideration for a primary allocation for the Earth exploration-satellite service (Earth-to-space) in the 7-8 GHz range.</w:t>
      </w:r>
    </w:p>
    <w:p w:rsidR="00BB1DA7" w:rsidRDefault="002D2CE3" w:rsidP="00F67A2D">
      <w:pPr>
        <w:spacing w:before="0" w:beforeAutospacing="0" w:after="0" w:afterAutospacing="0"/>
        <w:jc w:val="both"/>
      </w:pPr>
      <w:r>
        <w:t xml:space="preserve">Initially proposed by ESA through CEPT, this agenda item calls for the identification of a suitable frequency band for an EESS (Earth-to-space) allocation in the 7-8 GHz range for </w:t>
      </w:r>
      <w:proofErr w:type="spellStart"/>
      <w:r>
        <w:t>telecommand</w:t>
      </w:r>
      <w:proofErr w:type="spellEnd"/>
      <w:r>
        <w:t xml:space="preserve"> operations in order to complement telemetry operations of EESS (space-to-Earth) in the 8 025-8 400 MHz band. Although there is currently no </w:t>
      </w:r>
      <w:proofErr w:type="spellStart"/>
      <w:r>
        <w:t>MetSat</w:t>
      </w:r>
      <w:proofErr w:type="spellEnd"/>
      <w:r>
        <w:t xml:space="preserve"> system envisaged that would make use of such a new allocation, such spectrum would enlarge the potential evolutions of future </w:t>
      </w:r>
      <w:proofErr w:type="spellStart"/>
      <w:r>
        <w:t>MetSat</w:t>
      </w:r>
      <w:proofErr w:type="spellEnd"/>
      <w:r>
        <w:t xml:space="preserve"> systems and deployment scenarios.</w:t>
      </w:r>
    </w:p>
    <w:p w:rsidR="00562BF3" w:rsidRDefault="00562BF3" w:rsidP="00F67A2D">
      <w:pPr>
        <w:jc w:val="both"/>
      </w:pPr>
      <w:r>
        <w:t xml:space="preserve">WG 7B </w:t>
      </w:r>
      <w:r w:rsidR="002834A8">
        <w:t xml:space="preserve">deals with </w:t>
      </w:r>
      <w:r>
        <w:t>the following compatibility issues</w:t>
      </w:r>
      <w:r w:rsidR="002834A8" w:rsidRPr="002834A8">
        <w:t xml:space="preserve"> </w:t>
      </w:r>
      <w:r w:rsidR="002834A8">
        <w:t xml:space="preserve">under </w:t>
      </w:r>
      <w:r w:rsidR="002834A8" w:rsidRPr="00363B2E">
        <w:t xml:space="preserve">WRC-15 Agenda Item </w:t>
      </w:r>
      <w:r w:rsidR="002834A8">
        <w:t>1.11</w:t>
      </w:r>
      <w:r>
        <w:t>:</w:t>
      </w:r>
    </w:p>
    <w:p w:rsidR="00562BF3" w:rsidRDefault="00562BF3" w:rsidP="00F67A2D">
      <w:pPr>
        <w:numPr>
          <w:ilvl w:val="0"/>
          <w:numId w:val="3"/>
        </w:numPr>
        <w:tabs>
          <w:tab w:val="clear" w:pos="720"/>
          <w:tab w:val="left" w:pos="-1920"/>
        </w:tabs>
        <w:overflowPunct w:val="0"/>
        <w:autoSpaceDE w:val="0"/>
        <w:autoSpaceDN w:val="0"/>
        <w:adjustRightInd w:val="0"/>
        <w:spacing w:before="120" w:beforeAutospacing="0" w:after="0" w:afterAutospacing="0"/>
        <w:ind w:left="1200" w:hanging="480"/>
        <w:jc w:val="both"/>
        <w:textAlignment w:val="baseline"/>
      </w:pPr>
      <w:r w:rsidRPr="00D736D9">
        <w:t>Feasibility of sharing the 7145</w:t>
      </w:r>
      <w:r>
        <w:t xml:space="preserve"> </w:t>
      </w:r>
      <w:r w:rsidRPr="00D736D9">
        <w:t>-</w:t>
      </w:r>
      <w:r>
        <w:t xml:space="preserve"> </w:t>
      </w:r>
      <w:r w:rsidRPr="00D736D9">
        <w:t>7190 MHz (Earth-to-space) SRS (deep-space) fre</w:t>
      </w:r>
      <w:r>
        <w:t>quency band with EESS uplink;</w:t>
      </w:r>
    </w:p>
    <w:p w:rsidR="00562BF3" w:rsidRDefault="00562BF3" w:rsidP="00F67A2D">
      <w:pPr>
        <w:numPr>
          <w:ilvl w:val="0"/>
          <w:numId w:val="3"/>
        </w:numPr>
        <w:tabs>
          <w:tab w:val="clear" w:pos="720"/>
          <w:tab w:val="left" w:pos="-1920"/>
        </w:tabs>
        <w:overflowPunct w:val="0"/>
        <w:autoSpaceDE w:val="0"/>
        <w:autoSpaceDN w:val="0"/>
        <w:adjustRightInd w:val="0"/>
        <w:spacing w:before="120" w:beforeAutospacing="0" w:after="0" w:afterAutospacing="0"/>
        <w:ind w:left="1200" w:hanging="480"/>
        <w:jc w:val="both"/>
        <w:textAlignment w:val="baseline"/>
      </w:pPr>
      <w:r>
        <w:t>Co</w:t>
      </w:r>
      <w:r w:rsidRPr="00D736D9">
        <w:t>mpatibility between EESS (E-S) and SRS (E-S) missions in the band 7190</w:t>
      </w:r>
      <w:r>
        <w:t xml:space="preserve"> </w:t>
      </w:r>
      <w:r w:rsidRPr="00D736D9">
        <w:t>-7235</w:t>
      </w:r>
      <w:r>
        <w:t xml:space="preserve"> </w:t>
      </w:r>
      <w:r w:rsidRPr="00D736D9">
        <w:t>MHz</w:t>
      </w:r>
      <w:r>
        <w:t>;</w:t>
      </w:r>
    </w:p>
    <w:p w:rsidR="00562BF3" w:rsidRDefault="00562BF3" w:rsidP="00F67A2D">
      <w:pPr>
        <w:numPr>
          <w:ilvl w:val="0"/>
          <w:numId w:val="3"/>
        </w:numPr>
        <w:tabs>
          <w:tab w:val="clear" w:pos="720"/>
          <w:tab w:val="left" w:pos="-1920"/>
        </w:tabs>
        <w:overflowPunct w:val="0"/>
        <w:autoSpaceDE w:val="0"/>
        <w:autoSpaceDN w:val="0"/>
        <w:adjustRightInd w:val="0"/>
        <w:spacing w:before="120" w:beforeAutospacing="0" w:after="0" w:afterAutospacing="0"/>
        <w:ind w:left="1200" w:hanging="480"/>
        <w:jc w:val="both"/>
        <w:textAlignment w:val="baseline"/>
      </w:pPr>
      <w:r w:rsidRPr="00D736D9">
        <w:t xml:space="preserve">Sharing between the EESS (Earth-to-space) and the fixed service in the 7-8 GHz </w:t>
      </w:r>
      <w:r>
        <w:t>range.</w:t>
      </w:r>
    </w:p>
    <w:p w:rsidR="00562BF3" w:rsidRDefault="00562BF3" w:rsidP="00F67A2D">
      <w:pPr>
        <w:jc w:val="both"/>
      </w:pPr>
      <w:r>
        <w:t xml:space="preserve">The different compatibility and sharing studies as well as the assessments of the bandwidth requirements for the potential new EESS uplink allocation came to similar conclusions thus the results of those studies were </w:t>
      </w:r>
      <w:proofErr w:type="spellStart"/>
      <w:r>
        <w:t>summarised</w:t>
      </w:r>
      <w:proofErr w:type="spellEnd"/>
      <w:r>
        <w:t xml:space="preserve"> in the following WP 7B output documents: </w:t>
      </w:r>
    </w:p>
    <w:p w:rsidR="00562BF3" w:rsidRPr="0009669C" w:rsidRDefault="00324381" w:rsidP="00F67A2D">
      <w:pPr>
        <w:numPr>
          <w:ilvl w:val="0"/>
          <w:numId w:val="2"/>
        </w:numPr>
        <w:overflowPunct w:val="0"/>
        <w:autoSpaceDE w:val="0"/>
        <w:autoSpaceDN w:val="0"/>
        <w:adjustRightInd w:val="0"/>
        <w:spacing w:before="120" w:beforeAutospacing="0" w:after="0" w:afterAutospacing="0"/>
        <w:ind w:left="1320" w:hanging="600"/>
        <w:jc w:val="both"/>
        <w:textAlignment w:val="baseline"/>
      </w:pPr>
      <w:r w:rsidRPr="00994748">
        <w:t>Draft new Report ITU-R SA.[EESS-FS-7GHz]</w:t>
      </w:r>
      <w:r>
        <w:t xml:space="preserve"> </w:t>
      </w:r>
      <w:r w:rsidR="00562BF3">
        <w:t>“Sharing between the EESS (Earth to-space) and the fixed service in the 7-8 GHz range”;</w:t>
      </w:r>
    </w:p>
    <w:p w:rsidR="00562BF3" w:rsidRDefault="00562BF3" w:rsidP="00F67A2D">
      <w:pPr>
        <w:numPr>
          <w:ilvl w:val="0"/>
          <w:numId w:val="2"/>
        </w:numPr>
        <w:overflowPunct w:val="0"/>
        <w:autoSpaceDE w:val="0"/>
        <w:autoSpaceDN w:val="0"/>
        <w:adjustRightInd w:val="0"/>
        <w:spacing w:before="120" w:beforeAutospacing="0" w:after="0" w:afterAutospacing="0"/>
        <w:ind w:left="1320" w:hanging="600"/>
        <w:jc w:val="both"/>
        <w:textAlignment w:val="baseline"/>
      </w:pPr>
      <w:r>
        <w:t xml:space="preserve">Preliminary Draft New Report </w:t>
      </w:r>
      <w:r w:rsidRPr="00A745A1">
        <w:t>ITU-R SA.[EESS 7-</w:t>
      </w:r>
      <w:r>
        <w:tab/>
      </w:r>
      <w:r w:rsidRPr="00A745A1">
        <w:t xml:space="preserve">8 </w:t>
      </w:r>
      <w:proofErr w:type="spellStart"/>
      <w:r w:rsidRPr="00A745A1">
        <w:t>GHz_SHARING</w:t>
      </w:r>
      <w:proofErr w:type="spellEnd"/>
      <w:r w:rsidRPr="00A745A1">
        <w:t xml:space="preserve">-SPACE] </w:t>
      </w:r>
      <w:r>
        <w:t>“</w:t>
      </w:r>
      <w:r w:rsidRPr="00A745A1">
        <w:t xml:space="preserve">Compatibility between EESS (Earth-to-space) and the Space Research service or the Space Operation service in </w:t>
      </w:r>
      <w:r>
        <w:t>the band 7</w:t>
      </w:r>
      <w:r w:rsidRPr="00A745A1">
        <w:t>100</w:t>
      </w:r>
      <w:r>
        <w:t xml:space="preserve"> </w:t>
      </w:r>
      <w:r w:rsidRPr="00A745A1">
        <w:t>-</w:t>
      </w:r>
      <w:r>
        <w:t xml:space="preserve"> </w:t>
      </w:r>
      <w:r w:rsidRPr="00A745A1">
        <w:t>7</w:t>
      </w:r>
      <w:r>
        <w:tab/>
      </w:r>
      <w:r w:rsidRPr="00A745A1">
        <w:t>235 MHz</w:t>
      </w:r>
      <w:r w:rsidR="00726F27">
        <w:t>”;</w:t>
      </w:r>
      <w:r>
        <w:t xml:space="preserve"> </w:t>
      </w:r>
    </w:p>
    <w:p w:rsidR="00324381" w:rsidRDefault="00324381" w:rsidP="00F67A2D">
      <w:pPr>
        <w:numPr>
          <w:ilvl w:val="0"/>
          <w:numId w:val="2"/>
        </w:numPr>
        <w:overflowPunct w:val="0"/>
        <w:autoSpaceDE w:val="0"/>
        <w:autoSpaceDN w:val="0"/>
        <w:adjustRightInd w:val="0"/>
        <w:spacing w:before="120" w:beforeAutospacing="0" w:after="0" w:afterAutospacing="0"/>
        <w:ind w:left="1320" w:hanging="600"/>
        <w:jc w:val="both"/>
        <w:textAlignment w:val="baseline"/>
      </w:pPr>
      <w:r w:rsidRPr="006E1106">
        <w:t>Working document towards a preliminary draft new Report ITU-R SA</w:t>
      </w:r>
      <w:proofErr w:type="gramStart"/>
      <w:r w:rsidRPr="006E1106">
        <w:t>.[</w:t>
      </w:r>
      <w:proofErr w:type="gramEnd"/>
      <w:r w:rsidRPr="006E1106">
        <w:t>1.9.1VS1.11-7GHz] - Sharing between the potential EESS (Earth-to-space) and FSS allocations in the 7-8 GHz range</w:t>
      </w:r>
      <w:r w:rsidR="0057220B">
        <w:t>.</w:t>
      </w:r>
    </w:p>
    <w:p w:rsidR="00BB1DA7" w:rsidRDefault="00BB1DA7" w:rsidP="00F67A2D">
      <w:pPr>
        <w:spacing w:before="0" w:beforeAutospacing="0" w:after="0" w:afterAutospacing="0"/>
        <w:jc w:val="both"/>
      </w:pPr>
    </w:p>
    <w:p w:rsidR="00CD31B3" w:rsidRDefault="00BB1DA7" w:rsidP="00F67A2D">
      <w:pPr>
        <w:jc w:val="both"/>
        <w:rPr>
          <w:b/>
          <w:bCs/>
          <w:u w:val="single"/>
        </w:rPr>
      </w:pPr>
      <w:r>
        <w:rPr>
          <w:b/>
          <w:bCs/>
          <w:u w:val="single"/>
        </w:rPr>
        <w:t>2.6</w:t>
      </w:r>
      <w:r>
        <w:rPr>
          <w:b/>
          <w:bCs/>
          <w:u w:val="single"/>
        </w:rPr>
        <w:tab/>
        <w:t>W</w:t>
      </w:r>
      <w:r w:rsidR="005A5ABB">
        <w:rPr>
          <w:b/>
          <w:bCs/>
          <w:u w:val="single"/>
        </w:rPr>
        <w:t>RC-15 Agenda Item 9.1.1</w:t>
      </w:r>
      <w:r w:rsidR="00B13027">
        <w:rPr>
          <w:b/>
          <w:bCs/>
          <w:u w:val="single"/>
        </w:rPr>
        <w:t xml:space="preserve"> </w:t>
      </w:r>
    </w:p>
    <w:p w:rsidR="00CD31B3" w:rsidRDefault="00B13027" w:rsidP="00F67A2D">
      <w:pPr>
        <w:jc w:val="both"/>
      </w:pPr>
      <w:r>
        <w:t xml:space="preserve">This agenda item deals with </w:t>
      </w:r>
      <w:r w:rsidR="005A5ABB">
        <w:t xml:space="preserve">RESOLUTION 205 (REV.WRC 12) - Protection of the systems operating in the mobile-satellite service in the band 406-406.1 MHz. </w:t>
      </w:r>
    </w:p>
    <w:p w:rsidR="00CD31B3" w:rsidRDefault="005A5ABB" w:rsidP="00F67A2D">
      <w:pPr>
        <w:jc w:val="both"/>
      </w:pPr>
      <w:proofErr w:type="spellStart"/>
      <w:r>
        <w:t>Cospas-Sarsat</w:t>
      </w:r>
      <w:proofErr w:type="spellEnd"/>
      <w:r>
        <w:t xml:space="preserve"> space segment providers have developed protection criteria for the </w:t>
      </w:r>
      <w:proofErr w:type="spellStart"/>
      <w:r>
        <w:t>Cospas-Sarsat</w:t>
      </w:r>
      <w:proofErr w:type="spellEnd"/>
      <w:r>
        <w:t xml:space="preserve"> search and rescue instruments and local user terminals in the 406.0-406.1 MHz band in order to protect them against broadband out-of-band emissions and against narrow-band spurious emissions. These protection criteria have been recognized at the ITU level through ITU-R M.1478-1. However, </w:t>
      </w:r>
      <w:r>
        <w:lastRenderedPageBreak/>
        <w:t xml:space="preserve">they do not provide protection against emissions in adjacent bands which could hinder the </w:t>
      </w:r>
      <w:proofErr w:type="spellStart"/>
      <w:r>
        <w:t>Cospas-Sarsat</w:t>
      </w:r>
      <w:proofErr w:type="spellEnd"/>
      <w:r>
        <w:t xml:space="preserve"> system’s ability to detect and/or relay signal from beacons.</w:t>
      </w:r>
    </w:p>
    <w:p w:rsidR="00204A4D" w:rsidRDefault="00204A4D" w:rsidP="00F67A2D">
      <w:pPr>
        <w:jc w:val="both"/>
      </w:pPr>
      <w:r>
        <w:t xml:space="preserve">Several noise measurements have been conducted using all the three space components. The measurements of the 406-406.1 MHz band must be carefully examined, as </w:t>
      </w:r>
      <w:proofErr w:type="spellStart"/>
      <w:r>
        <w:t>Cospas</w:t>
      </w:r>
      <w:proofErr w:type="spellEnd"/>
      <w:r>
        <w:t xml:space="preserve"> </w:t>
      </w:r>
      <w:proofErr w:type="spellStart"/>
      <w:r>
        <w:t>Sarsat</w:t>
      </w:r>
      <w:proofErr w:type="spellEnd"/>
      <w:r>
        <w:t xml:space="preserve"> has a general concern on the reception and processing of weak distress signals, in certain areas, caused by an increase of noise in the Europe and Asia. </w:t>
      </w:r>
    </w:p>
    <w:p w:rsidR="00204A4D" w:rsidRDefault="00204A4D" w:rsidP="00F67A2D">
      <w:pPr>
        <w:jc w:val="both"/>
      </w:pPr>
      <w:r>
        <w:t>Current analysis of observations show that over certain years, this noise (measured in the 406-406.1 MHz band) has increased by 15 to 20 dB above the interference level in some areas. Measurements performed at 406 MHz have shown that the noise level is especially high over Europe and also confirms the concern in part of Asia. This noise issue in UHF band addresses the frequency range between 390 MHz and 420 MHz might be caused by the operation of terrestrial systems deployed in many countries.</w:t>
      </w:r>
    </w:p>
    <w:p w:rsidR="00204A4D" w:rsidRDefault="00204A4D" w:rsidP="00F67A2D">
      <w:pPr>
        <w:jc w:val="both"/>
      </w:pPr>
      <w:r>
        <w:t xml:space="preserve">Thus, </w:t>
      </w:r>
      <w:proofErr w:type="spellStart"/>
      <w:r>
        <w:t>Cospas-Sarsat</w:t>
      </w:r>
      <w:proofErr w:type="spellEnd"/>
      <w:r>
        <w:t xml:space="preserve"> with the support of its space segment </w:t>
      </w:r>
      <w:proofErr w:type="gramStart"/>
      <w:r>
        <w:t>providers,</w:t>
      </w:r>
      <w:proofErr w:type="gramEnd"/>
      <w:r>
        <w:t xml:space="preserve"> will need to develop the relevant protection criteria for submission to the relevant ITU-R groups and translation into an ITU-R recommendation.</w:t>
      </w:r>
    </w:p>
    <w:p w:rsidR="00204A4D" w:rsidRDefault="00204A4D" w:rsidP="00F67A2D">
      <w:pPr>
        <w:jc w:val="both"/>
      </w:pPr>
      <w:r>
        <w:t xml:space="preserve">In this context also the potential impact from </w:t>
      </w:r>
      <w:r w:rsidR="00C16CE1">
        <w:t xml:space="preserve">EESS, </w:t>
      </w:r>
      <w:proofErr w:type="spellStart"/>
      <w:r w:rsidR="00C16CE1">
        <w:t>MetSat</w:t>
      </w:r>
      <w:proofErr w:type="spellEnd"/>
      <w:r w:rsidR="00C16CE1">
        <w:t xml:space="preserve"> and </w:t>
      </w:r>
      <w:proofErr w:type="spellStart"/>
      <w:r w:rsidR="00C16CE1">
        <w:t>MetAids</w:t>
      </w:r>
      <w:proofErr w:type="spellEnd"/>
      <w:r w:rsidR="00C16CE1">
        <w:t xml:space="preserve"> systems in this range </w:t>
      </w:r>
      <w:r>
        <w:t>401 – 406 MHz has to be assessed</w:t>
      </w:r>
      <w:r w:rsidR="00C16CE1">
        <w:t>.</w:t>
      </w:r>
    </w:p>
    <w:p w:rsidR="00204A4D" w:rsidRDefault="00204A4D" w:rsidP="00F67A2D">
      <w:pPr>
        <w:jc w:val="both"/>
      </w:pPr>
      <w:r>
        <w:t>Preliminary analysis has shown that for data collection platforms in operation within the frequency band 401 to 403 MHz, the aggregate transmitter power does not exceed the broadband interference threshold, assuming a maximum load of the Earth exploration-satellite systems. The operation of the EESS (Earth-to-space) data collection system would contribute only with a small fractional to the wide band interference budget for the LEO (0.0185%) satellites.  It contributes as much as 3.435 % to the geostationary satellite receiver. The results are significantly different between the two MEO satellites systems. The report calculated that the data collection platforms only contribute up to 4.861% of the wideband interference threshold for the Galileo satellite. The data collection platforms contribute 87.24% of the wideband interference value of the GLONASS receiver, which has a higher sensitivity.</w:t>
      </w:r>
    </w:p>
    <w:p w:rsidR="00D911F5" w:rsidRDefault="00204A4D" w:rsidP="00F67A2D">
      <w:pPr>
        <w:jc w:val="both"/>
      </w:pPr>
      <w:r>
        <w:t xml:space="preserve">Operation of </w:t>
      </w:r>
      <w:proofErr w:type="spellStart"/>
      <w:r>
        <w:t>radiosondes</w:t>
      </w:r>
      <w:proofErr w:type="spellEnd"/>
      <w:r>
        <w:t xml:space="preserve"> in the meteorological aids service will not exceed the broadband measured sensitivity levels of the search-and-rescue receivers for LEO, MEO or GEO satellites.  In all cases the percentage of interference power to the SAR receivers is less than 6 x10-3 percent of the interference threshold. Older, less-stable, analogue </w:t>
      </w:r>
      <w:proofErr w:type="spellStart"/>
      <w:r>
        <w:t>radiosondes</w:t>
      </w:r>
      <w:proofErr w:type="spellEnd"/>
      <w:r>
        <w:t xml:space="preserve"> could have the carrier drift into the SAR receiver band. However, this does not contribute to the overall increase in the SAR receiver noise background.</w:t>
      </w:r>
      <w:r w:rsidR="00C16CE1">
        <w:t xml:space="preserve">  </w:t>
      </w:r>
    </w:p>
    <w:p w:rsidR="00D911F5" w:rsidRDefault="00D911F5" w:rsidP="00F67A2D">
      <w:pPr>
        <w:jc w:val="both"/>
        <w:rPr>
          <w:bCs/>
        </w:rPr>
      </w:pPr>
      <w:r w:rsidRPr="00D911F5">
        <w:rPr>
          <w:bCs/>
        </w:rPr>
        <w:t>In order to ensure adequate protection of MSS systems in the frequency band 406-406.1</w:t>
      </w:r>
      <w:r>
        <w:rPr>
          <w:bCs/>
        </w:rPr>
        <w:t xml:space="preserve"> MHz, the </w:t>
      </w:r>
      <w:r w:rsidRPr="00D911F5">
        <w:rPr>
          <w:bCs/>
        </w:rPr>
        <w:t xml:space="preserve">revision </w:t>
      </w:r>
      <w:r>
        <w:rPr>
          <w:bCs/>
        </w:rPr>
        <w:t xml:space="preserve">of Resolution 205 is required introducing further </w:t>
      </w:r>
      <w:r w:rsidRPr="00D911F5">
        <w:rPr>
          <w:bCs/>
        </w:rPr>
        <w:t>mitigation measures.</w:t>
      </w:r>
    </w:p>
    <w:p w:rsidR="00D911F5" w:rsidRPr="00D911F5" w:rsidRDefault="00D911F5" w:rsidP="00F67A2D">
      <w:pPr>
        <w:jc w:val="both"/>
        <w:rPr>
          <w:bCs/>
        </w:rPr>
      </w:pPr>
    </w:p>
    <w:p w:rsidR="00B13027" w:rsidRDefault="00650278" w:rsidP="00F67A2D">
      <w:pPr>
        <w:keepNext/>
        <w:keepLines/>
        <w:jc w:val="both"/>
      </w:pPr>
      <w:r>
        <w:rPr>
          <w:b/>
          <w:bCs/>
          <w:u w:val="single"/>
        </w:rPr>
        <w:t>3</w:t>
      </w:r>
      <w:r>
        <w:rPr>
          <w:b/>
          <w:bCs/>
          <w:u w:val="single"/>
        </w:rPr>
        <w:tab/>
      </w:r>
      <w:r w:rsidR="00B13027">
        <w:rPr>
          <w:b/>
          <w:bCs/>
          <w:u w:val="single"/>
        </w:rPr>
        <w:t>ITU-R Working Party 7</w:t>
      </w:r>
      <w:r w:rsidR="00C07EDB">
        <w:rPr>
          <w:b/>
          <w:bCs/>
          <w:u w:val="single"/>
        </w:rPr>
        <w:t>B</w:t>
      </w:r>
      <w:r w:rsidR="002A1626">
        <w:rPr>
          <w:b/>
          <w:bCs/>
          <w:u w:val="single"/>
        </w:rPr>
        <w:t xml:space="preserve"> (WRC-15 unrelated issues)</w:t>
      </w:r>
    </w:p>
    <w:p w:rsidR="00BB1DA7" w:rsidRPr="00650278" w:rsidRDefault="00650278" w:rsidP="00F67A2D">
      <w:pPr>
        <w:pStyle w:val="Heading3"/>
        <w:ind w:left="720" w:hanging="720"/>
        <w:jc w:val="both"/>
        <w:rPr>
          <w:u w:val="single"/>
          <w:lang w:val="en-US"/>
        </w:rPr>
      </w:pPr>
      <w:r w:rsidRPr="00650278">
        <w:rPr>
          <w:u w:val="single"/>
          <w:lang w:val="en-US"/>
        </w:rPr>
        <w:t>3.1</w:t>
      </w:r>
      <w:r w:rsidRPr="00650278">
        <w:rPr>
          <w:u w:val="single"/>
          <w:lang w:val="en-US"/>
        </w:rPr>
        <w:tab/>
      </w:r>
      <w:r w:rsidR="00BB1DA7" w:rsidRPr="00650278">
        <w:rPr>
          <w:u w:val="single"/>
          <w:lang w:val="en-US"/>
        </w:rPr>
        <w:t>Characteristics, sharing and perfor</w:t>
      </w:r>
      <w:r w:rsidR="00BA56EA">
        <w:rPr>
          <w:u w:val="single"/>
          <w:lang w:val="en-US"/>
        </w:rPr>
        <w:t xml:space="preserve">mance criteria of EESS and </w:t>
      </w:r>
      <w:proofErr w:type="spellStart"/>
      <w:r w:rsidR="00BA56EA">
        <w:rPr>
          <w:u w:val="single"/>
          <w:lang w:val="en-US"/>
        </w:rPr>
        <w:t>MetSat</w:t>
      </w:r>
      <w:proofErr w:type="spellEnd"/>
    </w:p>
    <w:p w:rsidR="005F38B2" w:rsidRPr="005F38B2" w:rsidRDefault="005F38B2" w:rsidP="00F67A2D">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szCs w:val="20"/>
          <w:lang w:eastAsia="zh-CN"/>
        </w:rPr>
      </w:pPr>
      <w:r>
        <w:rPr>
          <w:rFonts w:eastAsia="Times New Roman"/>
          <w:szCs w:val="20"/>
          <w:lang w:eastAsia="zh-CN"/>
        </w:rPr>
        <w:t>WP 7B performed work at its last meetings</w:t>
      </w:r>
      <w:r w:rsidRPr="005F38B2">
        <w:rPr>
          <w:rFonts w:eastAsia="Times New Roman"/>
          <w:szCs w:val="20"/>
          <w:lang w:eastAsia="zh-CN"/>
        </w:rPr>
        <w:t xml:space="preserve"> towards revising and potentially merging existing ITU-R Recommendations dealing with METSAT and EESS systems in terms of c</w:t>
      </w:r>
      <w:r w:rsidRPr="005F38B2">
        <w:rPr>
          <w:rFonts w:eastAsia="Times New Roman"/>
          <w:szCs w:val="20"/>
        </w:rPr>
        <w:t xml:space="preserve">haracteristics, sharing </w:t>
      </w:r>
      <w:r w:rsidRPr="005F38B2">
        <w:rPr>
          <w:rFonts w:eastAsia="Times New Roman"/>
          <w:szCs w:val="20"/>
        </w:rPr>
        <w:lastRenderedPageBreak/>
        <w:t>and performance criteria</w:t>
      </w:r>
      <w:r>
        <w:rPr>
          <w:rFonts w:eastAsia="Times New Roman"/>
          <w:szCs w:val="20"/>
        </w:rPr>
        <w:t>,</w:t>
      </w:r>
      <w:r w:rsidRPr="005F38B2">
        <w:rPr>
          <w:rFonts w:eastAsia="Times New Roman"/>
          <w:szCs w:val="20"/>
          <w:lang w:eastAsia="zh-CN"/>
        </w:rPr>
        <w:t xml:space="preserve"> leading to the following two new P</w:t>
      </w:r>
      <w:r w:rsidR="00D3227D">
        <w:rPr>
          <w:rFonts w:eastAsia="Times New Roman"/>
          <w:szCs w:val="20"/>
          <w:lang w:eastAsia="zh-CN"/>
        </w:rPr>
        <w:t>reliminary Draft New Recommendations</w:t>
      </w:r>
      <w:r w:rsidRPr="005F38B2">
        <w:rPr>
          <w:rFonts w:eastAsia="Times New Roman"/>
          <w:szCs w:val="20"/>
          <w:lang w:eastAsia="zh-CN"/>
        </w:rPr>
        <w:t>:</w:t>
      </w:r>
    </w:p>
    <w:p w:rsidR="005F38B2" w:rsidRPr="005F38B2" w:rsidRDefault="005F38B2" w:rsidP="00F67A2D">
      <w:pPr>
        <w:numPr>
          <w:ilvl w:val="0"/>
          <w:numId w:val="1"/>
        </w:num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szCs w:val="20"/>
          <w:lang w:eastAsia="zh-CN"/>
        </w:rPr>
      </w:pPr>
      <w:r w:rsidRPr="005F38B2">
        <w:rPr>
          <w:rFonts w:eastAsia="Times New Roman"/>
          <w:szCs w:val="20"/>
          <w:lang w:eastAsia="zh-CN"/>
        </w:rPr>
        <w:t xml:space="preserve">ITU-R SA.[EES/MET CHAR]: “Characteristics to be used for assessing </w:t>
      </w:r>
      <w:r w:rsidRPr="005F38B2">
        <w:rPr>
          <w:rFonts w:eastAsia="Times New Roman"/>
          <w:szCs w:val="20"/>
          <w:lang w:eastAsia="zh-CN"/>
        </w:rPr>
        <w:tab/>
        <w:t xml:space="preserve">interference to systems operating in the Earth exploration-satellite and </w:t>
      </w:r>
      <w:r w:rsidRPr="005F38B2">
        <w:rPr>
          <w:rFonts w:eastAsia="Times New Roman"/>
          <w:szCs w:val="20"/>
          <w:lang w:eastAsia="zh-CN"/>
        </w:rPr>
        <w:tab/>
        <w:t xml:space="preserve">meteorological-satellite services and </w:t>
      </w:r>
      <w:r>
        <w:rPr>
          <w:rFonts w:eastAsia="Times New Roman"/>
          <w:szCs w:val="20"/>
          <w:lang w:eastAsia="zh-CN"/>
        </w:rPr>
        <w:t>for conducting sharing studies”</w:t>
      </w:r>
      <w:r w:rsidRPr="005F38B2">
        <w:rPr>
          <w:rFonts w:eastAsia="Times New Roman"/>
          <w:szCs w:val="20"/>
          <w:lang w:eastAsia="zh-CN"/>
        </w:rPr>
        <w:t>;</w:t>
      </w:r>
    </w:p>
    <w:p w:rsidR="005F38B2" w:rsidRPr="005F38B2" w:rsidRDefault="005F38B2" w:rsidP="00F67A2D">
      <w:pPr>
        <w:numPr>
          <w:ilvl w:val="0"/>
          <w:numId w:val="1"/>
        </w:num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szCs w:val="20"/>
          <w:lang w:eastAsia="zh-CN"/>
        </w:rPr>
      </w:pPr>
      <w:r w:rsidRPr="005F38B2">
        <w:rPr>
          <w:rFonts w:eastAsia="Times New Roman"/>
          <w:szCs w:val="20"/>
          <w:lang w:eastAsia="zh-CN"/>
        </w:rPr>
        <w:t>ITU-R SA</w:t>
      </w:r>
      <w:proofErr w:type="gramStart"/>
      <w:r w:rsidRPr="005F38B2">
        <w:rPr>
          <w:rFonts w:eastAsia="Times New Roman"/>
          <w:szCs w:val="20"/>
          <w:lang w:eastAsia="zh-CN"/>
        </w:rPr>
        <w:t>.[</w:t>
      </w:r>
      <w:proofErr w:type="gramEnd"/>
      <w:r w:rsidRPr="005F38B2">
        <w:rPr>
          <w:rFonts w:eastAsia="Times New Roman"/>
          <w:szCs w:val="20"/>
          <w:lang w:eastAsia="zh-CN"/>
        </w:rPr>
        <w:t xml:space="preserve">EES/MET METH]: “Protection criteria for </w:t>
      </w:r>
      <w:proofErr w:type="spellStart"/>
      <w:r w:rsidRPr="005F38B2">
        <w:rPr>
          <w:rFonts w:eastAsia="Times New Roman"/>
          <w:szCs w:val="20"/>
          <w:lang w:eastAsia="zh-CN"/>
        </w:rPr>
        <w:t>MetSat</w:t>
      </w:r>
      <w:proofErr w:type="spellEnd"/>
      <w:r w:rsidRPr="005F38B2">
        <w:rPr>
          <w:rFonts w:eastAsia="Times New Roman"/>
          <w:szCs w:val="20"/>
          <w:lang w:eastAsia="zh-CN"/>
        </w:rPr>
        <w:t xml:space="preserve"> and EESS</w:t>
      </w:r>
      <w:r>
        <w:rPr>
          <w:rFonts w:eastAsia="Times New Roman"/>
          <w:szCs w:val="20"/>
          <w:lang w:eastAsia="zh-CN"/>
        </w:rPr>
        <w:t xml:space="preserve"> services”</w:t>
      </w:r>
      <w:r w:rsidRPr="005F38B2">
        <w:rPr>
          <w:rFonts w:eastAsia="Times New Roman"/>
          <w:szCs w:val="20"/>
          <w:lang w:eastAsia="zh-CN"/>
        </w:rPr>
        <w:t>.</w:t>
      </w:r>
    </w:p>
    <w:p w:rsidR="005F38B2" w:rsidRDefault="005F38B2" w:rsidP="00F67A2D">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szCs w:val="20"/>
          <w:lang w:val="en-GB"/>
        </w:rPr>
      </w:pPr>
    </w:p>
    <w:p w:rsidR="005F38B2" w:rsidRPr="005F38B2" w:rsidRDefault="005F38B2" w:rsidP="00F67A2D">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bCs/>
          <w:lang w:eastAsia="zh-CN"/>
        </w:rPr>
      </w:pPr>
      <w:r>
        <w:rPr>
          <w:rFonts w:eastAsia="Times New Roman"/>
          <w:bCs/>
          <w:lang w:eastAsia="zh-CN"/>
        </w:rPr>
        <w:t xml:space="preserve">At the last meeting of WP 7B in September 2013, rather than proceeding with those two new </w:t>
      </w:r>
      <w:r w:rsidR="00D3227D">
        <w:rPr>
          <w:rFonts w:eastAsia="Times New Roman"/>
          <w:bCs/>
          <w:lang w:eastAsia="zh-CN"/>
        </w:rPr>
        <w:t>PDNRs, WP 7B a</w:t>
      </w:r>
      <w:r>
        <w:rPr>
          <w:rFonts w:eastAsia="Times New Roman"/>
          <w:bCs/>
          <w:lang w:eastAsia="zh-CN"/>
        </w:rPr>
        <w:t xml:space="preserve">greed to </w:t>
      </w:r>
      <w:r w:rsidRPr="005F38B2">
        <w:rPr>
          <w:rFonts w:eastAsia="Times New Roman"/>
          <w:bCs/>
          <w:lang w:eastAsia="zh-CN"/>
        </w:rPr>
        <w:t xml:space="preserve">review the existing ITU-R Recommendations providing protection criteria for </w:t>
      </w:r>
      <w:proofErr w:type="spellStart"/>
      <w:r w:rsidRPr="005F38B2">
        <w:rPr>
          <w:rFonts w:eastAsia="Times New Roman"/>
          <w:bCs/>
          <w:lang w:eastAsia="zh-CN"/>
        </w:rPr>
        <w:t>MetSat</w:t>
      </w:r>
      <w:proofErr w:type="spellEnd"/>
      <w:r w:rsidRPr="005F38B2">
        <w:rPr>
          <w:rFonts w:eastAsia="Times New Roman"/>
          <w:bCs/>
          <w:lang w:eastAsia="zh-CN"/>
        </w:rPr>
        <w:t xml:space="preserve"> and EESS services, here in particular Recommendations ITU-R SA.1026 and SA.1027.</w:t>
      </w:r>
    </w:p>
    <w:p w:rsidR="005F38B2" w:rsidRPr="005F38B2" w:rsidRDefault="005F38B2" w:rsidP="00F67A2D">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szCs w:val="20"/>
          <w:lang w:eastAsia="zh-CN"/>
        </w:rPr>
      </w:pPr>
      <w:r w:rsidRPr="005F38B2">
        <w:rPr>
          <w:rFonts w:eastAsia="Times New Roman"/>
          <w:szCs w:val="20"/>
          <w:lang w:val="en-GB"/>
        </w:rPr>
        <w:t xml:space="preserve">The work on the complementary criteria as contained in </w:t>
      </w:r>
      <w:r w:rsidR="00D3227D">
        <w:rPr>
          <w:rFonts w:eastAsia="Times New Roman"/>
          <w:szCs w:val="20"/>
          <w:lang w:eastAsia="zh-CN"/>
        </w:rPr>
        <w:t>ITU-R SA</w:t>
      </w:r>
      <w:proofErr w:type="gramStart"/>
      <w:r w:rsidR="00D3227D">
        <w:rPr>
          <w:rFonts w:eastAsia="Times New Roman"/>
          <w:szCs w:val="20"/>
          <w:lang w:eastAsia="zh-CN"/>
        </w:rPr>
        <w:t>.[</w:t>
      </w:r>
      <w:proofErr w:type="gramEnd"/>
      <w:r w:rsidR="00D3227D">
        <w:rPr>
          <w:rFonts w:eastAsia="Times New Roman"/>
          <w:szCs w:val="20"/>
          <w:lang w:eastAsia="zh-CN"/>
        </w:rPr>
        <w:t xml:space="preserve">EES/MET METH] </w:t>
      </w:r>
      <w:r w:rsidRPr="005F38B2">
        <w:rPr>
          <w:rFonts w:eastAsia="Times New Roman"/>
          <w:szCs w:val="20"/>
          <w:lang w:val="en-GB"/>
        </w:rPr>
        <w:t xml:space="preserve">should rather be progressed in the </w:t>
      </w:r>
      <w:r w:rsidR="00D3227D">
        <w:rPr>
          <w:rFonts w:eastAsia="Times New Roman"/>
          <w:szCs w:val="20"/>
          <w:lang w:val="en-GB"/>
        </w:rPr>
        <w:t>SFCG</w:t>
      </w:r>
      <w:r w:rsidRPr="005F38B2">
        <w:rPr>
          <w:rFonts w:eastAsia="Times New Roman"/>
          <w:szCs w:val="20"/>
          <w:lang w:val="en-GB"/>
        </w:rPr>
        <w:t xml:space="preserve"> in the framework of inter-agency coordination. </w:t>
      </w:r>
    </w:p>
    <w:p w:rsidR="005F38B2" w:rsidRPr="005F38B2" w:rsidRDefault="005F38B2" w:rsidP="00F67A2D">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szCs w:val="20"/>
          <w:lang w:eastAsia="zh-CN"/>
        </w:rPr>
      </w:pPr>
      <w:r w:rsidRPr="005F38B2">
        <w:rPr>
          <w:rFonts w:eastAsia="Times New Roman"/>
          <w:szCs w:val="20"/>
          <w:lang w:eastAsia="zh-CN"/>
        </w:rPr>
        <w:t>Regarding the PDNR ITU-R SA</w:t>
      </w:r>
      <w:proofErr w:type="gramStart"/>
      <w:r w:rsidRPr="005F38B2">
        <w:rPr>
          <w:rFonts w:eastAsia="Times New Roman"/>
          <w:szCs w:val="20"/>
          <w:lang w:eastAsia="zh-CN"/>
        </w:rPr>
        <w:t>.[</w:t>
      </w:r>
      <w:proofErr w:type="gramEnd"/>
      <w:r w:rsidRPr="005F38B2">
        <w:rPr>
          <w:rFonts w:eastAsia="Times New Roman"/>
          <w:szCs w:val="20"/>
          <w:lang w:eastAsia="zh-CN"/>
        </w:rPr>
        <w:t>EES/MET CHAR]</w:t>
      </w:r>
      <w:r w:rsidR="00D3227D">
        <w:rPr>
          <w:rFonts w:eastAsia="Times New Roman"/>
          <w:szCs w:val="20"/>
          <w:lang w:eastAsia="zh-CN"/>
        </w:rPr>
        <w:t>, a</w:t>
      </w:r>
      <w:r w:rsidRPr="005F38B2">
        <w:rPr>
          <w:rFonts w:eastAsia="Times New Roman"/>
          <w:szCs w:val="20"/>
          <w:lang w:eastAsia="zh-CN"/>
        </w:rPr>
        <w:t>s this PDNR is closely related to PDNR ITU-R SA.[EES/MET METH], the work on this PDNR should also be progressed in the framework of the SFCG.</w:t>
      </w:r>
    </w:p>
    <w:p w:rsidR="005F38B2" w:rsidRPr="005F38B2" w:rsidRDefault="005F38B2" w:rsidP="00F67A2D">
      <w:pPr>
        <w:tabs>
          <w:tab w:val="left" w:pos="1134"/>
          <w:tab w:val="left" w:pos="1871"/>
          <w:tab w:val="left" w:pos="2268"/>
        </w:tabs>
        <w:overflowPunct w:val="0"/>
        <w:autoSpaceDE w:val="0"/>
        <w:autoSpaceDN w:val="0"/>
        <w:adjustRightInd w:val="0"/>
        <w:spacing w:before="120" w:beforeAutospacing="0" w:after="0" w:afterAutospacing="0"/>
        <w:jc w:val="both"/>
        <w:textAlignment w:val="baseline"/>
        <w:rPr>
          <w:rFonts w:eastAsia="Times New Roman"/>
          <w:bCs/>
          <w:lang w:eastAsia="zh-CN"/>
        </w:rPr>
      </w:pPr>
      <w:r w:rsidRPr="005F38B2">
        <w:rPr>
          <w:rFonts w:eastAsia="Times New Roman"/>
          <w:szCs w:val="20"/>
          <w:lang w:val="en-GB"/>
        </w:rPr>
        <w:t xml:space="preserve">Therefore, </w:t>
      </w:r>
      <w:r w:rsidR="00D3227D">
        <w:rPr>
          <w:rFonts w:eastAsia="Times New Roman"/>
          <w:szCs w:val="20"/>
          <w:lang w:val="en-GB"/>
        </w:rPr>
        <w:t xml:space="preserve">work on those </w:t>
      </w:r>
      <w:r w:rsidRPr="005F38B2">
        <w:rPr>
          <w:rFonts w:eastAsia="Times New Roman"/>
          <w:szCs w:val="20"/>
          <w:lang w:val="en-GB"/>
        </w:rPr>
        <w:t xml:space="preserve">PDNRs </w:t>
      </w:r>
      <w:r w:rsidR="00D3227D">
        <w:rPr>
          <w:rFonts w:eastAsia="Times New Roman"/>
          <w:szCs w:val="20"/>
          <w:lang w:val="en-GB"/>
        </w:rPr>
        <w:t>will not be progressed in the framework of WP 7B for the time being</w:t>
      </w:r>
      <w:r w:rsidRPr="005F38B2">
        <w:rPr>
          <w:rFonts w:eastAsia="Times New Roman"/>
          <w:szCs w:val="20"/>
          <w:lang w:val="en-GB"/>
        </w:rPr>
        <w:t>.</w:t>
      </w:r>
      <w:r w:rsidRPr="005F38B2">
        <w:rPr>
          <w:rFonts w:eastAsia="Times New Roman"/>
          <w:bCs/>
          <w:lang w:eastAsia="zh-CN"/>
        </w:rPr>
        <w:t xml:space="preserve"> </w:t>
      </w:r>
    </w:p>
    <w:p w:rsidR="00BA56EA" w:rsidRPr="0087105C" w:rsidRDefault="00BA56EA" w:rsidP="00F67A2D">
      <w:pPr>
        <w:pStyle w:val="enumlev1"/>
        <w:ind w:left="0" w:firstLine="0"/>
        <w:jc w:val="both"/>
        <w:rPr>
          <w:lang w:val="en-US"/>
        </w:rPr>
      </w:pPr>
    </w:p>
    <w:p w:rsidR="00BA56EA" w:rsidRPr="0087105C" w:rsidRDefault="00BA56EA" w:rsidP="00F67A2D">
      <w:pPr>
        <w:pStyle w:val="Heading3"/>
        <w:ind w:left="720" w:hanging="720"/>
        <w:jc w:val="both"/>
        <w:rPr>
          <w:lang w:val="en-US"/>
        </w:rPr>
      </w:pPr>
      <w:r w:rsidRPr="0087105C">
        <w:rPr>
          <w:lang w:val="en-US"/>
        </w:rPr>
        <w:t>3</w:t>
      </w:r>
      <w:r>
        <w:rPr>
          <w:lang w:val="en-US"/>
        </w:rPr>
        <w:t>.2</w:t>
      </w:r>
      <w:r w:rsidRPr="0087105C">
        <w:rPr>
          <w:lang w:val="en-US"/>
        </w:rPr>
        <w:tab/>
        <w:t>Data collection platforms in the 401-403 MHz band</w:t>
      </w:r>
    </w:p>
    <w:p w:rsidR="00BA56EA" w:rsidRDefault="008F2FFE" w:rsidP="00F67A2D">
      <w:pPr>
        <w:jc w:val="both"/>
      </w:pPr>
      <w:r>
        <w:t>Two new ITU-R Recommendations are in force since December 2013 for the band 401 – 403 MHz</w:t>
      </w:r>
      <w:r w:rsidR="00BA56EA">
        <w:t xml:space="preserve">: </w:t>
      </w:r>
    </w:p>
    <w:p w:rsidR="00BA56EA" w:rsidRPr="001C7994" w:rsidRDefault="00BA56EA" w:rsidP="00F67A2D">
      <w:pPr>
        <w:numPr>
          <w:ilvl w:val="0"/>
          <w:numId w:val="1"/>
        </w:numPr>
        <w:tabs>
          <w:tab w:val="left" w:pos="-840"/>
        </w:tabs>
        <w:overflowPunct w:val="0"/>
        <w:autoSpaceDE w:val="0"/>
        <w:autoSpaceDN w:val="0"/>
        <w:adjustRightInd w:val="0"/>
        <w:spacing w:before="120" w:beforeAutospacing="0" w:after="0" w:afterAutospacing="0"/>
        <w:ind w:left="1320" w:hanging="600"/>
        <w:jc w:val="both"/>
        <w:textAlignment w:val="baseline"/>
        <w:rPr>
          <w:lang w:eastAsia="zh-CN"/>
        </w:rPr>
      </w:pPr>
      <w:r>
        <w:rPr>
          <w:lang w:eastAsia="zh-CN"/>
        </w:rPr>
        <w:t>ITU-R SA.</w:t>
      </w:r>
      <w:r w:rsidR="008F2FFE">
        <w:rPr>
          <w:lang w:eastAsia="zh-CN"/>
        </w:rPr>
        <w:t>2044</w:t>
      </w:r>
      <w:r w:rsidRPr="001C7994">
        <w:rPr>
          <w:lang w:eastAsia="zh-CN"/>
        </w:rPr>
        <w:t xml:space="preserve"> </w:t>
      </w:r>
      <w:r w:rsidRPr="0087105C">
        <w:t>“</w:t>
      </w:r>
      <w:r w:rsidRPr="0087105C">
        <w:rPr>
          <w:lang w:eastAsia="zh-CN"/>
        </w:rPr>
        <w:t xml:space="preserve">Protection criteria for non-GSO data collection platforms in </w:t>
      </w:r>
      <w:r w:rsidRPr="0087105C">
        <w:t>the</w:t>
      </w:r>
      <w:r w:rsidRPr="0087105C">
        <w:rPr>
          <w:lang w:eastAsia="zh-CN"/>
        </w:rPr>
        <w:t xml:space="preserve"> band 401-403 MHz</w:t>
      </w:r>
      <w:r w:rsidRPr="0087105C">
        <w:t>”</w:t>
      </w:r>
      <w:r w:rsidR="008F2FFE">
        <w:t>;</w:t>
      </w:r>
    </w:p>
    <w:p w:rsidR="00BA56EA" w:rsidRPr="0087105C" w:rsidRDefault="00BA56EA" w:rsidP="00F67A2D">
      <w:pPr>
        <w:numPr>
          <w:ilvl w:val="0"/>
          <w:numId w:val="1"/>
        </w:numPr>
        <w:tabs>
          <w:tab w:val="left" w:pos="-840"/>
        </w:tabs>
        <w:overflowPunct w:val="0"/>
        <w:autoSpaceDE w:val="0"/>
        <w:autoSpaceDN w:val="0"/>
        <w:adjustRightInd w:val="0"/>
        <w:spacing w:before="120" w:beforeAutospacing="0" w:after="0" w:afterAutospacing="0"/>
        <w:ind w:left="1320" w:hanging="600"/>
        <w:jc w:val="both"/>
        <w:textAlignment w:val="baseline"/>
        <w:rPr>
          <w:lang w:eastAsia="zh-CN"/>
        </w:rPr>
      </w:pPr>
      <w:r>
        <w:rPr>
          <w:lang w:eastAsia="zh-CN"/>
        </w:rPr>
        <w:t>ITU-R SA.</w:t>
      </w:r>
      <w:r w:rsidR="008F2FFE">
        <w:rPr>
          <w:lang w:eastAsia="zh-CN"/>
        </w:rPr>
        <w:t>2045</w:t>
      </w:r>
      <w:r w:rsidRPr="001C7994">
        <w:rPr>
          <w:lang w:eastAsia="zh-CN"/>
        </w:rPr>
        <w:t xml:space="preserve"> </w:t>
      </w:r>
      <w:r w:rsidRPr="0087105C">
        <w:t>“</w:t>
      </w:r>
      <w:r w:rsidRPr="0087105C">
        <w:rPr>
          <w:snapToGrid w:val="0"/>
        </w:rPr>
        <w:t>Basic general partitioning and sharing conditions for the band 401-403 MHz for future long-term coordinated use of data collection systems on geostationary and non-geostat</w:t>
      </w:r>
      <w:r w:rsidR="003211CA">
        <w:rPr>
          <w:snapToGrid w:val="0"/>
        </w:rPr>
        <w:t xml:space="preserve">ionary </w:t>
      </w:r>
      <w:proofErr w:type="spellStart"/>
      <w:r w:rsidR="003211CA">
        <w:rPr>
          <w:snapToGrid w:val="0"/>
        </w:rPr>
        <w:t>MetSat</w:t>
      </w:r>
      <w:proofErr w:type="spellEnd"/>
      <w:r>
        <w:rPr>
          <w:snapToGrid w:val="0"/>
        </w:rPr>
        <w:t xml:space="preserve"> and EESS systems”</w:t>
      </w:r>
      <w:r w:rsidR="008F2FFE">
        <w:rPr>
          <w:snapToGrid w:val="0"/>
        </w:rPr>
        <w:t>.</w:t>
      </w:r>
      <w:r>
        <w:rPr>
          <w:snapToGrid w:val="0"/>
        </w:rPr>
        <w:t xml:space="preserve">  </w:t>
      </w:r>
    </w:p>
    <w:p w:rsidR="008F2FFE" w:rsidRDefault="008F2FFE" w:rsidP="00F67A2D">
      <w:pPr>
        <w:autoSpaceDE w:val="0"/>
        <w:autoSpaceDN w:val="0"/>
        <w:adjustRightInd w:val="0"/>
        <w:spacing w:before="0" w:beforeAutospacing="0" w:after="0" w:afterAutospacing="0"/>
        <w:ind w:left="360"/>
        <w:jc w:val="both"/>
      </w:pPr>
    </w:p>
    <w:p w:rsidR="008F2FFE" w:rsidRDefault="008F2FFE" w:rsidP="00F67A2D">
      <w:pPr>
        <w:autoSpaceDE w:val="0"/>
        <w:autoSpaceDN w:val="0"/>
        <w:adjustRightInd w:val="0"/>
        <w:spacing w:before="0" w:beforeAutospacing="0" w:after="0" w:afterAutospacing="0"/>
        <w:ind w:left="360"/>
        <w:jc w:val="both"/>
      </w:pPr>
    </w:p>
    <w:p w:rsidR="00B13027" w:rsidRDefault="00334FF7" w:rsidP="00334FF7">
      <w:pPr>
        <w:autoSpaceDE w:val="0"/>
        <w:autoSpaceDN w:val="0"/>
        <w:adjustRightInd w:val="0"/>
        <w:spacing w:before="0" w:beforeAutospacing="0" w:after="0" w:afterAutospacing="0"/>
        <w:ind w:left="360"/>
        <w:jc w:val="center"/>
      </w:pPr>
      <w:r>
        <w:t>_________</w:t>
      </w:r>
    </w:p>
    <w:sectPr w:rsidR="00B13027" w:rsidSect="00167708">
      <w:headerReference w:type="default" r:id="rId11"/>
      <w:footnotePr>
        <w:numFmt w:val="chicago"/>
      </w:footnotePr>
      <w:pgSz w:w="11907" w:h="16840"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BA9" w:rsidRDefault="003F0BA9" w:rsidP="007A73F8">
      <w:pPr>
        <w:spacing w:before="0" w:after="0"/>
      </w:pPr>
      <w:r>
        <w:separator/>
      </w:r>
    </w:p>
  </w:endnote>
  <w:endnote w:type="continuationSeparator" w:id="0">
    <w:p w:rsidR="003F0BA9" w:rsidRDefault="003F0BA9"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BA9" w:rsidRDefault="003F0BA9" w:rsidP="007A73F8">
      <w:pPr>
        <w:spacing w:before="0" w:after="0"/>
      </w:pPr>
      <w:r>
        <w:separator/>
      </w:r>
    </w:p>
  </w:footnote>
  <w:footnote w:type="continuationSeparator" w:id="0">
    <w:p w:rsidR="003F0BA9" w:rsidRDefault="003F0BA9" w:rsidP="007A73F8">
      <w:pPr>
        <w:spacing w:before="0" w:after="0"/>
      </w:pPr>
      <w:r>
        <w:continuationSeparator/>
      </w:r>
    </w:p>
  </w:footnote>
  <w:footnote w:id="1">
    <w:p w:rsidR="00573700" w:rsidRDefault="00573700">
      <w:pPr>
        <w:pStyle w:val="FootnoteText"/>
      </w:pPr>
      <w:r>
        <w:rPr>
          <w:rStyle w:val="FootnoteReference"/>
        </w:rPr>
        <w:t>*</w:t>
      </w:r>
      <w:r>
        <w:t xml:space="preserve"> If restricted access is selected the WMO Document will only be accessible to the WMO WIKI registered users.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700" w:rsidRPr="009C443D" w:rsidRDefault="00573700" w:rsidP="009C443D">
    <w:pPr>
      <w:pStyle w:val="Header"/>
      <w:spacing w:beforeAutospacing="0" w:afterAutospacing="0"/>
      <w:jc w:val="center"/>
      <w:rPr>
        <w:rStyle w:val="PageNumber"/>
        <w:sz w:val="18"/>
        <w:szCs w:val="18"/>
      </w:rPr>
    </w:pPr>
    <w:r w:rsidRPr="009C443D">
      <w:rPr>
        <w:sz w:val="18"/>
        <w:szCs w:val="18"/>
      </w:rPr>
      <w:t xml:space="preserve">- </w:t>
    </w:r>
    <w:r w:rsidRPr="009C443D">
      <w:rPr>
        <w:rStyle w:val="PageNumber"/>
        <w:sz w:val="18"/>
        <w:szCs w:val="18"/>
      </w:rPr>
      <w:fldChar w:fldCharType="begin"/>
    </w:r>
    <w:r w:rsidRPr="009C443D">
      <w:rPr>
        <w:rStyle w:val="PageNumber"/>
        <w:sz w:val="18"/>
        <w:szCs w:val="18"/>
      </w:rPr>
      <w:instrText xml:space="preserve"> PAGE </w:instrText>
    </w:r>
    <w:r w:rsidRPr="009C443D">
      <w:rPr>
        <w:rStyle w:val="PageNumber"/>
        <w:sz w:val="18"/>
        <w:szCs w:val="18"/>
      </w:rPr>
      <w:fldChar w:fldCharType="separate"/>
    </w:r>
    <w:r w:rsidR="004203F9">
      <w:rPr>
        <w:rStyle w:val="PageNumber"/>
        <w:noProof/>
        <w:sz w:val="18"/>
        <w:szCs w:val="18"/>
      </w:rPr>
      <w:t>2</w:t>
    </w:r>
    <w:r w:rsidRPr="009C443D">
      <w:rPr>
        <w:rStyle w:val="PageNumber"/>
        <w:sz w:val="18"/>
        <w:szCs w:val="18"/>
      </w:rPr>
      <w:fldChar w:fldCharType="end"/>
    </w:r>
    <w:r w:rsidRPr="009C443D">
      <w:rPr>
        <w:rStyle w:val="PageNumber"/>
        <w:sz w:val="18"/>
        <w:szCs w:val="18"/>
      </w:rPr>
      <w:t xml:space="preserve"> -</w:t>
    </w:r>
  </w:p>
  <w:p w:rsidR="00573700" w:rsidRDefault="00573700" w:rsidP="009C443D">
    <w:pPr>
      <w:pStyle w:val="Header"/>
      <w:spacing w:beforeAutospacing="0" w:afterAutospacing="0"/>
      <w:jc w:val="center"/>
      <w:rPr>
        <w:sz w:val="18"/>
        <w:szCs w:val="18"/>
      </w:rPr>
    </w:pPr>
    <w:r>
      <w:rPr>
        <w:sz w:val="18"/>
        <w:szCs w:val="18"/>
      </w:rPr>
      <w:t>SG-RFC/201</w:t>
    </w:r>
    <w:r w:rsidR="004203F9">
      <w:rPr>
        <w:sz w:val="18"/>
        <w:szCs w:val="18"/>
        <w:lang w:val="fr-CH"/>
      </w:rPr>
      <w:t>4</w:t>
    </w:r>
    <w:r>
      <w:rPr>
        <w:sz w:val="18"/>
        <w:szCs w:val="18"/>
      </w:rPr>
      <w:t>-1-</w:t>
    </w:r>
    <w:r w:rsidR="004203F9">
      <w:rPr>
        <w:sz w:val="18"/>
        <w:szCs w:val="18"/>
        <w:lang w:val="fr-CH"/>
      </w:rPr>
      <w:t>19</w:t>
    </w:r>
    <w:r>
      <w:rPr>
        <w:sz w:val="18"/>
        <w:szCs w:val="18"/>
      </w:rPr>
      <w:t>.</w:t>
    </w:r>
    <w:r w:rsidRPr="009C443D">
      <w:rPr>
        <w:sz w:val="18"/>
        <w:szCs w:val="18"/>
      </w:rPr>
      <w:t>-E</w:t>
    </w:r>
  </w:p>
  <w:p w:rsidR="00573700" w:rsidRPr="009C443D" w:rsidRDefault="00573700" w:rsidP="009C443D">
    <w:pPr>
      <w:pStyle w:val="Header"/>
      <w:spacing w:beforeAutospacing="0" w:afterAutospacing="0"/>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C7F92"/>
    <w:multiLevelType w:val="hybridMultilevel"/>
    <w:tmpl w:val="B61E2A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3776AE8"/>
    <w:multiLevelType w:val="hybridMultilevel"/>
    <w:tmpl w:val="42B802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5E4017FD"/>
    <w:multiLevelType w:val="hybridMultilevel"/>
    <w:tmpl w:val="F1CEEDBA"/>
    <w:lvl w:ilvl="0" w:tplc="08090001">
      <w:start w:val="1"/>
      <w:numFmt w:val="bullet"/>
      <w:lvlText w:val=""/>
      <w:lvlJc w:val="left"/>
      <w:pPr>
        <w:ind w:left="921" w:hanging="360"/>
      </w:pPr>
      <w:rPr>
        <w:rFonts w:ascii="Symbol" w:hAnsi="Symbol" w:hint="default"/>
      </w:rPr>
    </w:lvl>
    <w:lvl w:ilvl="1" w:tplc="08090003" w:tentative="1">
      <w:start w:val="1"/>
      <w:numFmt w:val="bullet"/>
      <w:lvlText w:val="o"/>
      <w:lvlJc w:val="left"/>
      <w:pPr>
        <w:ind w:left="1641" w:hanging="360"/>
      </w:pPr>
      <w:rPr>
        <w:rFonts w:ascii="Courier New" w:hAnsi="Courier New" w:cs="Courier New" w:hint="default"/>
      </w:rPr>
    </w:lvl>
    <w:lvl w:ilvl="2" w:tplc="08090005" w:tentative="1">
      <w:start w:val="1"/>
      <w:numFmt w:val="bullet"/>
      <w:lvlText w:val=""/>
      <w:lvlJc w:val="left"/>
      <w:pPr>
        <w:ind w:left="2361" w:hanging="360"/>
      </w:pPr>
      <w:rPr>
        <w:rFonts w:ascii="Wingdings" w:hAnsi="Wingdings" w:hint="default"/>
      </w:rPr>
    </w:lvl>
    <w:lvl w:ilvl="3" w:tplc="08090001" w:tentative="1">
      <w:start w:val="1"/>
      <w:numFmt w:val="bullet"/>
      <w:lvlText w:val=""/>
      <w:lvlJc w:val="left"/>
      <w:pPr>
        <w:ind w:left="3081" w:hanging="360"/>
      </w:pPr>
      <w:rPr>
        <w:rFonts w:ascii="Symbol" w:hAnsi="Symbol" w:hint="default"/>
      </w:rPr>
    </w:lvl>
    <w:lvl w:ilvl="4" w:tplc="08090003" w:tentative="1">
      <w:start w:val="1"/>
      <w:numFmt w:val="bullet"/>
      <w:lvlText w:val="o"/>
      <w:lvlJc w:val="left"/>
      <w:pPr>
        <w:ind w:left="3801" w:hanging="360"/>
      </w:pPr>
      <w:rPr>
        <w:rFonts w:ascii="Courier New" w:hAnsi="Courier New" w:cs="Courier New" w:hint="default"/>
      </w:rPr>
    </w:lvl>
    <w:lvl w:ilvl="5" w:tplc="08090005" w:tentative="1">
      <w:start w:val="1"/>
      <w:numFmt w:val="bullet"/>
      <w:lvlText w:val=""/>
      <w:lvlJc w:val="left"/>
      <w:pPr>
        <w:ind w:left="4521" w:hanging="360"/>
      </w:pPr>
      <w:rPr>
        <w:rFonts w:ascii="Wingdings" w:hAnsi="Wingdings" w:hint="default"/>
      </w:rPr>
    </w:lvl>
    <w:lvl w:ilvl="6" w:tplc="08090001" w:tentative="1">
      <w:start w:val="1"/>
      <w:numFmt w:val="bullet"/>
      <w:lvlText w:val=""/>
      <w:lvlJc w:val="left"/>
      <w:pPr>
        <w:ind w:left="5241" w:hanging="360"/>
      </w:pPr>
      <w:rPr>
        <w:rFonts w:ascii="Symbol" w:hAnsi="Symbol" w:hint="default"/>
      </w:rPr>
    </w:lvl>
    <w:lvl w:ilvl="7" w:tplc="08090003" w:tentative="1">
      <w:start w:val="1"/>
      <w:numFmt w:val="bullet"/>
      <w:lvlText w:val="o"/>
      <w:lvlJc w:val="left"/>
      <w:pPr>
        <w:ind w:left="5961" w:hanging="360"/>
      </w:pPr>
      <w:rPr>
        <w:rFonts w:ascii="Courier New" w:hAnsi="Courier New" w:cs="Courier New" w:hint="default"/>
      </w:rPr>
    </w:lvl>
    <w:lvl w:ilvl="8" w:tplc="08090005" w:tentative="1">
      <w:start w:val="1"/>
      <w:numFmt w:val="bullet"/>
      <w:lvlText w:val=""/>
      <w:lvlJc w:val="left"/>
      <w:pPr>
        <w:ind w:left="6681" w:hanging="360"/>
      </w:pPr>
      <w:rPr>
        <w:rFonts w:ascii="Wingdings" w:hAnsi="Wingdings" w:hint="default"/>
      </w:rPr>
    </w:lvl>
  </w:abstractNum>
  <w:abstractNum w:abstractNumId="3">
    <w:nsid w:val="61D14E42"/>
    <w:multiLevelType w:val="hybridMultilevel"/>
    <w:tmpl w:val="1BF26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EA2124C"/>
    <w:multiLevelType w:val="hybridMultilevel"/>
    <w:tmpl w:val="5B4A9C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781F7E53"/>
    <w:multiLevelType w:val="hybridMultilevel"/>
    <w:tmpl w:val="1BC6E8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2"/>
  </w:num>
  <w:num w:numId="3">
    <w:abstractNumId w:val="0"/>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20"/>
  <w:displayHorizontalDrawingGridEvery w:val="2"/>
  <w:characterSpacingControl w:val="doNotCompress"/>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12B14"/>
    <w:rsid w:val="000309C2"/>
    <w:rsid w:val="000309FF"/>
    <w:rsid w:val="0004008D"/>
    <w:rsid w:val="000757E9"/>
    <w:rsid w:val="00082081"/>
    <w:rsid w:val="00082939"/>
    <w:rsid w:val="000979EA"/>
    <w:rsid w:val="000A42FF"/>
    <w:rsid w:val="000A504D"/>
    <w:rsid w:val="000C20A4"/>
    <w:rsid w:val="000E608D"/>
    <w:rsid w:val="00102305"/>
    <w:rsid w:val="00102EAE"/>
    <w:rsid w:val="00107650"/>
    <w:rsid w:val="00113766"/>
    <w:rsid w:val="0014262E"/>
    <w:rsid w:val="00145814"/>
    <w:rsid w:val="00167708"/>
    <w:rsid w:val="00185160"/>
    <w:rsid w:val="0018521E"/>
    <w:rsid w:val="001B2071"/>
    <w:rsid w:val="001B25A7"/>
    <w:rsid w:val="00204A4D"/>
    <w:rsid w:val="00210BBC"/>
    <w:rsid w:val="00272497"/>
    <w:rsid w:val="0027433C"/>
    <w:rsid w:val="00277FCC"/>
    <w:rsid w:val="002834A8"/>
    <w:rsid w:val="002A1626"/>
    <w:rsid w:val="002A6E93"/>
    <w:rsid w:val="002B2381"/>
    <w:rsid w:val="002D2CE3"/>
    <w:rsid w:val="002D6DD8"/>
    <w:rsid w:val="002E18C0"/>
    <w:rsid w:val="002E6396"/>
    <w:rsid w:val="002F4192"/>
    <w:rsid w:val="00304706"/>
    <w:rsid w:val="003211CA"/>
    <w:rsid w:val="003226DF"/>
    <w:rsid w:val="00324381"/>
    <w:rsid w:val="00334FF7"/>
    <w:rsid w:val="00344376"/>
    <w:rsid w:val="00347E8E"/>
    <w:rsid w:val="0036338C"/>
    <w:rsid w:val="00365FAE"/>
    <w:rsid w:val="003A10B2"/>
    <w:rsid w:val="003A14AF"/>
    <w:rsid w:val="003F0BA9"/>
    <w:rsid w:val="004203F9"/>
    <w:rsid w:val="00422D26"/>
    <w:rsid w:val="0044117D"/>
    <w:rsid w:val="004514AC"/>
    <w:rsid w:val="00466E06"/>
    <w:rsid w:val="00477E34"/>
    <w:rsid w:val="004A0AD8"/>
    <w:rsid w:val="004B079A"/>
    <w:rsid w:val="004E7941"/>
    <w:rsid w:val="004F1FCB"/>
    <w:rsid w:val="004F7939"/>
    <w:rsid w:val="00510362"/>
    <w:rsid w:val="005317D4"/>
    <w:rsid w:val="0055404A"/>
    <w:rsid w:val="00562BF3"/>
    <w:rsid w:val="0057220B"/>
    <w:rsid w:val="00573700"/>
    <w:rsid w:val="00577D06"/>
    <w:rsid w:val="005A119D"/>
    <w:rsid w:val="005A5ABB"/>
    <w:rsid w:val="005B5FEE"/>
    <w:rsid w:val="005C1058"/>
    <w:rsid w:val="005F38B2"/>
    <w:rsid w:val="00604C1A"/>
    <w:rsid w:val="00613500"/>
    <w:rsid w:val="006237F8"/>
    <w:rsid w:val="00650278"/>
    <w:rsid w:val="00682FE9"/>
    <w:rsid w:val="00683FE2"/>
    <w:rsid w:val="006A4FF3"/>
    <w:rsid w:val="006B1BE2"/>
    <w:rsid w:val="006B4441"/>
    <w:rsid w:val="00701FDB"/>
    <w:rsid w:val="00713E61"/>
    <w:rsid w:val="00720DC9"/>
    <w:rsid w:val="00726F27"/>
    <w:rsid w:val="00776EFE"/>
    <w:rsid w:val="007777CB"/>
    <w:rsid w:val="00790387"/>
    <w:rsid w:val="007915AC"/>
    <w:rsid w:val="007A73F8"/>
    <w:rsid w:val="007A7EA5"/>
    <w:rsid w:val="007F3F87"/>
    <w:rsid w:val="008075D2"/>
    <w:rsid w:val="00812884"/>
    <w:rsid w:val="00820C6F"/>
    <w:rsid w:val="008276D1"/>
    <w:rsid w:val="00832FA4"/>
    <w:rsid w:val="00837960"/>
    <w:rsid w:val="0084266A"/>
    <w:rsid w:val="008674B1"/>
    <w:rsid w:val="00876393"/>
    <w:rsid w:val="00891B49"/>
    <w:rsid w:val="008D24C5"/>
    <w:rsid w:val="008F2FFE"/>
    <w:rsid w:val="008F7375"/>
    <w:rsid w:val="0093198A"/>
    <w:rsid w:val="00986876"/>
    <w:rsid w:val="00991D0C"/>
    <w:rsid w:val="009B1E04"/>
    <w:rsid w:val="009C443D"/>
    <w:rsid w:val="009E53C3"/>
    <w:rsid w:val="00A151D7"/>
    <w:rsid w:val="00A16C11"/>
    <w:rsid w:val="00A30EDB"/>
    <w:rsid w:val="00A409CB"/>
    <w:rsid w:val="00A530FD"/>
    <w:rsid w:val="00A80B44"/>
    <w:rsid w:val="00A90A0C"/>
    <w:rsid w:val="00A91A6F"/>
    <w:rsid w:val="00B01F1B"/>
    <w:rsid w:val="00B13027"/>
    <w:rsid w:val="00B13392"/>
    <w:rsid w:val="00B1454C"/>
    <w:rsid w:val="00B35CA8"/>
    <w:rsid w:val="00BA56EA"/>
    <w:rsid w:val="00BB1DA7"/>
    <w:rsid w:val="00BB2405"/>
    <w:rsid w:val="00BB65DE"/>
    <w:rsid w:val="00BC3021"/>
    <w:rsid w:val="00BD4B8A"/>
    <w:rsid w:val="00C07EDB"/>
    <w:rsid w:val="00C16CE1"/>
    <w:rsid w:val="00C34014"/>
    <w:rsid w:val="00CA0ED3"/>
    <w:rsid w:val="00CC0BD7"/>
    <w:rsid w:val="00CD31B3"/>
    <w:rsid w:val="00CE2A96"/>
    <w:rsid w:val="00D01EB3"/>
    <w:rsid w:val="00D027EB"/>
    <w:rsid w:val="00D13DDC"/>
    <w:rsid w:val="00D3227D"/>
    <w:rsid w:val="00D4200A"/>
    <w:rsid w:val="00D54EA4"/>
    <w:rsid w:val="00D911F5"/>
    <w:rsid w:val="00DB3F17"/>
    <w:rsid w:val="00DC1CA7"/>
    <w:rsid w:val="00DC310B"/>
    <w:rsid w:val="00DE5A6D"/>
    <w:rsid w:val="00E30F56"/>
    <w:rsid w:val="00E33512"/>
    <w:rsid w:val="00E51B91"/>
    <w:rsid w:val="00E6563A"/>
    <w:rsid w:val="00E83F2D"/>
    <w:rsid w:val="00E92931"/>
    <w:rsid w:val="00E95107"/>
    <w:rsid w:val="00EA7371"/>
    <w:rsid w:val="00F30103"/>
    <w:rsid w:val="00F67A2D"/>
    <w:rsid w:val="00F704A4"/>
    <w:rsid w:val="00FB7F60"/>
    <w:rsid w:val="00FD7ED5"/>
    <w:rsid w:val="00FF70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paragraph" w:styleId="Heading1">
    <w:name w:val="heading 1"/>
    <w:basedOn w:val="Normal"/>
    <w:next w:val="Normal"/>
    <w:qFormat/>
    <w:rsid w:val="00BB1DA7"/>
    <w:pPr>
      <w:keepNext/>
      <w:spacing w:before="240" w:after="60"/>
      <w:outlineLvl w:val="0"/>
    </w:pPr>
    <w:rPr>
      <w:rFonts w:ascii="Arial" w:hAnsi="Arial" w:cs="Arial"/>
      <w:b/>
      <w:bCs/>
      <w:kern w:val="32"/>
      <w:sz w:val="32"/>
      <w:szCs w:val="32"/>
    </w:rPr>
  </w:style>
  <w:style w:type="paragraph" w:styleId="Heading3">
    <w:name w:val="heading 3"/>
    <w:aliases w:val="sub 2"/>
    <w:basedOn w:val="Heading1"/>
    <w:next w:val="Normal"/>
    <w:link w:val="Heading3Char"/>
    <w:qFormat/>
    <w:rsid w:val="00BB1DA7"/>
    <w:pPr>
      <w:keepLines/>
      <w:tabs>
        <w:tab w:val="left" w:pos="1871"/>
        <w:tab w:val="left" w:pos="2268"/>
      </w:tabs>
      <w:overflowPunct w:val="0"/>
      <w:autoSpaceDE w:val="0"/>
      <w:autoSpaceDN w:val="0"/>
      <w:adjustRightInd w:val="0"/>
      <w:spacing w:before="200" w:beforeAutospacing="0" w:after="0" w:afterAutospacing="0"/>
      <w:ind w:left="1134" w:hanging="1134"/>
      <w:textAlignment w:val="baseline"/>
      <w:outlineLvl w:val="2"/>
    </w:pPr>
    <w:rPr>
      <w:rFonts w:ascii="Times New Roman" w:hAnsi="Times New Roman" w:cs="Times New Roman"/>
      <w:bCs w:val="0"/>
      <w:kern w:val="0"/>
      <w:sz w:val="24"/>
      <w:szCs w:val="2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rPr>
      <w:lang w:val="x-none" w:eastAsia="x-none"/>
    </w:r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rPr>
      <w:lang w:val="x-none" w:eastAsia="x-none"/>
    </w:r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rFonts w:ascii="Calibri" w:hAnsi="Calibri"/>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Calibri" w:hAnsi="Calibri"/>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832FA4"/>
    <w:rPr>
      <w:sz w:val="20"/>
      <w:szCs w:val="20"/>
    </w:rPr>
  </w:style>
  <w:style w:type="character" w:styleId="FootnoteReference">
    <w:name w:val="footnote reference"/>
    <w:semiHidden/>
    <w:rsid w:val="00832FA4"/>
    <w:rPr>
      <w:vertAlign w:val="superscript"/>
    </w:rPr>
  </w:style>
  <w:style w:type="paragraph" w:customStyle="1" w:styleId="enumlev1">
    <w:name w:val="enumlev1"/>
    <w:basedOn w:val="Normal"/>
    <w:link w:val="enumlev1Char"/>
    <w:rsid w:val="00BB1DA7"/>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pPr>
    <w:rPr>
      <w:lang w:val="en-GB"/>
    </w:rPr>
  </w:style>
  <w:style w:type="character" w:customStyle="1" w:styleId="enumlev1Char">
    <w:name w:val="enumlev1 Char"/>
    <w:basedOn w:val="DefaultParagraphFont"/>
    <w:link w:val="enumlev1"/>
    <w:locked/>
    <w:rsid w:val="00BB1DA7"/>
    <w:rPr>
      <w:rFonts w:eastAsia="Calibri"/>
      <w:sz w:val="24"/>
      <w:szCs w:val="24"/>
      <w:lang w:val="en-GB" w:eastAsia="en-US" w:bidi="ar-SA"/>
    </w:rPr>
  </w:style>
  <w:style w:type="character" w:customStyle="1" w:styleId="Heading3Char">
    <w:name w:val="Heading 3 Char"/>
    <w:aliases w:val="sub 2 Char"/>
    <w:basedOn w:val="DefaultParagraphFont"/>
    <w:link w:val="Heading3"/>
    <w:locked/>
    <w:rsid w:val="00BB1DA7"/>
    <w:rPr>
      <w:rFonts w:eastAsia="Calibri"/>
      <w:b/>
      <w:sz w:val="24"/>
      <w:szCs w:val="24"/>
      <w:lang w:val="en-GB" w:eastAsia="en-US" w:bidi="ar-SA"/>
    </w:rPr>
  </w:style>
  <w:style w:type="paragraph" w:customStyle="1" w:styleId="Texte">
    <w:name w:val="Texte"/>
    <w:basedOn w:val="Normal"/>
    <w:rsid w:val="00BB1DA7"/>
    <w:pPr>
      <w:spacing w:before="120" w:beforeAutospacing="0" w:after="0" w:afterAutospacing="0"/>
      <w:jc w:val="both"/>
    </w:pPr>
    <w:rPr>
      <w:rFonts w:eastAsia="Times New Roman"/>
      <w:bCs/>
      <w:lang w:val="en-GB" w:eastAsia="fr-FR"/>
    </w:rPr>
  </w:style>
  <w:style w:type="character" w:customStyle="1" w:styleId="FootnoteTextChar">
    <w:name w:val="Footnote Text Char"/>
    <w:basedOn w:val="DefaultParagraphFont"/>
    <w:link w:val="FootnoteText"/>
    <w:semiHidden/>
    <w:rsid w:val="00A91A6F"/>
    <w:rPr>
      <w:rFonts w:ascii="Times New Roman" w:hAnsi="Times New Roman"/>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paragraph" w:styleId="Heading1">
    <w:name w:val="heading 1"/>
    <w:basedOn w:val="Normal"/>
    <w:next w:val="Normal"/>
    <w:qFormat/>
    <w:rsid w:val="00BB1DA7"/>
    <w:pPr>
      <w:keepNext/>
      <w:spacing w:before="240" w:after="60"/>
      <w:outlineLvl w:val="0"/>
    </w:pPr>
    <w:rPr>
      <w:rFonts w:ascii="Arial" w:hAnsi="Arial" w:cs="Arial"/>
      <w:b/>
      <w:bCs/>
      <w:kern w:val="32"/>
      <w:sz w:val="32"/>
      <w:szCs w:val="32"/>
    </w:rPr>
  </w:style>
  <w:style w:type="paragraph" w:styleId="Heading3">
    <w:name w:val="heading 3"/>
    <w:aliases w:val="sub 2"/>
    <w:basedOn w:val="Heading1"/>
    <w:next w:val="Normal"/>
    <w:link w:val="Heading3Char"/>
    <w:qFormat/>
    <w:rsid w:val="00BB1DA7"/>
    <w:pPr>
      <w:keepLines/>
      <w:tabs>
        <w:tab w:val="left" w:pos="1871"/>
        <w:tab w:val="left" w:pos="2268"/>
      </w:tabs>
      <w:overflowPunct w:val="0"/>
      <w:autoSpaceDE w:val="0"/>
      <w:autoSpaceDN w:val="0"/>
      <w:adjustRightInd w:val="0"/>
      <w:spacing w:before="200" w:beforeAutospacing="0" w:after="0" w:afterAutospacing="0"/>
      <w:ind w:left="1134" w:hanging="1134"/>
      <w:textAlignment w:val="baseline"/>
      <w:outlineLvl w:val="2"/>
    </w:pPr>
    <w:rPr>
      <w:rFonts w:ascii="Times New Roman" w:hAnsi="Times New Roman" w:cs="Times New Roman"/>
      <w:bCs w:val="0"/>
      <w:kern w:val="0"/>
      <w:sz w:val="24"/>
      <w:szCs w:val="2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rPr>
      <w:lang w:val="x-none" w:eastAsia="x-none"/>
    </w:r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rPr>
      <w:lang w:val="x-none" w:eastAsia="x-none"/>
    </w:r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rFonts w:ascii="Calibri" w:hAnsi="Calibri"/>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Calibri" w:hAnsi="Calibri"/>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832FA4"/>
    <w:rPr>
      <w:sz w:val="20"/>
      <w:szCs w:val="20"/>
    </w:rPr>
  </w:style>
  <w:style w:type="character" w:styleId="FootnoteReference">
    <w:name w:val="footnote reference"/>
    <w:semiHidden/>
    <w:rsid w:val="00832FA4"/>
    <w:rPr>
      <w:vertAlign w:val="superscript"/>
    </w:rPr>
  </w:style>
  <w:style w:type="paragraph" w:customStyle="1" w:styleId="enumlev1">
    <w:name w:val="enumlev1"/>
    <w:basedOn w:val="Normal"/>
    <w:link w:val="enumlev1Char"/>
    <w:rsid w:val="00BB1DA7"/>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pPr>
    <w:rPr>
      <w:lang w:val="en-GB"/>
    </w:rPr>
  </w:style>
  <w:style w:type="character" w:customStyle="1" w:styleId="enumlev1Char">
    <w:name w:val="enumlev1 Char"/>
    <w:basedOn w:val="DefaultParagraphFont"/>
    <w:link w:val="enumlev1"/>
    <w:locked/>
    <w:rsid w:val="00BB1DA7"/>
    <w:rPr>
      <w:rFonts w:eastAsia="Calibri"/>
      <w:sz w:val="24"/>
      <w:szCs w:val="24"/>
      <w:lang w:val="en-GB" w:eastAsia="en-US" w:bidi="ar-SA"/>
    </w:rPr>
  </w:style>
  <w:style w:type="character" w:customStyle="1" w:styleId="Heading3Char">
    <w:name w:val="Heading 3 Char"/>
    <w:aliases w:val="sub 2 Char"/>
    <w:basedOn w:val="DefaultParagraphFont"/>
    <w:link w:val="Heading3"/>
    <w:locked/>
    <w:rsid w:val="00BB1DA7"/>
    <w:rPr>
      <w:rFonts w:eastAsia="Calibri"/>
      <w:b/>
      <w:sz w:val="24"/>
      <w:szCs w:val="24"/>
      <w:lang w:val="en-GB" w:eastAsia="en-US" w:bidi="ar-SA"/>
    </w:rPr>
  </w:style>
  <w:style w:type="paragraph" w:customStyle="1" w:styleId="Texte">
    <w:name w:val="Texte"/>
    <w:basedOn w:val="Normal"/>
    <w:rsid w:val="00BB1DA7"/>
    <w:pPr>
      <w:spacing w:before="120" w:beforeAutospacing="0" w:after="0" w:afterAutospacing="0"/>
      <w:jc w:val="both"/>
    </w:pPr>
    <w:rPr>
      <w:rFonts w:eastAsia="Times New Roman"/>
      <w:bCs/>
      <w:lang w:val="en-GB" w:eastAsia="fr-FR"/>
    </w:rPr>
  </w:style>
  <w:style w:type="character" w:customStyle="1" w:styleId="FootnoteTextChar">
    <w:name w:val="Footnote Text Char"/>
    <w:basedOn w:val="DefaultParagraphFont"/>
    <w:link w:val="FootnoteText"/>
    <w:semiHidden/>
    <w:rsid w:val="00A91A6F"/>
    <w:rPr>
      <w:rFonts w:ascii="Times New Roman" w:hAnsi="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itu.int/rec/R-REC-SA.1154/en" TargetMode="Externa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B336F3D4.dotm</Template>
  <TotalTime>1</TotalTime>
  <Pages>8</Pages>
  <Words>3286</Words>
  <Characters>18536</Characters>
  <Application>Microsoft Office Word</Application>
  <DocSecurity>0</DocSecurity>
  <Lines>303</Lines>
  <Paragraphs>27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Report_on_EESS_(active)_Issues</vt:lpstr>
      <vt:lpstr>Report_on_EESS_(active)_Issues</vt:lpstr>
    </vt:vector>
  </TitlesOfParts>
  <Company>WMO</Company>
  <LinksUpToDate>false</LinksUpToDate>
  <CharactersWithSpaces>21795</CharactersWithSpaces>
  <SharedDoc>false</SharedDoc>
  <HLinks>
    <vt:vector size="6" baseType="variant">
      <vt:variant>
        <vt:i4>6619182</vt:i4>
      </vt:variant>
      <vt:variant>
        <vt:i4>3</vt:i4>
      </vt:variant>
      <vt:variant>
        <vt:i4>0</vt:i4>
      </vt:variant>
      <vt:variant>
        <vt:i4>5</vt:i4>
      </vt:variant>
      <vt:variant>
        <vt:lpwstr>http://www.itu.int/rec/R-REC-SA.1154/en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SG-RFC 2014 document</dc:title>
  <dc:subject>Report_on_MMetsat &amp; EESS_(passive) Issues</dc:subject>
  <dc:creator>Markus Dries</dc:creator>
  <cp:lastModifiedBy>David Thomas</cp:lastModifiedBy>
  <cp:revision>2</cp:revision>
  <cp:lastPrinted>2012-10-22T16:15:00Z</cp:lastPrinted>
  <dcterms:created xsi:type="dcterms:W3CDTF">2014-03-05T10:51:00Z</dcterms:created>
  <dcterms:modified xsi:type="dcterms:W3CDTF">2014-03-05T10:51:00Z</dcterms:modified>
</cp:coreProperties>
</file>