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D79" w:rsidRDefault="00203D79" w:rsidP="00F8649F">
      <w:pPr>
        <w:pStyle w:val="Heading1"/>
      </w:pPr>
      <w:bookmarkStart w:id="0" w:name="_GoBack"/>
      <w:bookmarkEnd w:id="0"/>
      <w:r>
        <w:t>Set of Metadata management proposal</w:t>
      </w:r>
    </w:p>
    <w:p w:rsidR="00203D79" w:rsidRPr="009526C0" w:rsidRDefault="00203D79" w:rsidP="00343D40">
      <w:pPr>
        <w:pStyle w:val="Heading2"/>
      </w:pPr>
      <w:r>
        <w:t>Metadata management services</w:t>
      </w:r>
    </w:p>
    <w:p w:rsidR="00203D79" w:rsidRDefault="00203D79" w:rsidP="00B036CD">
      <w:r w:rsidRPr="00414CA4">
        <w:rPr>
          <w:rStyle w:val="Heading3Char"/>
        </w:rPr>
        <w:t>1 Current status</w:t>
      </w:r>
      <w:r w:rsidRPr="00343D40">
        <w:rPr>
          <w:rFonts w:ascii="Cambria" w:eastAsia="SimSun" w:hAnsi="Cambria"/>
          <w:color w:val="4F81BD"/>
          <w:sz w:val="26"/>
          <w:szCs w:val="26"/>
        </w:rPr>
        <w:t xml:space="preserve"> </w:t>
      </w:r>
      <w:r w:rsidRPr="00343D40">
        <w:rPr>
          <w:rFonts w:ascii="Cambria" w:eastAsia="SimSun" w:hAnsi="Cambria"/>
          <w:color w:val="4F81BD"/>
          <w:sz w:val="26"/>
          <w:szCs w:val="26"/>
        </w:rPr>
        <w:br/>
      </w:r>
      <w:r>
        <w:t>Metadata is a file describing a set of data. It must respond to multiple standards. Its most common formalism is XML.</w:t>
      </w:r>
      <w:r>
        <w:br/>
        <w:t>We remember that there is the notion of set. A set is a container of several metadata grouped by "affinity".</w:t>
      </w:r>
      <w:r>
        <w:br/>
        <w:t>Metadata are discovering through a GISC, entities grouping comprehensively is a sets of metadata.</w:t>
      </w:r>
      <w:r>
        <w:br/>
        <w:t>Each metadata producer (DCPC or NC) is attached to a GISC.</w:t>
      </w:r>
      <w:r>
        <w:br/>
        <w:t>The catalog is the union of sets from each GISC. By definition, it is unique and therefore the same regardless of the GISC. The GISC synchronize them through a mechanism called harvesting.</w:t>
      </w:r>
      <w:r>
        <w:br/>
        <w:t>This document describes the different ways to organize sets of metadata for the WIS.</w:t>
      </w:r>
    </w:p>
    <w:p w:rsidR="00203D79" w:rsidRDefault="00203D79" w:rsidP="00B036CD">
      <w:r>
        <w:t xml:space="preserve">In annex:  sets available on the different GISC </w:t>
      </w:r>
      <w:r>
        <w:br/>
      </w:r>
    </w:p>
    <w:p w:rsidR="00203D79" w:rsidRDefault="00203D79" w:rsidP="00B036CD"/>
    <w:p w:rsidR="00203D79" w:rsidRDefault="00203D79" w:rsidP="00B036CD"/>
    <w:p w:rsidR="00203D79" w:rsidRDefault="00203D79" w:rsidP="00B036CD"/>
    <w:p w:rsidR="00203D79" w:rsidRDefault="00203D79" w:rsidP="00B036CD"/>
    <w:p w:rsidR="00203D79" w:rsidRDefault="00203D79" w:rsidP="00B036CD"/>
    <w:p w:rsidR="00203D79" w:rsidRDefault="00203D79" w:rsidP="00B036CD"/>
    <w:p w:rsidR="00203D79" w:rsidRDefault="00203D79" w:rsidP="00B036CD"/>
    <w:p w:rsidR="00203D79" w:rsidRDefault="00203D79" w:rsidP="00B036CD"/>
    <w:p w:rsidR="00203D79" w:rsidRDefault="00203D79" w:rsidP="00B036CD"/>
    <w:p w:rsidR="00203D79" w:rsidRDefault="00203D79" w:rsidP="00B036CD"/>
    <w:p w:rsidR="00203D79" w:rsidRDefault="00203D79" w:rsidP="00B036CD">
      <w:r w:rsidRPr="00414CA4">
        <w:rPr>
          <w:rStyle w:val="Heading3Char"/>
          <w:b w:val="0"/>
          <w:bCs w:val="0"/>
        </w:rPr>
        <w:t>2 Different organization possibilities for the sets</w:t>
      </w:r>
      <w:r>
        <w:t xml:space="preserve"> </w:t>
      </w:r>
      <w:r>
        <w:br/>
      </w:r>
      <w:r w:rsidRPr="00414CA4">
        <w:rPr>
          <w:rStyle w:val="Heading3Char"/>
        </w:rPr>
        <w:t xml:space="preserve">2.1 </w:t>
      </w:r>
      <w:proofErr w:type="gramStart"/>
      <w:r w:rsidRPr="00414CA4">
        <w:rPr>
          <w:rStyle w:val="Heading3Char"/>
        </w:rPr>
        <w:t>One</w:t>
      </w:r>
      <w:proofErr w:type="gramEnd"/>
      <w:r w:rsidRPr="00414CA4">
        <w:rPr>
          <w:rStyle w:val="Heading3Char"/>
        </w:rPr>
        <w:t xml:space="preserve"> set by GISC (Current status)</w:t>
      </w:r>
      <w:r w:rsidRPr="00CB508D">
        <w:rPr>
          <w:rFonts w:ascii="Cambria" w:eastAsia="SimSun" w:hAnsi="Cambria"/>
          <w:iCs/>
          <w:color w:val="4F81BD"/>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7124"/>
      </w:tblGrid>
      <w:tr w:rsidR="00203D79" w:rsidTr="00E21D5F">
        <w:tc>
          <w:tcPr>
            <w:tcW w:w="2088" w:type="dxa"/>
          </w:tcPr>
          <w:p w:rsidR="00203D79" w:rsidRPr="00E21D5F" w:rsidRDefault="000A30E2" w:rsidP="0058171F">
            <w:pPr>
              <w:rPr>
                <w:rFonts w:ascii="Times New Roman" w:hAnsi="Times New Roman"/>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7pt;margin-top:4.15pt;width:80.85pt;height:168.85pt;z-index:251658240;mso-wrap-distance-left:0;mso-wrap-distance-right:0" filled="t">
                  <v:fill color2="black"/>
                  <v:imagedata r:id="rId8" o:title=""/>
                  <w10:wrap type="square" side="largest"/>
                </v:shape>
              </w:pict>
            </w:r>
          </w:p>
        </w:tc>
        <w:tc>
          <w:tcPr>
            <w:tcW w:w="7124" w:type="dxa"/>
          </w:tcPr>
          <w:p w:rsidR="00203D79" w:rsidRPr="00E21D5F" w:rsidRDefault="00203D79" w:rsidP="0058171F">
            <w:pPr>
              <w:rPr>
                <w:rFonts w:ascii="Times New Roman" w:hAnsi="Times New Roman"/>
              </w:rPr>
            </w:pPr>
            <w:r w:rsidRPr="00E21D5F">
              <w:rPr>
                <w:rFonts w:ascii="Times New Roman" w:hAnsi="Times New Roman"/>
              </w:rPr>
              <w:t>The simplest organization is that each GISC offers only own set. This set will include metadata NC and DCPC affiliated to it.</w:t>
            </w:r>
            <w:r w:rsidRPr="00E21D5F">
              <w:rPr>
                <w:rFonts w:ascii="Times New Roman" w:hAnsi="Times New Roman"/>
              </w:rPr>
              <w:br/>
            </w:r>
            <w:r w:rsidRPr="00E21D5F">
              <w:rPr>
                <w:rFonts w:ascii="Times New Roman" w:hAnsi="Times New Roman"/>
                <w:b/>
                <w:u w:val="single"/>
              </w:rPr>
              <w:t>Advantage:</w:t>
            </w:r>
            <w:r w:rsidRPr="00E21D5F">
              <w:rPr>
                <w:rFonts w:ascii="Times New Roman" w:eastAsia="MS Mincho" w:hAnsi="Times New Roman"/>
                <w:sz w:val="20"/>
                <w:szCs w:val="20"/>
              </w:rPr>
              <w:br/>
              <w:t xml:space="preserve"> the catalog will include a finite and limited number of sets.</w:t>
            </w:r>
            <w:r w:rsidRPr="00E21D5F">
              <w:rPr>
                <w:rFonts w:ascii="Times New Roman" w:hAnsi="Times New Roman"/>
              </w:rPr>
              <w:sym w:font="Symbol" w:char="F02D"/>
            </w:r>
            <w:r w:rsidRPr="00E21D5F">
              <w:rPr>
                <w:rFonts w:ascii="Times New Roman" w:hAnsi="Times New Roman"/>
              </w:rPr>
              <w:t xml:space="preserve"> They are easily identifiable.</w:t>
            </w:r>
            <w:r w:rsidRPr="00E21D5F">
              <w:rPr>
                <w:rFonts w:ascii="Times New Roman" w:hAnsi="Times New Roman"/>
              </w:rPr>
              <w:br/>
              <w:t xml:space="preserve"> The GISC administrator has just a local set to manage.</w:t>
            </w:r>
            <w:r w:rsidRPr="00E21D5F">
              <w:rPr>
                <w:rFonts w:ascii="Times New Roman" w:hAnsi="Times New Roman"/>
              </w:rPr>
              <w:sym w:font="Symbol" w:char="F02D"/>
            </w:r>
            <w:r w:rsidRPr="00E21D5F">
              <w:rPr>
                <w:rFonts w:ascii="Times New Roman" w:hAnsi="Times New Roman"/>
              </w:rPr>
              <w:t xml:space="preserve"> It will have only to affiliate metadata in a single container services. On the other hand, it will handle a reasonable number of harvesting tasks.</w:t>
            </w:r>
            <w:r w:rsidRPr="00E21D5F">
              <w:rPr>
                <w:rFonts w:ascii="Times New Roman" w:hAnsi="Times New Roman"/>
              </w:rPr>
              <w:br/>
            </w:r>
            <w:r w:rsidRPr="00E21D5F">
              <w:rPr>
                <w:rFonts w:ascii="Times New Roman" w:hAnsi="Times New Roman"/>
                <w:b/>
                <w:u w:val="single"/>
              </w:rPr>
              <w:t>Disadvantage:</w:t>
            </w:r>
            <w:r w:rsidRPr="00E21D5F">
              <w:rPr>
                <w:rFonts w:ascii="Times New Roman" w:eastAsia="MS Mincho" w:hAnsi="Times New Roman"/>
                <w:sz w:val="20"/>
                <w:szCs w:val="20"/>
              </w:rPr>
              <w:br/>
              <w:t xml:space="preserve"> Each set will consist of a large number of metadata (several thousand).</w:t>
            </w:r>
            <w:r w:rsidRPr="00E21D5F">
              <w:rPr>
                <w:rFonts w:ascii="Times New Roman" w:hAnsi="Times New Roman"/>
              </w:rPr>
              <w:sym w:font="Symbol" w:char="F02D"/>
            </w:r>
            <w:r w:rsidRPr="00E21D5F">
              <w:rPr>
                <w:rFonts w:ascii="Times New Roman" w:hAnsi="Times New Roman"/>
              </w:rPr>
              <w:t xml:space="preserve"> Legibility is found in so debased and harvesting tasks will be particularly long and perilous.</w:t>
            </w:r>
            <w:r w:rsidRPr="00E21D5F">
              <w:rPr>
                <w:rFonts w:ascii="Times New Roman" w:hAnsi="Times New Roman"/>
              </w:rPr>
              <w:br/>
              <w:t>-DCPC and NC metadata will be mixed.</w:t>
            </w:r>
            <w:r w:rsidRPr="00E21D5F">
              <w:rPr>
                <w:rFonts w:ascii="Times New Roman" w:hAnsi="Times New Roman"/>
              </w:rPr>
              <w:br/>
            </w:r>
          </w:p>
        </w:tc>
      </w:tr>
    </w:tbl>
    <w:p w:rsidR="00203D79" w:rsidRDefault="00203D79" w:rsidP="00B036CD"/>
    <w:p w:rsidR="00203D79" w:rsidRPr="00CB508D" w:rsidRDefault="00203D79" w:rsidP="00B036CD">
      <w:pPr>
        <w:pStyle w:val="Heading2"/>
      </w:pPr>
      <w:r w:rsidRPr="00CB508D">
        <w:rPr>
          <w:sz w:val="22"/>
          <w:szCs w:val="22"/>
        </w:rPr>
        <w:br/>
      </w:r>
      <w:r w:rsidRPr="00414CA4">
        <w:rPr>
          <w:rStyle w:val="Heading3Char"/>
        </w:rPr>
        <w:t>2.2 One set by DCPC or NC (new proposal)</w:t>
      </w:r>
      <w:r w:rsidRPr="00CB508D">
        <w:rPr>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6584"/>
      </w:tblGrid>
      <w:tr w:rsidR="00203D79" w:rsidTr="00E21D5F">
        <w:tc>
          <w:tcPr>
            <w:tcW w:w="2628" w:type="dxa"/>
          </w:tcPr>
          <w:p w:rsidR="00203D79" w:rsidRPr="00E21D5F" w:rsidRDefault="000A30E2" w:rsidP="0058171F">
            <w:pPr>
              <w:rPr>
                <w:rFonts w:ascii="Times New Roman" w:hAnsi="Times New Roman"/>
              </w:rPr>
            </w:pPr>
            <w:r>
              <w:rPr>
                <w:noProof/>
                <w:lang w:val="fr-FR" w:eastAsia="fr-FR"/>
              </w:rPr>
              <w:pict>
                <v:shape id="_x0000_s1027" type="#_x0000_t75" style="position:absolute;margin-left:12.7pt;margin-top:4.15pt;width:80.85pt;height:168.85pt;z-index:251659264;mso-wrap-distance-left:0;mso-wrap-distance-right:0" filled="t">
                  <v:fill color2="black"/>
                  <v:imagedata r:id="rId9" o:title=""/>
                  <w10:wrap type="square" side="largest"/>
                </v:shape>
              </w:pict>
            </w:r>
          </w:p>
        </w:tc>
        <w:tc>
          <w:tcPr>
            <w:tcW w:w="6584" w:type="dxa"/>
          </w:tcPr>
          <w:p w:rsidR="00203D79" w:rsidRPr="00E21D5F" w:rsidRDefault="00203D79" w:rsidP="0058171F">
            <w:pPr>
              <w:rPr>
                <w:rFonts w:ascii="Times New Roman" w:hAnsi="Times New Roman"/>
              </w:rPr>
            </w:pPr>
            <w:r w:rsidRPr="00E21D5F">
              <w:rPr>
                <w:rFonts w:ascii="Times New Roman" w:hAnsi="Times New Roman"/>
              </w:rPr>
              <w:t>This organization glue</w:t>
            </w:r>
            <w:r>
              <w:rPr>
                <w:rFonts w:ascii="Times New Roman" w:hAnsi="Times New Roman"/>
              </w:rPr>
              <w:t>s</w:t>
            </w:r>
            <w:r w:rsidRPr="00E21D5F">
              <w:rPr>
                <w:rFonts w:ascii="Times New Roman" w:hAnsi="Times New Roman"/>
              </w:rPr>
              <w:t xml:space="preserve"> </w:t>
            </w:r>
            <w:r>
              <w:rPr>
                <w:rFonts w:ascii="Times New Roman" w:hAnsi="Times New Roman"/>
              </w:rPr>
              <w:t xml:space="preserve">to </w:t>
            </w:r>
            <w:smartTag w:uri="urn:schemas-microsoft-com:office:smarttags" w:element="place">
              <w:smartTag w:uri="urn:schemas-microsoft-com:office:smarttags" w:element="State">
                <w:r w:rsidRPr="00E21D5F">
                  <w:rPr>
                    <w:rFonts w:ascii="Times New Roman" w:hAnsi="Times New Roman"/>
                  </w:rPr>
                  <w:t>WIS</w:t>
                </w:r>
              </w:smartTag>
            </w:smartTag>
            <w:r w:rsidRPr="00E21D5F">
              <w:rPr>
                <w:rFonts w:ascii="Times New Roman" w:hAnsi="Times New Roman"/>
              </w:rPr>
              <w:t xml:space="preserve"> topology: Each entity has a set.</w:t>
            </w:r>
            <w:r w:rsidRPr="00E21D5F">
              <w:rPr>
                <w:rFonts w:ascii="Times New Roman" w:hAnsi="Times New Roman"/>
              </w:rPr>
              <w:br/>
              <w:t xml:space="preserve">It </w:t>
            </w:r>
            <w:r>
              <w:rPr>
                <w:rFonts w:ascii="Times New Roman" w:hAnsi="Times New Roman"/>
              </w:rPr>
              <w:t>keeps</w:t>
            </w:r>
            <w:r w:rsidRPr="00E21D5F">
              <w:rPr>
                <w:rFonts w:ascii="Times New Roman" w:hAnsi="Times New Roman"/>
              </w:rPr>
              <w:t xml:space="preserve"> the advantages of the previous solution without too much damaging but by narrowing these disadvantages.</w:t>
            </w:r>
            <w:r w:rsidRPr="00E21D5F">
              <w:rPr>
                <w:rFonts w:ascii="Times New Roman" w:hAnsi="Times New Roman"/>
              </w:rPr>
              <w:br/>
            </w:r>
          </w:p>
        </w:tc>
      </w:tr>
    </w:tbl>
    <w:p w:rsidR="00203D79" w:rsidRDefault="00203D79" w:rsidP="00B036CD">
      <w:r>
        <w:br/>
      </w:r>
      <w:r>
        <w:br/>
      </w:r>
      <w:r w:rsidRPr="00414CA4">
        <w:rPr>
          <w:rStyle w:val="Heading3Char"/>
          <w:sz w:val="26"/>
          <w:szCs w:val="26"/>
        </w:rPr>
        <w:t>2.3 One set dedicated to essential data and additional</w:t>
      </w:r>
      <w:r w:rsidRPr="00CB508D">
        <w:rPr>
          <w:rFonts w:ascii="Cambria" w:eastAsia="SimSun" w:hAnsi="Cambria"/>
          <w:bCs/>
          <w:i/>
          <w:color w:val="4F81BD"/>
          <w:sz w:val="26"/>
          <w:szCs w:val="26"/>
        </w:rPr>
        <w:br/>
      </w:r>
      <w:r>
        <w:t xml:space="preserve">This approach more close "data access" approach: essential and additional metadata, regardless of their </w:t>
      </w:r>
      <w:r>
        <w:lastRenderedPageBreak/>
        <w:t>origin, are put in a same set. Regarding the others, we can learn from the first two proposals so this approach will result in two solutions:</w:t>
      </w:r>
      <w: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4"/>
        <w:gridCol w:w="4564"/>
      </w:tblGrid>
      <w:tr w:rsidR="00203D79" w:rsidTr="00E21D5F">
        <w:trPr>
          <w:trHeight w:val="871"/>
        </w:trPr>
        <w:tc>
          <w:tcPr>
            <w:tcW w:w="4564" w:type="dxa"/>
          </w:tcPr>
          <w:p w:rsidR="00203D79" w:rsidRPr="00E21D5F" w:rsidRDefault="00203D79" w:rsidP="0058171F">
            <w:pPr>
              <w:rPr>
                <w:rFonts w:ascii="Times New Roman" w:hAnsi="Times New Roman"/>
              </w:rPr>
            </w:pPr>
            <w:r w:rsidRPr="00E21D5F">
              <w:rPr>
                <w:rFonts w:ascii="Times New Roman" w:hAnsi="Times New Roman"/>
              </w:rPr>
              <w:t xml:space="preserve">On set for all essential Data and </w:t>
            </w:r>
            <w:proofErr w:type="spellStart"/>
            <w:r w:rsidRPr="00E21D5F">
              <w:rPr>
                <w:rFonts w:ascii="Times New Roman" w:hAnsi="Times New Roman"/>
              </w:rPr>
              <w:t>an other</w:t>
            </w:r>
            <w:proofErr w:type="spellEnd"/>
            <w:r w:rsidRPr="00E21D5F">
              <w:rPr>
                <w:rFonts w:ascii="Times New Roman" w:hAnsi="Times New Roman"/>
              </w:rPr>
              <w:t xml:space="preserve"> for all additional data</w:t>
            </w:r>
          </w:p>
        </w:tc>
        <w:tc>
          <w:tcPr>
            <w:tcW w:w="4564" w:type="dxa"/>
          </w:tcPr>
          <w:p w:rsidR="00203D79" w:rsidRPr="00E21D5F" w:rsidRDefault="00203D79" w:rsidP="0058171F">
            <w:pPr>
              <w:rPr>
                <w:rFonts w:ascii="Times New Roman" w:hAnsi="Times New Roman"/>
              </w:rPr>
            </w:pPr>
            <w:r w:rsidRPr="00E21D5F">
              <w:rPr>
                <w:rFonts w:ascii="Times New Roman" w:hAnsi="Times New Roman"/>
              </w:rPr>
              <w:t xml:space="preserve">One set for essential data and as many sets as producers for additional </w:t>
            </w:r>
          </w:p>
        </w:tc>
      </w:tr>
      <w:tr w:rsidR="00203D79" w:rsidTr="00E21D5F">
        <w:trPr>
          <w:trHeight w:val="3770"/>
        </w:trPr>
        <w:tc>
          <w:tcPr>
            <w:tcW w:w="4564" w:type="dxa"/>
          </w:tcPr>
          <w:p w:rsidR="00203D79" w:rsidRPr="00E21D5F" w:rsidRDefault="000A30E2" w:rsidP="0058171F">
            <w:pPr>
              <w:rPr>
                <w:rFonts w:ascii="Times New Roman" w:hAnsi="Times New Roman"/>
              </w:rPr>
            </w:pPr>
            <w:r>
              <w:rPr>
                <w:noProof/>
                <w:lang w:val="fr-FR" w:eastAsia="fr-FR"/>
              </w:rPr>
              <w:pict>
                <v:shape id="_x0000_s1028" type="#_x0000_t75" style="position:absolute;margin-left:66.7pt;margin-top:9.4pt;width:80.85pt;height:168.85pt;z-index:251660288;mso-wrap-distance-left:0;mso-wrap-distance-right:0;mso-position-horizontal-relative:text;mso-position-vertical-relative:text" filled="t">
                  <v:fill color2="black"/>
                  <v:imagedata r:id="rId10" o:title=""/>
                  <w10:wrap type="square" side="largest"/>
                </v:shape>
              </w:pict>
            </w:r>
          </w:p>
        </w:tc>
        <w:tc>
          <w:tcPr>
            <w:tcW w:w="4564" w:type="dxa"/>
          </w:tcPr>
          <w:p w:rsidR="00203D79" w:rsidRPr="00E21D5F" w:rsidRDefault="000A30E2" w:rsidP="0058171F">
            <w:pPr>
              <w:rPr>
                <w:rFonts w:ascii="Times New Roman" w:hAnsi="Times New Roman"/>
              </w:rPr>
            </w:pPr>
            <w:r>
              <w:rPr>
                <w:noProof/>
                <w:lang w:val="fr-FR" w:eastAsia="fr-FR"/>
              </w:rPr>
              <w:pict>
                <v:shape id="_x0000_s1029" type="#_x0000_t75" style="position:absolute;margin-left:70.45pt;margin-top:9.4pt;width:80.85pt;height:168.85pt;z-index:251661312;mso-wrap-distance-left:0;mso-wrap-distance-right:0;mso-position-horizontal-relative:text;mso-position-vertical-relative:text" filled="t">
                  <v:fill color2="black"/>
                  <v:imagedata r:id="rId11" o:title=""/>
                  <w10:wrap type="square" side="largest"/>
                </v:shape>
              </w:pict>
            </w:r>
          </w:p>
        </w:tc>
      </w:tr>
    </w:tbl>
    <w:p w:rsidR="00203D79" w:rsidRDefault="00203D79" w:rsidP="00343D40">
      <w:r>
        <w:br/>
        <w:t xml:space="preserve">It keeps the main advantages of the previous solution while introducing the business side of the data. The set of essential and additional metadata will be clearly identified. Remember that the cache of each GISC includes data corresponding to the metadata. </w:t>
      </w:r>
    </w:p>
    <w:p w:rsidR="00203D79" w:rsidRPr="00414CA4" w:rsidRDefault="00203D79" w:rsidP="00343D40">
      <w:r>
        <w:br/>
        <w:t>This solution gives more work to administrators as they have to separate essential from additional data.</w:t>
      </w:r>
      <w:r>
        <w:br/>
      </w:r>
      <w:r>
        <w:br/>
      </w:r>
      <w:r w:rsidRPr="00414CA4">
        <w:rPr>
          <w:rStyle w:val="Heading3Char"/>
          <w:b w:val="0"/>
          <w:bCs w:val="0"/>
          <w:sz w:val="26"/>
          <w:szCs w:val="26"/>
        </w:rPr>
        <w:t>2.4 Other solution more oriented business</w:t>
      </w:r>
      <w:r w:rsidRPr="00CB508D">
        <w:rPr>
          <w:rFonts w:ascii="Cambria" w:eastAsia="SimSun" w:hAnsi="Cambria"/>
          <w:b/>
          <w:iCs/>
          <w:color w:val="4F81BD"/>
          <w:sz w:val="26"/>
          <w:szCs w:val="26"/>
        </w:rPr>
        <w:t xml:space="preserve"> </w:t>
      </w:r>
      <w:r>
        <w:br/>
        <w:t>Each NC or DCPC organize their set of data as they want.</w:t>
      </w:r>
      <w:r>
        <w:br/>
        <w:t>This solution is more clear and flexible. But very difficult to manage by administrators and collaboration between GISC DCPC and NC would be very strong</w:t>
      </w:r>
      <w:r>
        <w:br/>
      </w:r>
    </w:p>
    <w:p w:rsidR="00203D79" w:rsidRDefault="00203D79" w:rsidP="00B036CD">
      <w:r w:rsidRPr="00414CA4">
        <w:rPr>
          <w:rStyle w:val="Heading3Char"/>
        </w:rPr>
        <w:t>3 Metadata uniqueness</w:t>
      </w:r>
      <w:r>
        <w:br/>
        <w:t>There is also the problem of the uniqueness metadata for a set.</w:t>
      </w:r>
      <w:r>
        <w:br/>
        <w:t xml:space="preserve">GISC catalog is composed of aggregation of all </w:t>
      </w:r>
      <w:smartTag w:uri="urn:schemas-microsoft-com:office:smarttags" w:element="State">
        <w:r>
          <w:t>WIS</w:t>
        </w:r>
      </w:smartTag>
      <w:r>
        <w:t xml:space="preserve"> metadata. We could consider that a metadata belong to several sets.</w:t>
      </w:r>
      <w:r>
        <w:br/>
        <w:t xml:space="preserve">Example 1: in the case 2.3, a metadata can be essential and in NC set of reattachment </w:t>
      </w:r>
      <w:r>
        <w:br/>
        <w:t>but then introduce management problems because sets are produced physically in different locations.</w:t>
      </w:r>
      <w:r>
        <w:br/>
        <w:t>Example 2: deleting a metadata set is actually destruction or movement to another set? There is nothing to say at the set, he must look at the catalog of GISC for this information.</w:t>
      </w:r>
    </w:p>
    <w:p w:rsidR="00203D79" w:rsidRPr="00366E9D" w:rsidRDefault="00203D79" w:rsidP="00B036CD">
      <w:pPr>
        <w:rPr>
          <w:rFonts w:ascii="Cambria" w:eastAsia="SimSun" w:hAnsi="Cambria"/>
          <w:b/>
          <w:bCs/>
          <w:color w:val="4F81BD"/>
          <w:sz w:val="26"/>
          <w:szCs w:val="26"/>
        </w:rPr>
      </w:pPr>
      <w:r>
        <w:lastRenderedPageBreak/>
        <w:br/>
        <w:t>So, the benefit is largely thwarted by corruption risks in the catalog at any given time.</w:t>
      </w:r>
      <w:r>
        <w:br/>
      </w:r>
    </w:p>
    <w:p w:rsidR="00203D79" w:rsidRPr="00414CA4" w:rsidRDefault="00203D79" w:rsidP="00B036CD">
      <w:pPr>
        <w:rPr>
          <w:rStyle w:val="Heading3Char"/>
          <w:b w:val="0"/>
          <w:bCs w:val="0"/>
        </w:rPr>
      </w:pPr>
      <w:r w:rsidRPr="00414CA4">
        <w:rPr>
          <w:rStyle w:val="Heading3Char"/>
          <w:b w:val="0"/>
          <w:bCs w:val="0"/>
        </w:rPr>
        <w:t>Proposal</w:t>
      </w:r>
    </w:p>
    <w:p w:rsidR="00203D79" w:rsidRDefault="00203D79" w:rsidP="00B036CD">
      <w:r>
        <w:t>1) organize metadata in order to get o</w:t>
      </w:r>
      <w:r w:rsidRPr="00CB508D">
        <w:t>ne set by DCPC or NC</w:t>
      </w:r>
    </w:p>
    <w:p w:rsidR="00203D79" w:rsidRPr="00E77C26" w:rsidRDefault="00203D79" w:rsidP="00B036CD">
      <w:pPr>
        <w:rPr>
          <w:lang w:val="en-GB"/>
        </w:rPr>
      </w:pPr>
      <w:r>
        <w:t>2) In order to clarity and simplify metadata management it is recommended that one metadata record is defined in only one set of metadata.</w:t>
      </w:r>
    </w:p>
    <w:p w:rsidR="00203D79" w:rsidRPr="00E77C26" w:rsidRDefault="00203D79" w:rsidP="00B036CD">
      <w:pPr>
        <w:rPr>
          <w:lang w:val="en-GB"/>
        </w:rPr>
      </w:pPr>
    </w:p>
    <w:p w:rsidR="00203D79" w:rsidRDefault="00203D79" w:rsidP="00F8649F">
      <w:pPr>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lastRenderedPageBreak/>
        <w:t>Annex</w:t>
      </w:r>
    </w:p>
    <w:p w:rsidR="00203D79" w:rsidRPr="00366E9D" w:rsidRDefault="00203D79" w:rsidP="00F8649F">
      <w:pPr>
        <w:rPr>
          <w:rFonts w:ascii="Times New Roman" w:hAnsi="Times New Roman"/>
          <w:b/>
          <w:sz w:val="24"/>
          <w:szCs w:val="24"/>
        </w:rPr>
      </w:pPr>
      <w:r w:rsidRPr="00366E9D">
        <w:rPr>
          <w:rFonts w:ascii="Times New Roman" w:hAnsi="Times New Roman"/>
          <w:b/>
          <w:sz w:val="24"/>
          <w:szCs w:val="24"/>
        </w:rPr>
        <w:t>JMA set available:</w:t>
      </w:r>
    </w:p>
    <w:p w:rsidR="00203D79" w:rsidRDefault="000A30E2" w:rsidP="00F8649F">
      <w:pPr>
        <w:rPr>
          <w:rFonts w:ascii="Times New Roman" w:hAnsi="Times New Roman"/>
          <w:sz w:val="24"/>
          <w:szCs w:val="24"/>
        </w:rPr>
      </w:pPr>
      <w:r>
        <w:rPr>
          <w:rFonts w:ascii="Times New Roman" w:hAnsi="Times New Roman"/>
          <w:sz w:val="24"/>
          <w:szCs w:val="24"/>
        </w:rPr>
        <w:pict>
          <v:shape id="_x0000_i1025" type="#_x0000_t75" style="width:463.5pt;height:463.5pt">
            <v:imagedata r:id="rId12" o:title=""/>
          </v:shape>
        </w:pict>
      </w:r>
    </w:p>
    <w:p w:rsidR="00203D79" w:rsidRDefault="00203D79" w:rsidP="00F8649F">
      <w:pPr>
        <w:rPr>
          <w:rFonts w:ascii="Times New Roman" w:hAnsi="Times New Roman"/>
          <w:sz w:val="24"/>
          <w:szCs w:val="24"/>
        </w:rPr>
      </w:pPr>
      <w:r>
        <w:rPr>
          <w:rFonts w:ascii="Times New Roman" w:hAnsi="Times New Roman"/>
          <w:sz w:val="24"/>
          <w:szCs w:val="24"/>
        </w:rPr>
        <w:br w:type="page"/>
      </w:r>
    </w:p>
    <w:p w:rsidR="00203D79" w:rsidRPr="00366E9D" w:rsidRDefault="00203D79" w:rsidP="00F8649F">
      <w:pPr>
        <w:rPr>
          <w:rFonts w:ascii="Times New Roman" w:hAnsi="Times New Roman"/>
          <w:b/>
          <w:sz w:val="24"/>
          <w:szCs w:val="24"/>
        </w:rPr>
      </w:pPr>
      <w:r w:rsidRPr="00366E9D">
        <w:rPr>
          <w:rFonts w:ascii="Times New Roman" w:hAnsi="Times New Roman"/>
          <w:b/>
          <w:sz w:val="24"/>
          <w:szCs w:val="24"/>
        </w:rPr>
        <w:t>CMA set available</w:t>
      </w:r>
    </w:p>
    <w:p w:rsidR="00203D79" w:rsidRPr="00366E9D" w:rsidRDefault="000A30E2" w:rsidP="00F8649F">
      <w:pPr>
        <w:rPr>
          <w:rFonts w:ascii="Times New Roman" w:hAnsi="Times New Roman"/>
          <w:b/>
          <w:sz w:val="24"/>
          <w:szCs w:val="24"/>
        </w:rPr>
      </w:pPr>
      <w:r>
        <w:rPr>
          <w:rFonts w:ascii="Times New Roman" w:hAnsi="Times New Roman"/>
          <w:b/>
          <w:sz w:val="24"/>
          <w:szCs w:val="24"/>
        </w:rPr>
        <w:pict>
          <v:shape id="_x0000_i1026" type="#_x0000_t75" style="width:460.5pt;height:250.5pt">
            <v:imagedata r:id="rId13" o:title=""/>
          </v:shape>
        </w:pict>
      </w:r>
    </w:p>
    <w:p w:rsidR="00203D79" w:rsidRPr="00366E9D" w:rsidRDefault="00203D79" w:rsidP="00F8649F">
      <w:pPr>
        <w:rPr>
          <w:rFonts w:ascii="Times New Roman" w:hAnsi="Times New Roman"/>
          <w:b/>
          <w:sz w:val="24"/>
          <w:szCs w:val="24"/>
        </w:rPr>
      </w:pPr>
      <w:r w:rsidRPr="00366E9D">
        <w:rPr>
          <w:rFonts w:ascii="Times New Roman" w:hAnsi="Times New Roman"/>
          <w:b/>
          <w:sz w:val="24"/>
          <w:szCs w:val="24"/>
        </w:rPr>
        <w:t>BOM set available</w:t>
      </w:r>
    </w:p>
    <w:p w:rsidR="00203D79" w:rsidRDefault="000A30E2" w:rsidP="00F8649F">
      <w:pPr>
        <w:rPr>
          <w:rFonts w:ascii="Times New Roman" w:hAnsi="Times New Roman"/>
          <w:sz w:val="24"/>
          <w:szCs w:val="24"/>
        </w:rPr>
      </w:pPr>
      <w:r>
        <w:rPr>
          <w:rFonts w:ascii="Times New Roman" w:hAnsi="Times New Roman"/>
          <w:sz w:val="24"/>
          <w:szCs w:val="24"/>
        </w:rPr>
        <w:pict>
          <v:shape id="_x0000_i1027" type="#_x0000_t75" style="width:460.5pt;height:250.5pt">
            <v:imagedata r:id="rId14" o:title=""/>
          </v:shape>
        </w:pict>
      </w:r>
    </w:p>
    <w:p w:rsidR="00203D79" w:rsidRDefault="00203D79" w:rsidP="00F8649F">
      <w:pPr>
        <w:rPr>
          <w:rFonts w:ascii="Times New Roman" w:hAnsi="Times New Roman"/>
          <w:sz w:val="24"/>
          <w:szCs w:val="24"/>
        </w:rPr>
      </w:pPr>
      <w:r>
        <w:rPr>
          <w:rFonts w:ascii="Times New Roman" w:hAnsi="Times New Roman"/>
          <w:sz w:val="24"/>
          <w:szCs w:val="24"/>
        </w:rPr>
        <w:br w:type="page"/>
      </w:r>
    </w:p>
    <w:p w:rsidR="00203D79" w:rsidRPr="00366E9D" w:rsidRDefault="00203D79" w:rsidP="00F8649F">
      <w:pPr>
        <w:rPr>
          <w:rFonts w:ascii="Times New Roman" w:hAnsi="Times New Roman"/>
          <w:b/>
          <w:sz w:val="24"/>
          <w:szCs w:val="24"/>
        </w:rPr>
      </w:pPr>
      <w:r w:rsidRPr="00366E9D">
        <w:rPr>
          <w:rFonts w:ascii="Times New Roman" w:hAnsi="Times New Roman"/>
          <w:b/>
          <w:sz w:val="24"/>
          <w:szCs w:val="24"/>
        </w:rPr>
        <w:t>KMA set available</w:t>
      </w:r>
    </w:p>
    <w:p w:rsidR="00203D79" w:rsidRDefault="000A30E2" w:rsidP="00F8649F">
      <w:pPr>
        <w:rPr>
          <w:rFonts w:ascii="Times New Roman" w:hAnsi="Times New Roman"/>
          <w:sz w:val="24"/>
          <w:szCs w:val="24"/>
        </w:rPr>
      </w:pPr>
      <w:r>
        <w:rPr>
          <w:rFonts w:ascii="Times New Roman" w:hAnsi="Times New Roman"/>
          <w:sz w:val="24"/>
          <w:szCs w:val="24"/>
        </w:rPr>
        <w:pict>
          <v:shape id="_x0000_i1028" type="#_x0000_t75" style="width:460.5pt;height:250.5pt">
            <v:imagedata r:id="rId15" o:title=""/>
          </v:shape>
        </w:pict>
      </w:r>
    </w:p>
    <w:p w:rsidR="00203D79" w:rsidRPr="00366E9D" w:rsidRDefault="00203D79" w:rsidP="00F8649F">
      <w:pPr>
        <w:rPr>
          <w:rFonts w:ascii="Times New Roman" w:hAnsi="Times New Roman"/>
          <w:b/>
          <w:sz w:val="24"/>
          <w:szCs w:val="24"/>
        </w:rPr>
      </w:pPr>
      <w:r w:rsidRPr="00366E9D">
        <w:rPr>
          <w:rFonts w:ascii="Times New Roman" w:hAnsi="Times New Roman"/>
          <w:b/>
          <w:sz w:val="24"/>
          <w:szCs w:val="24"/>
        </w:rPr>
        <w:t>DWD set available</w:t>
      </w:r>
    </w:p>
    <w:p w:rsidR="00203D79" w:rsidRDefault="000A30E2" w:rsidP="00F8649F">
      <w:pPr>
        <w:rPr>
          <w:rFonts w:ascii="Times New Roman" w:hAnsi="Times New Roman"/>
          <w:sz w:val="24"/>
          <w:szCs w:val="24"/>
        </w:rPr>
      </w:pPr>
      <w:r>
        <w:rPr>
          <w:rFonts w:ascii="Times New Roman" w:hAnsi="Times New Roman"/>
          <w:sz w:val="24"/>
          <w:szCs w:val="24"/>
        </w:rPr>
        <w:pict>
          <v:shape id="_x0000_i1029" type="#_x0000_t75" style="width:460.5pt;height:250.5pt">
            <v:imagedata r:id="rId16" o:title=""/>
          </v:shape>
        </w:pict>
      </w:r>
    </w:p>
    <w:p w:rsidR="00203D79" w:rsidRDefault="00203D79" w:rsidP="00F8649F">
      <w:pPr>
        <w:rPr>
          <w:rFonts w:ascii="Times New Roman" w:hAnsi="Times New Roman"/>
          <w:sz w:val="24"/>
          <w:szCs w:val="24"/>
        </w:rPr>
      </w:pPr>
      <w:r>
        <w:rPr>
          <w:rFonts w:ascii="Times New Roman" w:hAnsi="Times New Roman"/>
          <w:sz w:val="24"/>
          <w:szCs w:val="24"/>
        </w:rPr>
        <w:br w:type="page"/>
      </w:r>
    </w:p>
    <w:p w:rsidR="00203D79" w:rsidRPr="00366E9D" w:rsidRDefault="00203D79" w:rsidP="00F8649F">
      <w:pPr>
        <w:rPr>
          <w:rFonts w:ascii="Times New Roman" w:hAnsi="Times New Roman"/>
          <w:b/>
          <w:sz w:val="24"/>
          <w:szCs w:val="24"/>
        </w:rPr>
      </w:pPr>
      <w:r w:rsidRPr="00366E9D">
        <w:rPr>
          <w:rFonts w:ascii="Times New Roman" w:hAnsi="Times New Roman"/>
          <w:b/>
          <w:sz w:val="24"/>
          <w:szCs w:val="24"/>
        </w:rPr>
        <w:t>UKMet set available</w:t>
      </w:r>
    </w:p>
    <w:p w:rsidR="00203D79" w:rsidRDefault="000A30E2" w:rsidP="00F8649F">
      <w:pPr>
        <w:rPr>
          <w:rFonts w:ascii="Times New Roman" w:hAnsi="Times New Roman"/>
          <w:sz w:val="24"/>
          <w:szCs w:val="24"/>
        </w:rPr>
      </w:pPr>
      <w:r>
        <w:rPr>
          <w:rFonts w:ascii="Times New Roman" w:hAnsi="Times New Roman"/>
          <w:sz w:val="24"/>
          <w:szCs w:val="24"/>
        </w:rPr>
        <w:pict>
          <v:shape id="_x0000_i1030" type="#_x0000_t75" style="width:460.5pt;height:250.5pt">
            <v:imagedata r:id="rId17" o:title=""/>
          </v:shape>
        </w:pict>
      </w:r>
    </w:p>
    <w:p w:rsidR="00203D79" w:rsidRPr="00366E9D" w:rsidRDefault="00203D79" w:rsidP="00F8649F">
      <w:pPr>
        <w:rPr>
          <w:rFonts w:ascii="Times New Roman" w:hAnsi="Times New Roman"/>
          <w:b/>
          <w:sz w:val="24"/>
          <w:szCs w:val="24"/>
        </w:rPr>
      </w:pPr>
      <w:r w:rsidRPr="00366E9D">
        <w:rPr>
          <w:rFonts w:ascii="Times New Roman" w:hAnsi="Times New Roman"/>
          <w:b/>
          <w:sz w:val="24"/>
          <w:szCs w:val="24"/>
        </w:rPr>
        <w:t>MF set available</w:t>
      </w:r>
    </w:p>
    <w:p w:rsidR="00203D79" w:rsidRDefault="000A30E2" w:rsidP="00F8649F">
      <w:pPr>
        <w:rPr>
          <w:rFonts w:ascii="Times New Roman" w:hAnsi="Times New Roman"/>
          <w:sz w:val="24"/>
          <w:szCs w:val="24"/>
        </w:rPr>
      </w:pPr>
      <w:r>
        <w:rPr>
          <w:rFonts w:ascii="Times New Roman" w:hAnsi="Times New Roman"/>
          <w:sz w:val="24"/>
          <w:szCs w:val="24"/>
        </w:rPr>
        <w:pict>
          <v:shape id="_x0000_i1031" type="#_x0000_t75" style="width:460.5pt;height:250.5pt">
            <v:imagedata r:id="rId18" o:title=""/>
          </v:shape>
        </w:pict>
      </w:r>
    </w:p>
    <w:p w:rsidR="00203D79" w:rsidRPr="00F8649F" w:rsidRDefault="00203D79" w:rsidP="00F8649F">
      <w:pPr>
        <w:jc w:val="center"/>
        <w:rPr>
          <w:rFonts w:ascii="Times New Roman" w:hAnsi="Times New Roman"/>
          <w:sz w:val="24"/>
          <w:szCs w:val="24"/>
        </w:rPr>
      </w:pPr>
      <w:r>
        <w:rPr>
          <w:rFonts w:ascii="Times New Roman" w:hAnsi="Times New Roman"/>
          <w:sz w:val="24"/>
          <w:szCs w:val="24"/>
        </w:rPr>
        <w:t>--------------------</w:t>
      </w:r>
    </w:p>
    <w:sectPr w:rsidR="00203D79" w:rsidRPr="00F8649F" w:rsidSect="00BA350D">
      <w:headerReference w:type="default" r:id="rId19"/>
      <w:head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D79" w:rsidRDefault="00203D79" w:rsidP="00BA350D">
      <w:pPr>
        <w:spacing w:after="0" w:line="240" w:lineRule="auto"/>
      </w:pPr>
      <w:r>
        <w:separator/>
      </w:r>
    </w:p>
  </w:endnote>
  <w:endnote w:type="continuationSeparator" w:id="0">
    <w:p w:rsidR="00203D79" w:rsidRDefault="00203D79"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D79" w:rsidRDefault="00203D79" w:rsidP="00BA350D">
      <w:pPr>
        <w:spacing w:after="0" w:line="240" w:lineRule="auto"/>
      </w:pPr>
      <w:r>
        <w:separator/>
      </w:r>
    </w:p>
  </w:footnote>
  <w:footnote w:type="continuationSeparator" w:id="0">
    <w:p w:rsidR="00203D79" w:rsidRDefault="00203D79"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D79" w:rsidRDefault="00203D79">
    <w:pPr>
      <w:pStyle w:val="Header"/>
      <w:jc w:val="center"/>
    </w:pPr>
    <w:r>
      <w:t>Document No.</w:t>
    </w:r>
    <w:r w:rsidR="000A30E2">
      <w:t xml:space="preserve"> 64 </w:t>
    </w:r>
    <w:r>
      <w:t xml:space="preserve">(Page </w:t>
    </w:r>
    <w:r w:rsidR="000A30E2">
      <w:fldChar w:fldCharType="begin"/>
    </w:r>
    <w:r w:rsidR="000A30E2">
      <w:instrText xml:space="preserve"> PAGE   \* MERGEFORMAT </w:instrText>
    </w:r>
    <w:r w:rsidR="000A30E2">
      <w:fldChar w:fldCharType="separate"/>
    </w:r>
    <w:r w:rsidR="000A30E2">
      <w:rPr>
        <w:noProof/>
      </w:rPr>
      <w:t>2</w:t>
    </w:r>
    <w:r w:rsidR="000A30E2">
      <w:rPr>
        <w:noProof/>
      </w:rPr>
      <w:fldChar w:fldCharType="end"/>
    </w:r>
    <w:r>
      <w:rPr>
        <w:noProof/>
      </w:rPr>
      <w:t>)</w:t>
    </w:r>
  </w:p>
  <w:p w:rsidR="00203D79" w:rsidRDefault="00203D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203D79" w:rsidRPr="005A55C2" w:rsidTr="00BA350D">
      <w:trPr>
        <w:cantSplit/>
        <w:trHeight w:val="1438"/>
      </w:trPr>
      <w:tc>
        <w:tcPr>
          <w:tcW w:w="4548" w:type="dxa"/>
          <w:vAlign w:val="center"/>
        </w:tcPr>
        <w:p w:rsidR="00203D79" w:rsidRPr="005A55C2" w:rsidRDefault="00203D79" w:rsidP="0013270C">
          <w:pPr>
            <w:shd w:val="clear" w:color="auto" w:fill="FFFFFF"/>
            <w:spacing w:after="180"/>
            <w:jc w:val="center"/>
            <w:outlineLvl w:val="1"/>
            <w:rPr>
              <w:rFonts w:ascii="Helvetica" w:hAnsi="Helvetica" w:cs="Helvetica"/>
              <w:b/>
              <w:bCs/>
              <w:sz w:val="28"/>
              <w:szCs w:val="28"/>
            </w:rPr>
          </w:pPr>
          <w:r w:rsidRPr="005A55C2">
            <w:rPr>
              <w:rFonts w:ascii="Times New Roman" w:hAnsi="Times New Roman"/>
              <w:b/>
              <w:bCs/>
              <w:sz w:val="28"/>
              <w:szCs w:val="28"/>
            </w:rPr>
            <w:t>WORLD WEATHER WATCH</w:t>
          </w:r>
          <w:r w:rsidRPr="005A55C2">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203D79" w:rsidRPr="005A55C2" w:rsidRDefault="00203D79" w:rsidP="00397DA5">
          <w:pPr>
            <w:shd w:val="solid" w:color="FFFFFF" w:fill="FFFFFF"/>
            <w:spacing w:before="240" w:after="0" w:line="240" w:lineRule="atLeast"/>
          </w:pPr>
          <w:r w:rsidRPr="005A55C2">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70pt;height:56.25pt" o:ole="">
                <v:imagedata r:id="rId1" o:title=""/>
              </v:shape>
              <o:OLEObject Type="Embed" ProgID="PBrush" ShapeID="_x0000_i1032" DrawAspect="Content" ObjectID="_1435069897" r:id="rId2"/>
            </w:object>
          </w:r>
        </w:p>
      </w:tc>
    </w:tr>
    <w:tr w:rsidR="00203D79" w:rsidRPr="005A55C2" w:rsidTr="00BA350D">
      <w:trPr>
        <w:cantSplit/>
      </w:trPr>
      <w:tc>
        <w:tcPr>
          <w:tcW w:w="6228" w:type="dxa"/>
          <w:gridSpan w:val="2"/>
          <w:tcBorders>
            <w:top w:val="single" w:sz="12" w:space="0" w:color="auto"/>
          </w:tcBorders>
        </w:tcPr>
        <w:p w:rsidR="00203D79" w:rsidRPr="005A55C2" w:rsidRDefault="00203D79" w:rsidP="00397DA5">
          <w:pPr>
            <w:shd w:val="solid" w:color="FFFFFF" w:fill="FFFFFF"/>
            <w:spacing w:after="48"/>
            <w:rPr>
              <w:rFonts w:ascii="Verdana" w:hAnsi="Verdana" w:cs="Verdana"/>
            </w:rPr>
          </w:pPr>
        </w:p>
      </w:tc>
      <w:tc>
        <w:tcPr>
          <w:tcW w:w="3851" w:type="dxa"/>
          <w:tcBorders>
            <w:top w:val="single" w:sz="12" w:space="0" w:color="auto"/>
          </w:tcBorders>
        </w:tcPr>
        <w:p w:rsidR="00203D79" w:rsidRPr="005A55C2" w:rsidRDefault="00203D79" w:rsidP="00397DA5">
          <w:pPr>
            <w:shd w:val="solid" w:color="FFFFFF" w:fill="FFFFFF"/>
            <w:spacing w:after="48" w:line="240" w:lineRule="atLeast"/>
          </w:pPr>
        </w:p>
      </w:tc>
    </w:tr>
    <w:tr w:rsidR="00203D79" w:rsidRPr="005A55C2" w:rsidTr="00BA350D">
      <w:trPr>
        <w:cantSplit/>
        <w:trHeight w:val="312"/>
      </w:trPr>
      <w:tc>
        <w:tcPr>
          <w:tcW w:w="6228" w:type="dxa"/>
          <w:gridSpan w:val="2"/>
          <w:vMerge w:val="restart"/>
        </w:tcPr>
        <w:p w:rsidR="00203D79" w:rsidRPr="005A55C2" w:rsidRDefault="00203D79" w:rsidP="0013270C">
          <w:pPr>
            <w:shd w:val="solid" w:color="FFFFFF" w:fill="FFFFFF"/>
            <w:spacing w:after="240"/>
            <w:ind w:firstLine="36"/>
            <w:rPr>
              <w:rFonts w:ascii="Times New Roman" w:hAnsi="Times New Roman"/>
              <w:sz w:val="28"/>
              <w:szCs w:val="20"/>
            </w:rPr>
          </w:pPr>
          <w:r w:rsidRPr="005A55C2">
            <w:rPr>
              <w:rFonts w:ascii="Times New Roman" w:hAnsi="Times New Roman"/>
              <w:b/>
              <w:sz w:val="28"/>
              <w:szCs w:val="20"/>
            </w:rPr>
            <w:t xml:space="preserve">Expert Team on </w:t>
          </w:r>
          <w:smartTag w:uri="urn:schemas-microsoft-com:office:smarttags" w:element="State">
            <w:r w:rsidRPr="005A55C2">
              <w:rPr>
                <w:rFonts w:ascii="Times New Roman" w:hAnsi="Times New Roman"/>
                <w:b/>
                <w:sz w:val="28"/>
                <w:szCs w:val="20"/>
              </w:rPr>
              <w:t>WIS</w:t>
            </w:r>
          </w:smartTag>
          <w:r w:rsidRPr="005A55C2">
            <w:rPr>
              <w:rFonts w:ascii="Times New Roman" w:hAnsi="Times New Roman"/>
              <w:b/>
              <w:sz w:val="28"/>
              <w:szCs w:val="20"/>
            </w:rPr>
            <w:t xml:space="preserve"> Centres (ET-WISC)</w:t>
          </w:r>
          <w:r w:rsidRPr="005A55C2">
            <w:rPr>
              <w:rFonts w:ascii="Times New Roman" w:hAnsi="Times New Roman"/>
              <w:b/>
              <w:sz w:val="28"/>
              <w:szCs w:val="20"/>
            </w:rPr>
            <w:br/>
          </w:r>
          <w:smartTag w:uri="urn:schemas-microsoft-com:office:smarttags" w:element="City">
            <w:smartTag w:uri="urn:schemas-microsoft-com:office:smarttags" w:element="place">
              <w:r w:rsidRPr="005A55C2">
                <w:rPr>
                  <w:rFonts w:ascii="Times New Roman" w:hAnsi="Times New Roman"/>
                  <w:b/>
                  <w:sz w:val="28"/>
                  <w:szCs w:val="20"/>
                </w:rPr>
                <w:t>Beijing</w:t>
              </w:r>
            </w:smartTag>
            <w:r w:rsidRPr="005A55C2">
              <w:rPr>
                <w:rFonts w:ascii="Times New Roman" w:hAnsi="Times New Roman"/>
                <w:b/>
                <w:sz w:val="28"/>
                <w:szCs w:val="20"/>
              </w:rPr>
              <w:t xml:space="preserve">, </w:t>
            </w:r>
            <w:smartTag w:uri="urn:schemas-microsoft-com:office:smarttags" w:element="country-region">
              <w:r w:rsidRPr="005A55C2">
                <w:rPr>
                  <w:rFonts w:ascii="Times New Roman" w:hAnsi="Times New Roman"/>
                  <w:b/>
                  <w:sz w:val="28"/>
                  <w:szCs w:val="20"/>
                </w:rPr>
                <w:t>China</w:t>
              </w:r>
            </w:smartTag>
          </w:smartTag>
          <w:r w:rsidRPr="005A55C2">
            <w:rPr>
              <w:rFonts w:ascii="Times New Roman" w:hAnsi="Times New Roman"/>
              <w:b/>
              <w:sz w:val="28"/>
              <w:szCs w:val="20"/>
            </w:rPr>
            <w:t xml:space="preserve"> 15-18 July 2013</w:t>
          </w:r>
        </w:p>
        <w:p w:rsidR="00203D79" w:rsidRPr="005A55C2" w:rsidRDefault="00203D79" w:rsidP="00F8649F">
          <w:pPr>
            <w:shd w:val="solid" w:color="FFFFFF" w:fill="FFFFFF"/>
            <w:spacing w:after="240"/>
            <w:ind w:left="1134" w:hanging="1134"/>
            <w:rPr>
              <w:rFonts w:ascii="Verdana" w:hAnsi="Verdana" w:cs="Verdana"/>
              <w:sz w:val="36"/>
              <w:szCs w:val="20"/>
            </w:rPr>
          </w:pPr>
          <w:r w:rsidRPr="005A55C2">
            <w:rPr>
              <w:rFonts w:ascii="Times New Roman" w:hAnsi="Times New Roman"/>
              <w:b/>
              <w:sz w:val="28"/>
              <w:szCs w:val="20"/>
            </w:rPr>
            <w:t>Submitted by:</w:t>
          </w:r>
          <w:r>
            <w:rPr>
              <w:rFonts w:ascii="Times New Roman" w:hAnsi="Times New Roman"/>
              <w:sz w:val="28"/>
              <w:szCs w:val="20"/>
            </w:rPr>
            <w:t xml:space="preserve"> Jacques </w:t>
          </w:r>
          <w:proofErr w:type="spellStart"/>
          <w:r>
            <w:rPr>
              <w:rFonts w:ascii="Times New Roman" w:hAnsi="Times New Roman"/>
              <w:sz w:val="28"/>
              <w:szCs w:val="20"/>
            </w:rPr>
            <w:t>Anquetil</w:t>
          </w:r>
          <w:proofErr w:type="spellEnd"/>
          <w:r>
            <w:rPr>
              <w:rFonts w:ascii="Times New Roman" w:hAnsi="Times New Roman"/>
              <w:sz w:val="28"/>
              <w:szCs w:val="20"/>
            </w:rPr>
            <w:t xml:space="preserve"> </w:t>
          </w:r>
          <w:r w:rsidR="000A30E2">
            <w:rPr>
              <w:rFonts w:ascii="Times New Roman" w:hAnsi="Times New Roman"/>
              <w:sz w:val="28"/>
              <w:szCs w:val="20"/>
            </w:rPr>
            <w:t>(</w:t>
          </w:r>
          <w:proofErr w:type="spellStart"/>
          <w:r>
            <w:rPr>
              <w:rFonts w:ascii="Times New Roman" w:hAnsi="Times New Roman"/>
              <w:sz w:val="28"/>
              <w:szCs w:val="20"/>
            </w:rPr>
            <w:t>Meteo</w:t>
          </w:r>
          <w:proofErr w:type="spellEnd"/>
          <w:r>
            <w:rPr>
              <w:rFonts w:ascii="Times New Roman" w:hAnsi="Times New Roman"/>
              <w:sz w:val="28"/>
              <w:szCs w:val="20"/>
            </w:rPr>
            <w:t xml:space="preserve"> France</w:t>
          </w:r>
          <w:r w:rsidR="000A30E2">
            <w:rPr>
              <w:rFonts w:ascii="Times New Roman" w:hAnsi="Times New Roman"/>
              <w:sz w:val="28"/>
              <w:szCs w:val="20"/>
            </w:rPr>
            <w:t>)</w:t>
          </w:r>
        </w:p>
      </w:tc>
      <w:tc>
        <w:tcPr>
          <w:tcW w:w="3851" w:type="dxa"/>
        </w:tcPr>
        <w:p w:rsidR="00203D79" w:rsidRPr="005A55C2" w:rsidRDefault="00203D79" w:rsidP="000A30E2">
          <w:pPr>
            <w:shd w:val="solid" w:color="FFFFFF" w:fill="FFFFFF"/>
            <w:spacing w:line="240" w:lineRule="atLeast"/>
            <w:rPr>
              <w:rFonts w:ascii="Times New Roman" w:hAnsi="Times New Roman"/>
              <w:sz w:val="28"/>
              <w:szCs w:val="20"/>
              <w:lang w:eastAsia="zh-CN"/>
            </w:rPr>
          </w:pPr>
          <w:r w:rsidRPr="005A55C2">
            <w:rPr>
              <w:rFonts w:ascii="Times New Roman" w:hAnsi="Times New Roman"/>
              <w:b/>
              <w:bCs/>
              <w:sz w:val="28"/>
              <w:szCs w:val="20"/>
              <w:lang w:eastAsia="zh-CN"/>
            </w:rPr>
            <w:t>ET-WISC/2013-Doc</w:t>
          </w:r>
          <w:r w:rsidR="000A30E2">
            <w:rPr>
              <w:rFonts w:ascii="Times New Roman" w:hAnsi="Times New Roman"/>
              <w:b/>
              <w:bCs/>
              <w:sz w:val="28"/>
              <w:szCs w:val="20"/>
              <w:lang w:eastAsia="zh-CN"/>
            </w:rPr>
            <w:t xml:space="preserve"> 64</w:t>
          </w:r>
          <w:r>
            <w:rPr>
              <w:rFonts w:ascii="Times New Roman" w:hAnsi="Times New Roman"/>
              <w:b/>
              <w:bCs/>
              <w:sz w:val="28"/>
              <w:szCs w:val="20"/>
              <w:lang w:eastAsia="zh-CN"/>
            </w:rPr>
            <w:br/>
            <w:t xml:space="preserve">Agenda Item </w:t>
          </w:r>
          <w:r w:rsidRPr="000A30E2">
            <w:rPr>
              <w:rFonts w:ascii="Times New Roman" w:hAnsi="Times New Roman"/>
              <w:b/>
              <w:bCs/>
              <w:sz w:val="28"/>
              <w:szCs w:val="20"/>
              <w:lang w:eastAsia="zh-CN"/>
            </w:rPr>
            <w:t>5.2</w:t>
          </w:r>
        </w:p>
      </w:tc>
    </w:tr>
    <w:tr w:rsidR="00203D79" w:rsidRPr="005A55C2" w:rsidTr="00BA350D">
      <w:trPr>
        <w:cantSplit/>
        <w:trHeight w:val="81"/>
      </w:trPr>
      <w:tc>
        <w:tcPr>
          <w:tcW w:w="6228" w:type="dxa"/>
          <w:gridSpan w:val="2"/>
          <w:vMerge/>
        </w:tcPr>
        <w:p w:rsidR="00203D79" w:rsidRPr="005A55C2" w:rsidRDefault="00203D79" w:rsidP="00397DA5">
          <w:pPr>
            <w:shd w:val="solid" w:color="FFFFFF" w:fill="FFFFFF"/>
            <w:spacing w:after="240"/>
            <w:ind w:left="1134" w:hanging="1134"/>
            <w:rPr>
              <w:rFonts w:ascii="Verdana" w:hAnsi="Verdana" w:cs="Verdana"/>
              <w:sz w:val="20"/>
              <w:szCs w:val="20"/>
            </w:rPr>
          </w:pPr>
        </w:p>
      </w:tc>
      <w:tc>
        <w:tcPr>
          <w:tcW w:w="3851" w:type="dxa"/>
        </w:tcPr>
        <w:p w:rsidR="00203D79" w:rsidRPr="005A55C2" w:rsidRDefault="000A30E2" w:rsidP="0013270C">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 xml:space="preserve">11 </w:t>
          </w:r>
          <w:r w:rsidR="00203D79">
            <w:rPr>
              <w:rFonts w:ascii="Times New Roman" w:hAnsi="Times New Roman"/>
              <w:b/>
              <w:bCs/>
              <w:sz w:val="28"/>
              <w:szCs w:val="20"/>
              <w:lang w:eastAsia="zh-CN"/>
            </w:rPr>
            <w:t>July</w:t>
          </w:r>
          <w:r w:rsidR="00203D79" w:rsidRPr="005A55C2">
            <w:rPr>
              <w:rFonts w:ascii="Times New Roman" w:hAnsi="Times New Roman"/>
              <w:b/>
              <w:bCs/>
              <w:sz w:val="28"/>
              <w:szCs w:val="20"/>
              <w:lang w:eastAsia="zh-CN"/>
            </w:rPr>
            <w:t xml:space="preserve"> 2013</w:t>
          </w:r>
        </w:p>
      </w:tc>
    </w:tr>
  </w:tbl>
  <w:p w:rsidR="00203D79" w:rsidRDefault="00203D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1E602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70497E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9F8724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CF4ED6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4DEF04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43240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608D7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7B4CD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2AE5E7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216FEC8"/>
    <w:lvl w:ilvl="0">
      <w:start w:val="1"/>
      <w:numFmt w:val="bullet"/>
      <w:lvlText w:val=""/>
      <w:lvlJc w:val="left"/>
      <w:pPr>
        <w:tabs>
          <w:tab w:val="num" w:pos="360"/>
        </w:tabs>
        <w:ind w:left="360" w:hanging="360"/>
      </w:pPr>
      <w:rPr>
        <w:rFonts w:ascii="Symbol" w:hAnsi="Symbol" w:hint="default"/>
      </w:rPr>
    </w:lvl>
  </w:abstractNum>
  <w:abstractNum w:abstractNumId="10">
    <w:nsid w:val="193D7B37"/>
    <w:multiLevelType w:val="hybridMultilevel"/>
    <w:tmpl w:val="890E7A0C"/>
    <w:lvl w:ilvl="0" w:tplc="040C0001">
      <w:start w:val="1"/>
      <w:numFmt w:val="bullet"/>
      <w:lvlText w:val=""/>
      <w:lvlJc w:val="left"/>
      <w:pPr>
        <w:tabs>
          <w:tab w:val="num" w:pos="1080"/>
        </w:tabs>
        <w:ind w:left="1080" w:hanging="360"/>
      </w:pPr>
      <w:rPr>
        <w:rFonts w:ascii="Symbol" w:hAnsi="Symbol" w:hint="default"/>
      </w:rPr>
    </w:lvl>
    <w:lvl w:ilvl="1" w:tplc="040C0003">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31747C5F"/>
    <w:multiLevelType w:val="hybridMultilevel"/>
    <w:tmpl w:val="55DEA9AE"/>
    <w:lvl w:ilvl="0" w:tplc="2716DA8E">
      <w:start w:val="1"/>
      <w:numFmt w:val="bullet"/>
      <w:lvlText w:val=""/>
      <w:lvlJc w:val="left"/>
      <w:pPr>
        <w:tabs>
          <w:tab w:val="num" w:pos="720"/>
        </w:tabs>
        <w:ind w:left="720" w:hanging="360"/>
      </w:pPr>
      <w:rPr>
        <w:rFonts w:ascii="Wingdings" w:hAnsi="Wingdings" w:hint="default"/>
      </w:rPr>
    </w:lvl>
    <w:lvl w:ilvl="1" w:tplc="26DE77EE" w:tentative="1">
      <w:start w:val="1"/>
      <w:numFmt w:val="bullet"/>
      <w:lvlText w:val=""/>
      <w:lvlJc w:val="left"/>
      <w:pPr>
        <w:tabs>
          <w:tab w:val="num" w:pos="1440"/>
        </w:tabs>
        <w:ind w:left="1440" w:hanging="360"/>
      </w:pPr>
      <w:rPr>
        <w:rFonts w:ascii="Wingdings" w:hAnsi="Wingdings" w:hint="default"/>
      </w:rPr>
    </w:lvl>
    <w:lvl w:ilvl="2" w:tplc="8480A2BE" w:tentative="1">
      <w:start w:val="1"/>
      <w:numFmt w:val="bullet"/>
      <w:lvlText w:val=""/>
      <w:lvlJc w:val="left"/>
      <w:pPr>
        <w:tabs>
          <w:tab w:val="num" w:pos="2160"/>
        </w:tabs>
        <w:ind w:left="2160" w:hanging="360"/>
      </w:pPr>
      <w:rPr>
        <w:rFonts w:ascii="Wingdings" w:hAnsi="Wingdings" w:hint="default"/>
      </w:rPr>
    </w:lvl>
    <w:lvl w:ilvl="3" w:tplc="D5E8A37E" w:tentative="1">
      <w:start w:val="1"/>
      <w:numFmt w:val="bullet"/>
      <w:lvlText w:val=""/>
      <w:lvlJc w:val="left"/>
      <w:pPr>
        <w:tabs>
          <w:tab w:val="num" w:pos="2880"/>
        </w:tabs>
        <w:ind w:left="2880" w:hanging="360"/>
      </w:pPr>
      <w:rPr>
        <w:rFonts w:ascii="Wingdings" w:hAnsi="Wingdings" w:hint="default"/>
      </w:rPr>
    </w:lvl>
    <w:lvl w:ilvl="4" w:tplc="B15A4986" w:tentative="1">
      <w:start w:val="1"/>
      <w:numFmt w:val="bullet"/>
      <w:lvlText w:val=""/>
      <w:lvlJc w:val="left"/>
      <w:pPr>
        <w:tabs>
          <w:tab w:val="num" w:pos="3600"/>
        </w:tabs>
        <w:ind w:left="3600" w:hanging="360"/>
      </w:pPr>
      <w:rPr>
        <w:rFonts w:ascii="Wingdings" w:hAnsi="Wingdings" w:hint="default"/>
      </w:rPr>
    </w:lvl>
    <w:lvl w:ilvl="5" w:tplc="0BE0F9BA" w:tentative="1">
      <w:start w:val="1"/>
      <w:numFmt w:val="bullet"/>
      <w:lvlText w:val=""/>
      <w:lvlJc w:val="left"/>
      <w:pPr>
        <w:tabs>
          <w:tab w:val="num" w:pos="4320"/>
        </w:tabs>
        <w:ind w:left="4320" w:hanging="360"/>
      </w:pPr>
      <w:rPr>
        <w:rFonts w:ascii="Wingdings" w:hAnsi="Wingdings" w:hint="default"/>
      </w:rPr>
    </w:lvl>
    <w:lvl w:ilvl="6" w:tplc="18E67988" w:tentative="1">
      <w:start w:val="1"/>
      <w:numFmt w:val="bullet"/>
      <w:lvlText w:val=""/>
      <w:lvlJc w:val="left"/>
      <w:pPr>
        <w:tabs>
          <w:tab w:val="num" w:pos="5040"/>
        </w:tabs>
        <w:ind w:left="5040" w:hanging="360"/>
      </w:pPr>
      <w:rPr>
        <w:rFonts w:ascii="Wingdings" w:hAnsi="Wingdings" w:hint="default"/>
      </w:rPr>
    </w:lvl>
    <w:lvl w:ilvl="7" w:tplc="D32E1580" w:tentative="1">
      <w:start w:val="1"/>
      <w:numFmt w:val="bullet"/>
      <w:lvlText w:val=""/>
      <w:lvlJc w:val="left"/>
      <w:pPr>
        <w:tabs>
          <w:tab w:val="num" w:pos="5760"/>
        </w:tabs>
        <w:ind w:left="5760" w:hanging="360"/>
      </w:pPr>
      <w:rPr>
        <w:rFonts w:ascii="Wingdings" w:hAnsi="Wingdings" w:hint="default"/>
      </w:rPr>
    </w:lvl>
    <w:lvl w:ilvl="8" w:tplc="5270040E" w:tentative="1">
      <w:start w:val="1"/>
      <w:numFmt w:val="bullet"/>
      <w:lvlText w:val=""/>
      <w:lvlJc w:val="left"/>
      <w:pPr>
        <w:tabs>
          <w:tab w:val="num" w:pos="6480"/>
        </w:tabs>
        <w:ind w:left="6480" w:hanging="360"/>
      </w:pPr>
      <w:rPr>
        <w:rFonts w:ascii="Wingdings" w:hAnsi="Wingdings" w:hint="default"/>
      </w:rPr>
    </w:lvl>
  </w:abstractNum>
  <w:abstractNum w:abstractNumId="13">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7E54B4"/>
    <w:multiLevelType w:val="hybridMultilevel"/>
    <w:tmpl w:val="7D92E9A2"/>
    <w:lvl w:ilvl="0" w:tplc="88D258DC">
      <w:start w:val="6"/>
      <w:numFmt w:val="lowerLetter"/>
      <w:lvlText w:val="(%1)"/>
      <w:lvlJc w:val="left"/>
      <w:pPr>
        <w:tabs>
          <w:tab w:val="num" w:pos="1080"/>
        </w:tabs>
        <w:ind w:left="1080" w:hanging="720"/>
      </w:pPr>
      <w:rPr>
        <w:rFonts w:cs="Times New Roman" w:hint="default"/>
      </w:rPr>
    </w:lvl>
    <w:lvl w:ilvl="1" w:tplc="040C0019">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num w:numId="1">
    <w:abstractNumId w:val="13"/>
  </w:num>
  <w:num w:numId="2">
    <w:abstractNumId w:val="11"/>
  </w:num>
  <w:num w:numId="3">
    <w:abstractNumId w:val="14"/>
  </w:num>
  <w:num w:numId="4">
    <w:abstractNumId w:val="10"/>
  </w:num>
  <w:num w:numId="5">
    <w:abstractNumId w:val="7"/>
  </w:num>
  <w:num w:numId="6">
    <w:abstractNumId w:val="15"/>
  </w:num>
  <w:num w:numId="7">
    <w:abstractNumId w:val="12"/>
  </w:num>
  <w:num w:numId="8">
    <w:abstractNumId w:val="8"/>
  </w:num>
  <w:num w:numId="9">
    <w:abstractNumId w:val="3"/>
  </w:num>
  <w:num w:numId="10">
    <w:abstractNumId w:val="2"/>
  </w:num>
  <w:num w:numId="11">
    <w:abstractNumId w:val="1"/>
  </w:num>
  <w:num w:numId="12">
    <w:abstractNumId w:val="0"/>
  </w:num>
  <w:num w:numId="13">
    <w:abstractNumId w:val="9"/>
  </w:num>
  <w:num w:numId="14">
    <w:abstractNumId w:val="6"/>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7E"/>
    <w:rsid w:val="0002086C"/>
    <w:rsid w:val="00047793"/>
    <w:rsid w:val="000839B0"/>
    <w:rsid w:val="000A30E2"/>
    <w:rsid w:val="000B79E5"/>
    <w:rsid w:val="000E5E4E"/>
    <w:rsid w:val="0013270C"/>
    <w:rsid w:val="001A7EB8"/>
    <w:rsid w:val="001B63F7"/>
    <w:rsid w:val="00203D79"/>
    <w:rsid w:val="002116A1"/>
    <w:rsid w:val="00232C93"/>
    <w:rsid w:val="002D195A"/>
    <w:rsid w:val="002D649D"/>
    <w:rsid w:val="002E0C7F"/>
    <w:rsid w:val="00302A95"/>
    <w:rsid w:val="003176E9"/>
    <w:rsid w:val="00343D40"/>
    <w:rsid w:val="00366E9D"/>
    <w:rsid w:val="00382768"/>
    <w:rsid w:val="00393854"/>
    <w:rsid w:val="00397DA5"/>
    <w:rsid w:val="003E4E9A"/>
    <w:rsid w:val="004075B5"/>
    <w:rsid w:val="00414CA4"/>
    <w:rsid w:val="00472640"/>
    <w:rsid w:val="00480BC4"/>
    <w:rsid w:val="004A74A5"/>
    <w:rsid w:val="00511FE7"/>
    <w:rsid w:val="005406FB"/>
    <w:rsid w:val="00555128"/>
    <w:rsid w:val="00567999"/>
    <w:rsid w:val="0058171F"/>
    <w:rsid w:val="005A55C2"/>
    <w:rsid w:val="00666494"/>
    <w:rsid w:val="0067003E"/>
    <w:rsid w:val="00670B56"/>
    <w:rsid w:val="006A5F65"/>
    <w:rsid w:val="006D5E47"/>
    <w:rsid w:val="00711C7A"/>
    <w:rsid w:val="00711EBB"/>
    <w:rsid w:val="007229A6"/>
    <w:rsid w:val="00730EBE"/>
    <w:rsid w:val="007408B9"/>
    <w:rsid w:val="00785D74"/>
    <w:rsid w:val="007A712B"/>
    <w:rsid w:val="007C35CD"/>
    <w:rsid w:val="00846B6A"/>
    <w:rsid w:val="008B03FF"/>
    <w:rsid w:val="008C157E"/>
    <w:rsid w:val="0094789B"/>
    <w:rsid w:val="009526C0"/>
    <w:rsid w:val="00991C9D"/>
    <w:rsid w:val="00A05429"/>
    <w:rsid w:val="00A25CFC"/>
    <w:rsid w:val="00A27A48"/>
    <w:rsid w:val="00A5107F"/>
    <w:rsid w:val="00AB4A6D"/>
    <w:rsid w:val="00AD7447"/>
    <w:rsid w:val="00AF752A"/>
    <w:rsid w:val="00B00339"/>
    <w:rsid w:val="00B036CD"/>
    <w:rsid w:val="00B11830"/>
    <w:rsid w:val="00B36904"/>
    <w:rsid w:val="00B439DE"/>
    <w:rsid w:val="00B57925"/>
    <w:rsid w:val="00B671F2"/>
    <w:rsid w:val="00BA350D"/>
    <w:rsid w:val="00C378B3"/>
    <w:rsid w:val="00C5333A"/>
    <w:rsid w:val="00CB508D"/>
    <w:rsid w:val="00CB6D6D"/>
    <w:rsid w:val="00CF7953"/>
    <w:rsid w:val="00D41E84"/>
    <w:rsid w:val="00D55749"/>
    <w:rsid w:val="00DB290A"/>
    <w:rsid w:val="00DE45A1"/>
    <w:rsid w:val="00DF5459"/>
    <w:rsid w:val="00E21D5F"/>
    <w:rsid w:val="00E77C26"/>
    <w:rsid w:val="00EC47C2"/>
    <w:rsid w:val="00F5368D"/>
    <w:rsid w:val="00F614F8"/>
    <w:rsid w:val="00F8649F"/>
    <w:rsid w:val="00FC150A"/>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E4E"/>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paragraph" w:styleId="Heading4">
    <w:name w:val="heading 4"/>
    <w:basedOn w:val="Normal"/>
    <w:next w:val="Normal"/>
    <w:link w:val="Heading4Char1"/>
    <w:uiPriority w:val="99"/>
    <w:qFormat/>
    <w:locked/>
    <w:rsid w:val="00414CA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bCs/>
      <w:color w:val="4F81BD"/>
    </w:rPr>
  </w:style>
  <w:style w:type="character" w:customStyle="1" w:styleId="Heading4Char">
    <w:name w:val="Heading 4 Char"/>
    <w:basedOn w:val="DefaultParagraphFont"/>
    <w:uiPriority w:val="99"/>
    <w:semiHidden/>
    <w:locked/>
    <w:rPr>
      <w:rFonts w:ascii="Calibri" w:hAnsi="Calibri" w:cs="Times New Roman"/>
      <w:b/>
      <w:bCs/>
      <w:sz w:val="28"/>
      <w:szCs w:val="28"/>
      <w:lang w:val="en-US" w:eastAsia="en-US"/>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ja-JP"/>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paragraph" w:styleId="Caption">
    <w:name w:val="caption"/>
    <w:basedOn w:val="Normal"/>
    <w:next w:val="Normal"/>
    <w:link w:val="CaptionChar"/>
    <w:uiPriority w:val="99"/>
    <w:qFormat/>
    <w:locked/>
    <w:rsid w:val="002E0C7F"/>
    <w:pPr>
      <w:spacing w:before="120" w:after="120" w:line="240" w:lineRule="auto"/>
      <w:jc w:val="center"/>
    </w:pPr>
    <w:rPr>
      <w:rFonts w:ascii="Arial" w:hAnsi="Arial"/>
      <w:b/>
      <w:sz w:val="20"/>
      <w:szCs w:val="20"/>
      <w:lang w:val="en-GB" w:eastAsia="fr-FR"/>
    </w:rPr>
  </w:style>
  <w:style w:type="character" w:customStyle="1" w:styleId="CaptionChar">
    <w:name w:val="Caption Char"/>
    <w:link w:val="Caption"/>
    <w:uiPriority w:val="99"/>
    <w:locked/>
    <w:rsid w:val="002E0C7F"/>
    <w:rPr>
      <w:rFonts w:ascii="Arial" w:hAnsi="Arial"/>
      <w:b/>
      <w:lang w:val="en-GB" w:eastAsia="fr-FR"/>
    </w:rPr>
  </w:style>
  <w:style w:type="table" w:styleId="TableGrid">
    <w:name w:val="Table Grid"/>
    <w:basedOn w:val="TableNormal"/>
    <w:uiPriority w:val="99"/>
    <w:locked/>
    <w:rsid w:val="00B036CD"/>
    <w:rPr>
      <w:rFonts w:ascii="Times New Roman" w:eastAsia="MS Mincho"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re1Car">
    <w:name w:val="Titre 1 Car"/>
    <w:basedOn w:val="DefaultParagraphFont"/>
    <w:uiPriority w:val="99"/>
    <w:rsid w:val="00B036CD"/>
    <w:rPr>
      <w:rFonts w:ascii="Arial" w:eastAsia="MS Mincho" w:hAnsi="Arial" w:cs="Arial"/>
      <w:b/>
      <w:bCs/>
      <w:kern w:val="32"/>
      <w:sz w:val="32"/>
      <w:szCs w:val="32"/>
      <w:lang w:val="fr-FR" w:eastAsia="ja-JP" w:bidi="ar-SA"/>
    </w:rPr>
  </w:style>
  <w:style w:type="character" w:customStyle="1" w:styleId="Titre2Car">
    <w:name w:val="Titre 2 Car"/>
    <w:basedOn w:val="DefaultParagraphFont"/>
    <w:uiPriority w:val="99"/>
    <w:rsid w:val="00B036CD"/>
    <w:rPr>
      <w:rFonts w:ascii="Arial" w:eastAsia="MS Mincho" w:hAnsi="Arial" w:cs="Arial"/>
      <w:b/>
      <w:bCs/>
      <w:i/>
      <w:iCs/>
      <w:sz w:val="28"/>
      <w:szCs w:val="28"/>
      <w:lang w:val="fr-FR" w:eastAsia="ja-JP" w:bidi="ar-SA"/>
    </w:rPr>
  </w:style>
  <w:style w:type="character" w:customStyle="1" w:styleId="Heading4Char1">
    <w:name w:val="Heading 4 Char1"/>
    <w:basedOn w:val="DefaultParagraphFont"/>
    <w:link w:val="Heading4"/>
    <w:uiPriority w:val="99"/>
    <w:locked/>
    <w:rsid w:val="00414CA4"/>
    <w:rPr>
      <w:rFonts w:cs="Times New Roman"/>
      <w:b/>
      <w:bCs/>
      <w:sz w:val="28"/>
      <w:szCs w:val="28"/>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385109">
      <w:marLeft w:val="0"/>
      <w:marRight w:val="0"/>
      <w:marTop w:val="0"/>
      <w:marBottom w:val="0"/>
      <w:divBdr>
        <w:top w:val="none" w:sz="0" w:space="0" w:color="auto"/>
        <w:left w:val="none" w:sz="0" w:space="0" w:color="auto"/>
        <w:bottom w:val="none" w:sz="0" w:space="0" w:color="auto"/>
        <w:right w:val="none" w:sz="0" w:space="0" w:color="auto"/>
      </w:divBdr>
    </w:div>
    <w:div w:id="15003851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image" Target="media/image11.emf"/><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581</Words>
  <Characters>3315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Title: vGISC Toulouse/Exeter in operation</vt:lpstr>
    </vt:vector>
  </TitlesOfParts>
  <Company>WMO</Company>
  <LinksUpToDate>false</LinksUpToDate>
  <CharactersWithSpaces>3889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vGISC Toulouse/Exeter in operation</dc:subject>
  <dc:creator>Jacques Anquetil </dc:creator>
  <cp:keywords/>
  <dc:description/>
  <cp:lastModifiedBy>David Thomas</cp:lastModifiedBy>
  <cp:revision>2</cp:revision>
  <dcterms:created xsi:type="dcterms:W3CDTF">2013-07-11T15:45:00Z</dcterms:created>
  <dcterms:modified xsi:type="dcterms:W3CDTF">2013-07-11T15:45:00Z</dcterms:modified>
</cp:coreProperties>
</file>