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643BDC" w:rsidRDefault="00476536" w:rsidP="00F8649F">
      <w:pPr>
        <w:pStyle w:val="Heading1"/>
        <w:rPr>
          <w:lang w:val="en-GB"/>
        </w:rPr>
      </w:pPr>
      <w:bookmarkStart w:id="0" w:name="_GoBack"/>
      <w:bookmarkEnd w:id="0"/>
      <w:r w:rsidRPr="00643BDC">
        <w:rPr>
          <w:lang w:val="en-GB"/>
        </w:rPr>
        <w:t>TT-CAC Work Plan</w:t>
      </w:r>
    </w:p>
    <w:p w:rsidR="00F8649F" w:rsidRPr="00643BDC" w:rsidRDefault="00747554" w:rsidP="00F8649F">
      <w:pPr>
        <w:pStyle w:val="Heading2"/>
        <w:rPr>
          <w:lang w:val="en-GB"/>
        </w:rPr>
      </w:pPr>
      <w:r w:rsidRPr="00643BDC">
        <w:rPr>
          <w:lang w:val="en-GB"/>
        </w:rPr>
        <w:t>Terms of reference</w:t>
      </w:r>
    </w:p>
    <w:p w:rsidR="00643BDC" w:rsidRDefault="00747554" w:rsidP="00643BDC">
      <w:pPr>
        <w:rPr>
          <w:lang w:val="en-GB"/>
        </w:rPr>
      </w:pPr>
      <w:r w:rsidRPr="00643BDC">
        <w:rPr>
          <w:lang w:val="en-GB"/>
        </w:rPr>
        <w:t xml:space="preserve">The terms of reference </w:t>
      </w:r>
      <w:r w:rsidR="00643BDC" w:rsidRPr="00643BDC">
        <w:rPr>
          <w:lang w:val="en-GB"/>
        </w:rPr>
        <w:t>are given for reference</w:t>
      </w:r>
      <w:r w:rsidRPr="00643BDC">
        <w:rPr>
          <w:lang w:val="en-GB"/>
        </w:rPr>
        <w:t>:</w:t>
      </w:r>
    </w:p>
    <w:p w:rsidR="00643BDC" w:rsidRPr="00643BDC" w:rsidRDefault="00747554" w:rsidP="00643BDC">
      <w:pPr>
        <w:pStyle w:val="ListParagraph"/>
        <w:numPr>
          <w:ilvl w:val="0"/>
          <w:numId w:val="6"/>
        </w:numPr>
        <w:jc w:val="both"/>
        <w:rPr>
          <w:lang w:val="en-GB"/>
        </w:rPr>
      </w:pPr>
      <w:r w:rsidRPr="00643BDC">
        <w:rPr>
          <w:lang w:val="en-GB"/>
        </w:rPr>
        <w:t>Operate the procedures for technical endorsement of WIS centres and advise CBS on centres’ level of technical compliance with standards and procedures;</w:t>
      </w:r>
    </w:p>
    <w:p w:rsidR="00643BDC" w:rsidRPr="00643BDC" w:rsidRDefault="00747554" w:rsidP="00643BDC">
      <w:pPr>
        <w:pStyle w:val="ListParagraph"/>
        <w:numPr>
          <w:ilvl w:val="0"/>
          <w:numId w:val="5"/>
        </w:numPr>
        <w:jc w:val="both"/>
        <w:rPr>
          <w:lang w:val="en-GB"/>
        </w:rPr>
      </w:pPr>
      <w:r w:rsidRPr="00643BDC">
        <w:rPr>
          <w:lang w:val="en-GB"/>
        </w:rPr>
        <w:t>Validate and monitor the conformance of WIS centres’ interfaces to the agreed specifications</w:t>
      </w:r>
      <w:r w:rsidR="00643BDC">
        <w:rPr>
          <w:lang w:val="en-GB"/>
        </w:rPr>
        <w:t xml:space="preserve"> </w:t>
      </w:r>
      <w:r w:rsidRPr="00643BDC">
        <w:rPr>
          <w:lang w:val="en-GB"/>
        </w:rPr>
        <w:t>and practices;</w:t>
      </w:r>
    </w:p>
    <w:p w:rsidR="00643BDC" w:rsidRPr="00643BDC" w:rsidRDefault="00747554" w:rsidP="00643BDC">
      <w:pPr>
        <w:pStyle w:val="ListParagraph"/>
        <w:numPr>
          <w:ilvl w:val="1"/>
          <w:numId w:val="5"/>
        </w:numPr>
        <w:jc w:val="both"/>
        <w:rPr>
          <w:lang w:val="en-GB"/>
        </w:rPr>
      </w:pPr>
      <w:r w:rsidRPr="00643BDC">
        <w:rPr>
          <w:lang w:val="en-GB"/>
        </w:rPr>
        <w:t>Maintain guidance and management procedures for the CBS demonstration and assessment capabilities of candidate GISC and DCPC centres in the framework of the GISC/DCPC demonstration procedure described in the Manual on WIS.</w:t>
      </w:r>
    </w:p>
    <w:p w:rsidR="00643BDC" w:rsidRPr="00643BDC" w:rsidRDefault="00747554" w:rsidP="00643BDC">
      <w:pPr>
        <w:pStyle w:val="ListParagraph"/>
        <w:numPr>
          <w:ilvl w:val="1"/>
          <w:numId w:val="5"/>
        </w:numPr>
        <w:jc w:val="both"/>
        <w:rPr>
          <w:lang w:val="en-GB"/>
        </w:rPr>
      </w:pPr>
      <w:r w:rsidRPr="00643BDC">
        <w:rPr>
          <w:lang w:val="en-GB"/>
        </w:rPr>
        <w:t>Organize demonstrations of capabilities of candidate WIS centres as required, including onsite audits of GISCs.</w:t>
      </w:r>
    </w:p>
    <w:p w:rsidR="00643BDC" w:rsidRPr="00643BDC" w:rsidRDefault="00747554" w:rsidP="00643BDC">
      <w:pPr>
        <w:pStyle w:val="ListParagraph"/>
        <w:numPr>
          <w:ilvl w:val="0"/>
          <w:numId w:val="6"/>
        </w:numPr>
        <w:jc w:val="both"/>
        <w:rPr>
          <w:lang w:val="en-GB"/>
        </w:rPr>
      </w:pPr>
      <w:r w:rsidRPr="00643BDC">
        <w:rPr>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p w:rsidR="00643BDC" w:rsidRPr="00643BDC" w:rsidRDefault="00747554" w:rsidP="00643BDC">
      <w:pPr>
        <w:pStyle w:val="ListParagraph"/>
        <w:numPr>
          <w:ilvl w:val="0"/>
          <w:numId w:val="6"/>
        </w:numPr>
        <w:jc w:val="both"/>
        <w:rPr>
          <w:lang w:val="en-GB"/>
        </w:rPr>
      </w:pPr>
      <w:r w:rsidRPr="00643BDC">
        <w:rPr>
          <w:lang w:val="en-GB"/>
        </w:rPr>
        <w:t>Identify implementation and operational issues requiring the urgent consideration of the OPAG on ISS;</w:t>
      </w:r>
    </w:p>
    <w:p w:rsidR="0020770D" w:rsidRDefault="00747554" w:rsidP="00643BDC">
      <w:pPr>
        <w:pStyle w:val="ListParagraph"/>
        <w:numPr>
          <w:ilvl w:val="0"/>
          <w:numId w:val="6"/>
        </w:numPr>
        <w:jc w:val="both"/>
        <w:rPr>
          <w:lang w:val="en-GB"/>
        </w:rPr>
      </w:pPr>
      <w:r w:rsidRPr="00643BDC">
        <w:rPr>
          <w:lang w:val="en-GB"/>
        </w:rPr>
        <w:t>Propose procedures for periodic assessment of the WIS centres, especially GISCs.</w:t>
      </w:r>
      <w:r w:rsidR="00643BDC">
        <w:rPr>
          <w:lang w:val="en-GB"/>
        </w:rPr>
        <w:t xml:space="preserve"> </w:t>
      </w:r>
      <w:r w:rsidRPr="00643BDC">
        <w:rPr>
          <w:lang w:val="en-GB"/>
        </w:rPr>
        <w:t>Coordinate the maintenance and development of technical and operational specifications supporting interoperability of WIS Centres.</w:t>
      </w:r>
    </w:p>
    <w:p w:rsidR="00643BDC" w:rsidRDefault="00643BDC" w:rsidP="00643BDC">
      <w:pPr>
        <w:pStyle w:val="Heading2"/>
        <w:rPr>
          <w:lang w:val="en-GB"/>
        </w:rPr>
      </w:pPr>
      <w:r>
        <w:rPr>
          <w:lang w:val="en-GB"/>
        </w:rPr>
        <w:t>Points of discussion</w:t>
      </w:r>
    </w:p>
    <w:p w:rsidR="00643BDC" w:rsidRPr="00643BDC" w:rsidRDefault="00643BDC" w:rsidP="00643BDC">
      <w:pPr>
        <w:rPr>
          <w:lang w:val="en-GB"/>
        </w:rPr>
      </w:pPr>
      <w:r>
        <w:rPr>
          <w:lang w:val="en-GB"/>
        </w:rPr>
        <w:t>The following points have been established during the past audits</w:t>
      </w:r>
      <w:r w:rsidRPr="00643BDC">
        <w:rPr>
          <w:lang w:val="en-GB"/>
        </w:rPr>
        <w:t>:</w:t>
      </w:r>
    </w:p>
    <w:p w:rsidR="00643BDC" w:rsidRDefault="00643BDC" w:rsidP="00643BDC">
      <w:pPr>
        <w:pStyle w:val="ListParagraph"/>
        <w:numPr>
          <w:ilvl w:val="0"/>
          <w:numId w:val="7"/>
        </w:numPr>
        <w:rPr>
          <w:lang w:val="en-GB"/>
        </w:rPr>
      </w:pPr>
      <w:r w:rsidRPr="00643BDC">
        <w:rPr>
          <w:lang w:val="en-GB"/>
        </w:rPr>
        <w:t xml:space="preserve">The rate of auditing </w:t>
      </w:r>
      <w:r>
        <w:rPr>
          <w:lang w:val="en-GB"/>
        </w:rPr>
        <w:t>is</w:t>
      </w:r>
      <w:r w:rsidRPr="00643BDC">
        <w:rPr>
          <w:lang w:val="en-GB"/>
        </w:rPr>
        <w:t xml:space="preserve"> </w:t>
      </w:r>
      <w:r w:rsidR="00586889">
        <w:rPr>
          <w:lang w:val="en-GB"/>
        </w:rPr>
        <w:t xml:space="preserve">not </w:t>
      </w:r>
      <w:r w:rsidRPr="00643BDC">
        <w:rPr>
          <w:lang w:val="en-GB"/>
        </w:rPr>
        <w:t>sustainable.</w:t>
      </w:r>
      <w:r>
        <w:rPr>
          <w:lang w:val="en-GB"/>
        </w:rPr>
        <w:t xml:space="preserve"> There are too many audits, in too short a time and not enough auditors</w:t>
      </w:r>
      <w:r w:rsidR="00586889">
        <w:rPr>
          <w:lang w:val="en-GB"/>
        </w:rPr>
        <w:t>.</w:t>
      </w:r>
    </w:p>
    <w:p w:rsidR="00643BDC" w:rsidRDefault="00643BDC" w:rsidP="00643BDC">
      <w:pPr>
        <w:pStyle w:val="ListParagraph"/>
        <w:numPr>
          <w:ilvl w:val="0"/>
          <w:numId w:val="7"/>
        </w:numPr>
        <w:rPr>
          <w:lang w:val="en-GB"/>
        </w:rPr>
      </w:pPr>
      <w:r>
        <w:rPr>
          <w:lang w:val="en-GB"/>
        </w:rPr>
        <w:t xml:space="preserve">The </w:t>
      </w:r>
      <w:r w:rsidRPr="00643BDC">
        <w:rPr>
          <w:lang w:val="en-GB"/>
        </w:rPr>
        <w:t>candidates set themselves deadlines linked to the WMO calendar</w:t>
      </w:r>
      <w:r>
        <w:rPr>
          <w:lang w:val="en-GB"/>
        </w:rPr>
        <w:t xml:space="preserve"> (EC, CBS…)</w:t>
      </w:r>
      <w:r w:rsidR="00586889">
        <w:rPr>
          <w:lang w:val="en-GB"/>
        </w:rPr>
        <w:t>.</w:t>
      </w:r>
    </w:p>
    <w:p w:rsidR="00643BDC" w:rsidRPr="00643BDC" w:rsidRDefault="00643BDC" w:rsidP="00643BDC">
      <w:pPr>
        <w:ind w:left="360"/>
        <w:rPr>
          <w:lang w:val="en-GB"/>
        </w:rPr>
      </w:pPr>
    </w:p>
    <w:p w:rsidR="00643BDC" w:rsidRPr="00643BDC" w:rsidRDefault="00643BDC" w:rsidP="00643BDC">
      <w:pPr>
        <w:pStyle w:val="ListParagraph"/>
        <w:numPr>
          <w:ilvl w:val="0"/>
          <w:numId w:val="7"/>
        </w:numPr>
        <w:rPr>
          <w:lang w:val="en-GB"/>
        </w:rPr>
      </w:pPr>
      <w:r>
        <w:rPr>
          <w:lang w:val="en-GB"/>
        </w:rPr>
        <w:lastRenderedPageBreak/>
        <w:t>C</w:t>
      </w:r>
      <w:r w:rsidRPr="00643BDC">
        <w:rPr>
          <w:lang w:val="en-GB"/>
        </w:rPr>
        <w:t>andidates d</w:t>
      </w:r>
      <w:r>
        <w:rPr>
          <w:lang w:val="en-GB"/>
        </w:rPr>
        <w:t>o</w:t>
      </w:r>
      <w:r w:rsidRPr="00643BDC">
        <w:rPr>
          <w:lang w:val="en-GB"/>
        </w:rPr>
        <w:t xml:space="preserve"> not know what to expect from the audit</w:t>
      </w:r>
      <w:r>
        <w:rPr>
          <w:lang w:val="en-GB"/>
        </w:rPr>
        <w:t>. This is due to a lack of information.</w:t>
      </w:r>
    </w:p>
    <w:p w:rsidR="00643BDC" w:rsidRPr="00643BDC" w:rsidRDefault="00643BDC" w:rsidP="00643BDC">
      <w:pPr>
        <w:pStyle w:val="ListParagraph"/>
        <w:numPr>
          <w:ilvl w:val="0"/>
          <w:numId w:val="7"/>
        </w:numPr>
        <w:rPr>
          <w:lang w:val="en-GB"/>
        </w:rPr>
      </w:pPr>
      <w:r>
        <w:rPr>
          <w:lang w:val="en-GB"/>
        </w:rPr>
        <w:t>C</w:t>
      </w:r>
      <w:r w:rsidRPr="00643BDC">
        <w:rPr>
          <w:lang w:val="en-GB"/>
        </w:rPr>
        <w:t>andidates d</w:t>
      </w:r>
      <w:r>
        <w:rPr>
          <w:lang w:val="en-GB"/>
        </w:rPr>
        <w:t>o</w:t>
      </w:r>
      <w:r w:rsidRPr="00643BDC">
        <w:rPr>
          <w:lang w:val="en-GB"/>
        </w:rPr>
        <w:t xml:space="preserve"> not have the level of readiness the expected by the auditors</w:t>
      </w:r>
      <w:r>
        <w:rPr>
          <w:lang w:val="en-GB"/>
        </w:rPr>
        <w:t>. This is due to the previous two point</w:t>
      </w:r>
      <w:r w:rsidR="00586889">
        <w:rPr>
          <w:lang w:val="en-GB"/>
        </w:rPr>
        <w:t>s</w:t>
      </w:r>
      <w:r w:rsidRPr="00643BDC">
        <w:rPr>
          <w:lang w:val="en-GB"/>
        </w:rPr>
        <w:t>.</w:t>
      </w:r>
    </w:p>
    <w:p w:rsidR="00643BDC" w:rsidRDefault="00643BDC" w:rsidP="00643BDC">
      <w:pPr>
        <w:pStyle w:val="ListParagraph"/>
        <w:numPr>
          <w:ilvl w:val="0"/>
          <w:numId w:val="7"/>
        </w:numPr>
        <w:rPr>
          <w:lang w:val="en-GB"/>
        </w:rPr>
      </w:pPr>
      <w:r w:rsidRPr="00643BDC">
        <w:rPr>
          <w:lang w:val="en-GB"/>
        </w:rPr>
        <w:t xml:space="preserve">Several candidates were “endorsed with qualifications”. </w:t>
      </w:r>
      <w:r w:rsidR="00586889">
        <w:rPr>
          <w:lang w:val="en-GB"/>
        </w:rPr>
        <w:t xml:space="preserve"> There is no shared understanding if this needs further action or not</w:t>
      </w:r>
      <w:r w:rsidRPr="00643BDC">
        <w:rPr>
          <w:lang w:val="en-GB"/>
        </w:rPr>
        <w:t>.</w:t>
      </w:r>
    </w:p>
    <w:p w:rsidR="005D447A" w:rsidRPr="005D447A" w:rsidRDefault="005D447A" w:rsidP="005D447A">
      <w:pPr>
        <w:rPr>
          <w:lang w:val="en-GB"/>
        </w:rPr>
      </w:pPr>
      <w:r>
        <w:rPr>
          <w:lang w:val="en-GB"/>
        </w:rPr>
        <w:t xml:space="preserve">Furthermore, there is a need to understand if the WIS is fulfilling its primary goal: handling data from other WMO programmes and providing access to its data a wider community. </w:t>
      </w:r>
    </w:p>
    <w:p w:rsidR="00643BDC" w:rsidRDefault="00586889" w:rsidP="00586889">
      <w:pPr>
        <w:pStyle w:val="Heading2"/>
        <w:rPr>
          <w:lang w:val="en-GB"/>
        </w:rPr>
      </w:pPr>
      <w:r w:rsidRPr="00643BDC">
        <w:rPr>
          <w:lang w:val="en-GB"/>
        </w:rPr>
        <w:t>Plan of work</w:t>
      </w:r>
    </w:p>
    <w:p w:rsidR="00586889" w:rsidRDefault="00586889" w:rsidP="00586889">
      <w:pPr>
        <w:rPr>
          <w:lang w:val="en-GB"/>
        </w:rPr>
      </w:pPr>
      <w:r>
        <w:rPr>
          <w:lang w:val="en-GB"/>
        </w:rPr>
        <w:t>It is proposed that the TT-CAC meets in the future to establish its plan of work, along the following lines:</w:t>
      </w:r>
    </w:p>
    <w:p w:rsidR="00586889" w:rsidRDefault="00586889" w:rsidP="00586889">
      <w:pPr>
        <w:pStyle w:val="ListParagraph"/>
        <w:numPr>
          <w:ilvl w:val="0"/>
          <w:numId w:val="9"/>
        </w:numPr>
        <w:rPr>
          <w:lang w:val="en-GB"/>
        </w:rPr>
      </w:pPr>
      <w:r>
        <w:rPr>
          <w:lang w:val="en-GB"/>
        </w:rPr>
        <w:t>Improve communication/information so that candidate centres have a better understanding of the audit process</w:t>
      </w:r>
    </w:p>
    <w:p w:rsidR="00586889" w:rsidRDefault="00586889" w:rsidP="00586889">
      <w:pPr>
        <w:pStyle w:val="ListParagraph"/>
        <w:numPr>
          <w:ilvl w:val="0"/>
          <w:numId w:val="9"/>
        </w:numPr>
        <w:rPr>
          <w:lang w:val="en-GB"/>
        </w:rPr>
      </w:pPr>
      <w:r>
        <w:rPr>
          <w:lang w:val="en-GB"/>
        </w:rPr>
        <w:t>Propose to CBS a new process for the audit of DCPCs</w:t>
      </w:r>
    </w:p>
    <w:p w:rsidR="00586889" w:rsidRDefault="00586889" w:rsidP="00586889">
      <w:pPr>
        <w:pStyle w:val="ListParagraph"/>
        <w:numPr>
          <w:ilvl w:val="0"/>
          <w:numId w:val="9"/>
        </w:numPr>
        <w:rPr>
          <w:lang w:val="en-GB"/>
        </w:rPr>
      </w:pPr>
      <w:r>
        <w:rPr>
          <w:lang w:val="en-GB"/>
        </w:rPr>
        <w:t>Propose to CBS a process for recurrent audits, and the frequency of such audits</w:t>
      </w:r>
    </w:p>
    <w:p w:rsidR="00586889" w:rsidRDefault="00586889" w:rsidP="00586889">
      <w:pPr>
        <w:pStyle w:val="ListParagraph"/>
        <w:numPr>
          <w:ilvl w:val="0"/>
          <w:numId w:val="9"/>
        </w:numPr>
        <w:rPr>
          <w:lang w:val="en-GB"/>
        </w:rPr>
      </w:pPr>
      <w:r>
        <w:rPr>
          <w:lang w:val="en-GB"/>
        </w:rPr>
        <w:t xml:space="preserve">Propose a system by which the TT-CAC can involve external experts for the audits </w:t>
      </w:r>
    </w:p>
    <w:p w:rsidR="00FE027C" w:rsidRDefault="00FE027C" w:rsidP="00586889">
      <w:pPr>
        <w:pStyle w:val="ListParagraph"/>
        <w:numPr>
          <w:ilvl w:val="0"/>
          <w:numId w:val="9"/>
        </w:numPr>
        <w:rPr>
          <w:lang w:val="en-GB"/>
        </w:rPr>
      </w:pPr>
      <w:r>
        <w:rPr>
          <w:lang w:val="en-GB"/>
        </w:rPr>
        <w:t>Propose a way to review if the WIS is fulfilling its goals:</w:t>
      </w:r>
    </w:p>
    <w:p w:rsidR="00FE027C" w:rsidRDefault="00FE027C" w:rsidP="00FE027C">
      <w:pPr>
        <w:pStyle w:val="ListParagraph"/>
        <w:numPr>
          <w:ilvl w:val="1"/>
          <w:numId w:val="9"/>
        </w:numPr>
        <w:rPr>
          <w:lang w:val="en-GB"/>
        </w:rPr>
      </w:pPr>
      <w:r>
        <w:rPr>
          <w:lang w:val="en-GB"/>
        </w:rPr>
        <w:t>How much non-GTS/non-WWW data is available on the WIS</w:t>
      </w:r>
    </w:p>
    <w:p w:rsidR="00FE027C" w:rsidRDefault="00FE027C" w:rsidP="00FE027C">
      <w:pPr>
        <w:pStyle w:val="ListParagraph"/>
        <w:numPr>
          <w:ilvl w:val="1"/>
          <w:numId w:val="9"/>
        </w:numPr>
        <w:rPr>
          <w:lang w:val="en-GB"/>
        </w:rPr>
      </w:pPr>
      <w:r>
        <w:rPr>
          <w:lang w:val="en-GB"/>
        </w:rPr>
        <w:t>How many non-WWW users are making use of the WIS</w:t>
      </w:r>
    </w:p>
    <w:p w:rsidR="00FE027C" w:rsidRDefault="00FE027C" w:rsidP="00FE027C">
      <w:pPr>
        <w:pStyle w:val="ListParagraph"/>
        <w:numPr>
          <w:ilvl w:val="0"/>
          <w:numId w:val="9"/>
        </w:numPr>
        <w:rPr>
          <w:lang w:val="en-GB"/>
        </w:rPr>
      </w:pPr>
      <w:r>
        <w:rPr>
          <w:lang w:val="en-GB"/>
        </w:rPr>
        <w:t xml:space="preserve"> Propose new web-portal usability tests for the second cycle of review.</w:t>
      </w:r>
    </w:p>
    <w:p w:rsidR="00586889" w:rsidRDefault="00586889" w:rsidP="00586889">
      <w:pPr>
        <w:rPr>
          <w:lang w:val="en-GB"/>
        </w:rPr>
      </w:pPr>
      <w:r w:rsidRPr="00586889">
        <w:rPr>
          <w:lang w:val="en-GB"/>
        </w:rPr>
        <w:t>For examp</w:t>
      </w:r>
      <w:r>
        <w:rPr>
          <w:lang w:val="en-GB"/>
        </w:rPr>
        <w:t>le, the TT-CAC can establish a process by which DCPCs will be audited by their primary GISC, and the audit result must be reviewed by the secondary GISC.</w:t>
      </w:r>
    </w:p>
    <w:p w:rsidR="00586889" w:rsidRDefault="00586889" w:rsidP="00586889">
      <w:pPr>
        <w:rPr>
          <w:lang w:val="en-GB"/>
        </w:rPr>
      </w:pPr>
      <w:r>
        <w:rPr>
          <w:lang w:val="en-GB"/>
        </w:rPr>
        <w:t>The TT-CAC can also proposed that WIS centres must be re-audited every 10 years, and that centres that  have had a qualified audit must be audited every 5 years unless they show that they have taken remedial actions.</w:t>
      </w:r>
    </w:p>
    <w:p w:rsidR="00586889" w:rsidRPr="00586889" w:rsidRDefault="00586889" w:rsidP="00586889">
      <w:pPr>
        <w:rPr>
          <w:lang w:val="en-GB"/>
        </w:rPr>
      </w:pPr>
      <w:r>
        <w:rPr>
          <w:lang w:val="en-GB"/>
        </w:rPr>
        <w:t>These ideas are just provided to trigger some discussion between the members of the expert teams.</w:t>
      </w:r>
    </w:p>
    <w:sectPr w:rsidR="00586889" w:rsidRPr="00586889"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FBD" w:rsidRDefault="00290FBD" w:rsidP="00BA350D">
      <w:pPr>
        <w:spacing w:after="0" w:line="240" w:lineRule="auto"/>
      </w:pPr>
      <w:r>
        <w:separator/>
      </w:r>
    </w:p>
  </w:endnote>
  <w:endnote w:type="continuationSeparator" w:id="0">
    <w:p w:rsidR="00290FBD" w:rsidRDefault="00290FB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FBD" w:rsidRDefault="00290FBD" w:rsidP="00BA350D">
      <w:pPr>
        <w:spacing w:after="0" w:line="240" w:lineRule="auto"/>
      </w:pPr>
      <w:r>
        <w:separator/>
      </w:r>
    </w:p>
  </w:footnote>
  <w:footnote w:type="continuationSeparator" w:id="0">
    <w:p w:rsidR="00290FBD" w:rsidRDefault="00290FB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BDC" w:rsidRDefault="00643BDC">
    <w:pPr>
      <w:pStyle w:val="Header"/>
      <w:jc w:val="center"/>
    </w:pPr>
    <w:r>
      <w:t xml:space="preserve">Document No. </w:t>
    </w:r>
    <w:r w:rsidR="00722FC2">
      <w:t>16</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9514C">
          <w:rPr>
            <w:noProof/>
          </w:rPr>
          <w:t>2</w:t>
        </w:r>
        <w:r>
          <w:rPr>
            <w:noProof/>
          </w:rPr>
          <w:fldChar w:fldCharType="end"/>
        </w:r>
        <w:r>
          <w:rPr>
            <w:noProof/>
          </w:rPr>
          <w:t>)</w:t>
        </w:r>
      </w:sdtContent>
    </w:sdt>
  </w:p>
  <w:p w:rsidR="00643BDC" w:rsidRDefault="00643B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43BDC" w:rsidRPr="00812884" w:rsidTr="00BA350D">
      <w:trPr>
        <w:cantSplit/>
        <w:trHeight w:val="1438"/>
      </w:trPr>
      <w:tc>
        <w:tcPr>
          <w:tcW w:w="4548" w:type="dxa"/>
          <w:vAlign w:val="center"/>
        </w:tcPr>
        <w:p w:rsidR="00643BDC" w:rsidRPr="00683FE2" w:rsidRDefault="00643BDC"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643BDC" w:rsidRPr="00812884" w:rsidRDefault="00643BDC"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335574" r:id="rId2"/>
            </w:object>
          </w:r>
        </w:p>
      </w:tc>
    </w:tr>
    <w:tr w:rsidR="00643BDC" w:rsidRPr="00812884" w:rsidTr="00BA350D">
      <w:trPr>
        <w:cantSplit/>
      </w:trPr>
      <w:tc>
        <w:tcPr>
          <w:tcW w:w="6228" w:type="dxa"/>
          <w:gridSpan w:val="2"/>
          <w:tcBorders>
            <w:top w:val="single" w:sz="12" w:space="0" w:color="auto"/>
          </w:tcBorders>
        </w:tcPr>
        <w:p w:rsidR="00643BDC" w:rsidRPr="00812884" w:rsidRDefault="00643BDC" w:rsidP="001D2C39">
          <w:pPr>
            <w:shd w:val="solid" w:color="FFFFFF" w:fill="FFFFFF"/>
            <w:spacing w:after="48"/>
            <w:rPr>
              <w:rFonts w:ascii="Verdana" w:hAnsi="Verdana" w:cs="Verdana"/>
            </w:rPr>
          </w:pPr>
        </w:p>
      </w:tc>
      <w:tc>
        <w:tcPr>
          <w:tcW w:w="3851" w:type="dxa"/>
          <w:tcBorders>
            <w:top w:val="single" w:sz="12" w:space="0" w:color="auto"/>
          </w:tcBorders>
        </w:tcPr>
        <w:p w:rsidR="00643BDC" w:rsidRPr="00812884" w:rsidRDefault="00643BDC" w:rsidP="001D2C39">
          <w:pPr>
            <w:shd w:val="solid" w:color="FFFFFF" w:fill="FFFFFF"/>
            <w:spacing w:after="48" w:line="240" w:lineRule="atLeast"/>
          </w:pPr>
        </w:p>
      </w:tc>
    </w:tr>
    <w:tr w:rsidR="00643BDC" w:rsidRPr="007A7EA5" w:rsidTr="00BA350D">
      <w:trPr>
        <w:cantSplit/>
        <w:trHeight w:val="312"/>
      </w:trPr>
      <w:tc>
        <w:tcPr>
          <w:tcW w:w="6228" w:type="dxa"/>
          <w:gridSpan w:val="2"/>
          <w:vMerge w:val="restart"/>
        </w:tcPr>
        <w:p w:rsidR="00643BDC" w:rsidRDefault="00643BDC"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643BDC" w:rsidRPr="00BA350D" w:rsidRDefault="00643BDC"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sz w:val="28"/>
              <w:szCs w:val="20"/>
            </w:rPr>
            <w:t>Baudouin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Raoult</w:t>
          </w:r>
          <w:proofErr w:type="spellEnd"/>
          <w:r>
            <w:rPr>
              <w:rFonts w:ascii="Times New Roman" w:hAnsi="Times New Roman" w:cs="Times New Roman"/>
              <w:sz w:val="28"/>
              <w:szCs w:val="20"/>
            </w:rPr>
            <w:t>, ECMWF</w:t>
          </w:r>
        </w:p>
      </w:tc>
      <w:tc>
        <w:tcPr>
          <w:tcW w:w="3851" w:type="dxa"/>
        </w:tcPr>
        <w:p w:rsidR="00643BDC" w:rsidRPr="0013270C" w:rsidRDefault="00643BDC" w:rsidP="00722FC2">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722FC2">
            <w:rPr>
              <w:rFonts w:ascii="Times New Roman" w:hAnsi="Times New Roman" w:cs="Times New Roman"/>
              <w:b/>
              <w:bCs/>
              <w:sz w:val="28"/>
              <w:szCs w:val="20"/>
              <w:lang w:eastAsia="zh-CN"/>
            </w:rPr>
            <w:t>16</w:t>
          </w:r>
          <w:r>
            <w:rPr>
              <w:rFonts w:ascii="Times New Roman" w:hAnsi="Times New Roman" w:cs="Times New Roman"/>
              <w:b/>
              <w:bCs/>
              <w:sz w:val="28"/>
              <w:szCs w:val="20"/>
              <w:lang w:eastAsia="zh-CN"/>
            </w:rPr>
            <w:br/>
            <w:t>Agenda Item 8.1</w:t>
          </w:r>
        </w:p>
      </w:tc>
    </w:tr>
    <w:tr w:rsidR="00643BDC" w:rsidRPr="00812884" w:rsidTr="00BA350D">
      <w:trPr>
        <w:cantSplit/>
        <w:trHeight w:val="81"/>
      </w:trPr>
      <w:tc>
        <w:tcPr>
          <w:tcW w:w="6228" w:type="dxa"/>
          <w:gridSpan w:val="2"/>
          <w:vMerge/>
        </w:tcPr>
        <w:p w:rsidR="00643BDC" w:rsidRPr="0044117D" w:rsidRDefault="00643BDC" w:rsidP="001D2C39">
          <w:pPr>
            <w:shd w:val="solid" w:color="FFFFFF" w:fill="FFFFFF"/>
            <w:spacing w:after="240"/>
            <w:ind w:left="1134" w:hanging="1134"/>
            <w:rPr>
              <w:rFonts w:ascii="Verdana" w:hAnsi="Verdana" w:cs="Verdana"/>
              <w:sz w:val="20"/>
              <w:szCs w:val="20"/>
            </w:rPr>
          </w:pPr>
        </w:p>
      </w:tc>
      <w:tc>
        <w:tcPr>
          <w:tcW w:w="3851" w:type="dxa"/>
        </w:tcPr>
        <w:p w:rsidR="00643BDC" w:rsidRPr="0013270C" w:rsidRDefault="00F9514C" w:rsidP="001D2C39">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30</w:t>
          </w:r>
          <w:r w:rsidR="00643BDC">
            <w:rPr>
              <w:rFonts w:ascii="Times New Roman" w:hAnsi="Times New Roman" w:cs="Times New Roman"/>
              <w:b/>
              <w:bCs/>
              <w:sz w:val="28"/>
              <w:szCs w:val="20"/>
              <w:lang w:eastAsia="zh-CN"/>
            </w:rPr>
            <w:t xml:space="preserve"> June</w:t>
          </w:r>
          <w:r w:rsidR="00643BDC" w:rsidRPr="0013270C">
            <w:rPr>
              <w:rFonts w:ascii="Times New Roman" w:hAnsi="Times New Roman" w:cs="Times New Roman"/>
              <w:b/>
              <w:bCs/>
              <w:sz w:val="28"/>
              <w:szCs w:val="20"/>
              <w:lang w:eastAsia="zh-CN"/>
            </w:rPr>
            <w:t xml:space="preserve"> 2013</w:t>
          </w:r>
        </w:p>
      </w:tc>
    </w:tr>
  </w:tbl>
  <w:p w:rsidR="00643BDC" w:rsidRDefault="00643B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6442"/>
    <w:multiLevelType w:val="hybridMultilevel"/>
    <w:tmpl w:val="E52E9A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5C44D0"/>
    <w:multiLevelType w:val="hybridMultilevel"/>
    <w:tmpl w:val="28385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29099E"/>
    <w:multiLevelType w:val="hybridMultilevel"/>
    <w:tmpl w:val="37F656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05C6DBE"/>
    <w:multiLevelType w:val="hybridMultilevel"/>
    <w:tmpl w:val="88DE3956"/>
    <w:lvl w:ilvl="0" w:tplc="0809001B">
      <w:start w:val="1"/>
      <w:numFmt w:val="lowerRoman"/>
      <w:lvlText w:val="%1."/>
      <w:lvlJc w:val="right"/>
      <w:pPr>
        <w:ind w:left="1080" w:hanging="360"/>
      </w:p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4053E2"/>
    <w:multiLevelType w:val="hybridMultilevel"/>
    <w:tmpl w:val="A0C2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A26190"/>
    <w:multiLevelType w:val="hybridMultilevel"/>
    <w:tmpl w:val="9C9CA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7"/>
  </w:num>
  <w:num w:numId="5">
    <w:abstractNumId w:val="4"/>
  </w:num>
  <w:num w:numId="6">
    <w:abstractNumId w:val="8"/>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1D2C39"/>
    <w:rsid w:val="0020770D"/>
    <w:rsid w:val="00245243"/>
    <w:rsid w:val="00290FBD"/>
    <w:rsid w:val="00302A95"/>
    <w:rsid w:val="00382768"/>
    <w:rsid w:val="00393854"/>
    <w:rsid w:val="00476536"/>
    <w:rsid w:val="00511FE7"/>
    <w:rsid w:val="00586889"/>
    <w:rsid w:val="005D2661"/>
    <w:rsid w:val="005D447A"/>
    <w:rsid w:val="00643BDC"/>
    <w:rsid w:val="0065542B"/>
    <w:rsid w:val="0067003E"/>
    <w:rsid w:val="00711EBB"/>
    <w:rsid w:val="00722FC2"/>
    <w:rsid w:val="00747554"/>
    <w:rsid w:val="00785D74"/>
    <w:rsid w:val="007E4C27"/>
    <w:rsid w:val="00815AB7"/>
    <w:rsid w:val="008C157E"/>
    <w:rsid w:val="0094789B"/>
    <w:rsid w:val="00980492"/>
    <w:rsid w:val="009877B4"/>
    <w:rsid w:val="009F60F8"/>
    <w:rsid w:val="00A25CFC"/>
    <w:rsid w:val="00A27A48"/>
    <w:rsid w:val="00A4453B"/>
    <w:rsid w:val="00B319C1"/>
    <w:rsid w:val="00B36904"/>
    <w:rsid w:val="00B423CC"/>
    <w:rsid w:val="00B439DE"/>
    <w:rsid w:val="00BA350D"/>
    <w:rsid w:val="00C5333A"/>
    <w:rsid w:val="00CB6D6D"/>
    <w:rsid w:val="00CF7953"/>
    <w:rsid w:val="00D55749"/>
    <w:rsid w:val="00DE45A1"/>
    <w:rsid w:val="00F8649F"/>
    <w:rsid w:val="00F9514C"/>
    <w:rsid w:val="00FD04CD"/>
    <w:rsid w:val="00FD36B9"/>
    <w:rsid w:val="00FD722C"/>
    <w:rsid w:val="00FE0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bject">
    <w:name w:val="object"/>
    <w:basedOn w:val="DefaultParagraphFont"/>
    <w:rsid w:val="00A4453B"/>
  </w:style>
  <w:style w:type="character" w:styleId="Hyperlink">
    <w:name w:val="Hyperlink"/>
    <w:basedOn w:val="DefaultParagraphFont"/>
    <w:uiPriority w:val="99"/>
    <w:unhideWhenUsed/>
    <w:rsid w:val="00A445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23112081">
      <w:bodyDiv w:val="1"/>
      <w:marLeft w:val="0"/>
      <w:marRight w:val="0"/>
      <w:marTop w:val="0"/>
      <w:marBottom w:val="0"/>
      <w:divBdr>
        <w:top w:val="none" w:sz="0" w:space="0" w:color="auto"/>
        <w:left w:val="none" w:sz="0" w:space="0" w:color="auto"/>
        <w:bottom w:val="none" w:sz="0" w:space="0" w:color="auto"/>
        <w:right w:val="none" w:sz="0" w:space="0" w:color="auto"/>
      </w:divBdr>
      <w:divsChild>
        <w:div w:id="1682780854">
          <w:marLeft w:val="0"/>
          <w:marRight w:val="0"/>
          <w:marTop w:val="0"/>
          <w:marBottom w:val="0"/>
          <w:divBdr>
            <w:top w:val="none" w:sz="0" w:space="0" w:color="auto"/>
            <w:left w:val="none" w:sz="0" w:space="0" w:color="auto"/>
            <w:bottom w:val="none" w:sz="0" w:space="0" w:color="auto"/>
            <w:right w:val="none" w:sz="0" w:space="0" w:color="auto"/>
          </w:divBdr>
        </w:div>
        <w:div w:id="916209665">
          <w:marLeft w:val="0"/>
          <w:marRight w:val="0"/>
          <w:marTop w:val="0"/>
          <w:marBottom w:val="0"/>
          <w:divBdr>
            <w:top w:val="none" w:sz="0" w:space="0" w:color="auto"/>
            <w:left w:val="none" w:sz="0" w:space="0" w:color="auto"/>
            <w:bottom w:val="none" w:sz="0" w:space="0" w:color="auto"/>
            <w:right w:val="none" w:sz="0" w:space="0" w:color="auto"/>
          </w:divBdr>
          <w:divsChild>
            <w:div w:id="2086224305">
              <w:marLeft w:val="0"/>
              <w:marRight w:val="0"/>
              <w:marTop w:val="0"/>
              <w:marBottom w:val="0"/>
              <w:divBdr>
                <w:top w:val="none" w:sz="0" w:space="0" w:color="auto"/>
                <w:left w:val="none" w:sz="0" w:space="0" w:color="auto"/>
                <w:bottom w:val="none" w:sz="0" w:space="0" w:color="auto"/>
                <w:right w:val="none" w:sz="0" w:space="0" w:color="auto"/>
              </w:divBdr>
            </w:div>
            <w:div w:id="782767279">
              <w:marLeft w:val="0"/>
              <w:marRight w:val="0"/>
              <w:marTop w:val="0"/>
              <w:marBottom w:val="0"/>
              <w:divBdr>
                <w:top w:val="none" w:sz="0" w:space="0" w:color="auto"/>
                <w:left w:val="none" w:sz="0" w:space="0" w:color="auto"/>
                <w:bottom w:val="none" w:sz="0" w:space="0" w:color="auto"/>
                <w:right w:val="none" w:sz="0" w:space="0" w:color="auto"/>
              </w:divBdr>
            </w:div>
            <w:div w:id="345643944">
              <w:marLeft w:val="0"/>
              <w:marRight w:val="0"/>
              <w:marTop w:val="0"/>
              <w:marBottom w:val="0"/>
              <w:divBdr>
                <w:top w:val="none" w:sz="0" w:space="0" w:color="auto"/>
                <w:left w:val="none" w:sz="0" w:space="0" w:color="auto"/>
                <w:bottom w:val="none" w:sz="0" w:space="0" w:color="auto"/>
                <w:right w:val="none" w:sz="0" w:space="0" w:color="auto"/>
              </w:divBdr>
            </w:div>
            <w:div w:id="103304182">
              <w:marLeft w:val="0"/>
              <w:marRight w:val="0"/>
              <w:marTop w:val="0"/>
              <w:marBottom w:val="0"/>
              <w:divBdr>
                <w:top w:val="none" w:sz="0" w:space="0" w:color="auto"/>
                <w:left w:val="none" w:sz="0" w:space="0" w:color="auto"/>
                <w:bottom w:val="none" w:sz="0" w:space="0" w:color="auto"/>
                <w:right w:val="none" w:sz="0" w:space="0" w:color="auto"/>
              </w:divBdr>
            </w:div>
            <w:div w:id="867647724">
              <w:marLeft w:val="0"/>
              <w:marRight w:val="0"/>
              <w:marTop w:val="0"/>
              <w:marBottom w:val="0"/>
              <w:divBdr>
                <w:top w:val="none" w:sz="0" w:space="0" w:color="auto"/>
                <w:left w:val="none" w:sz="0" w:space="0" w:color="auto"/>
                <w:bottom w:val="none" w:sz="0" w:space="0" w:color="auto"/>
                <w:right w:val="none" w:sz="0" w:space="0" w:color="auto"/>
              </w:divBdr>
            </w:div>
            <w:div w:id="1010108425">
              <w:marLeft w:val="0"/>
              <w:marRight w:val="0"/>
              <w:marTop w:val="0"/>
              <w:marBottom w:val="0"/>
              <w:divBdr>
                <w:top w:val="none" w:sz="0" w:space="0" w:color="auto"/>
                <w:left w:val="none" w:sz="0" w:space="0" w:color="auto"/>
                <w:bottom w:val="none" w:sz="0" w:space="0" w:color="auto"/>
                <w:right w:val="none" w:sz="0" w:space="0" w:color="auto"/>
              </w:divBdr>
            </w:div>
            <w:div w:id="1383823834">
              <w:marLeft w:val="0"/>
              <w:marRight w:val="0"/>
              <w:marTop w:val="0"/>
              <w:marBottom w:val="0"/>
              <w:divBdr>
                <w:top w:val="none" w:sz="0" w:space="0" w:color="auto"/>
                <w:left w:val="none" w:sz="0" w:space="0" w:color="auto"/>
                <w:bottom w:val="none" w:sz="0" w:space="0" w:color="auto"/>
                <w:right w:val="none" w:sz="0" w:space="0" w:color="auto"/>
              </w:divBdr>
            </w:div>
            <w:div w:id="1431656369">
              <w:marLeft w:val="0"/>
              <w:marRight w:val="0"/>
              <w:marTop w:val="0"/>
              <w:marBottom w:val="0"/>
              <w:divBdr>
                <w:top w:val="none" w:sz="0" w:space="0" w:color="auto"/>
                <w:left w:val="none" w:sz="0" w:space="0" w:color="auto"/>
                <w:bottom w:val="none" w:sz="0" w:space="0" w:color="auto"/>
                <w:right w:val="none" w:sz="0" w:space="0" w:color="auto"/>
              </w:divBdr>
            </w:div>
            <w:div w:id="8725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35273-8DF6-456E-9643-885B92850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TT-CAC</dc:subject>
  <dc:creator>Baudouin Raoult</dc:creator>
  <cp:lastModifiedBy>David Thomas</cp:lastModifiedBy>
  <cp:revision>2</cp:revision>
  <dcterms:created xsi:type="dcterms:W3CDTF">2013-07-03T03:46:00Z</dcterms:created>
  <dcterms:modified xsi:type="dcterms:W3CDTF">2013-07-03T03:46:00Z</dcterms:modified>
</cp:coreProperties>
</file>