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6718C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6718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ja-JP"/>
              </w:rPr>
              <w:drawing>
                <wp:anchor distT="0" distB="0" distL="114300" distR="114300" simplePos="0" relativeHeight="251659264" behindDoc="1" locked="1" layoutInCell="1" allowOverlap="1" wp14:anchorId="0B708A76" wp14:editId="777C774D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6718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442459" w:rsidRDefault="00442459" w:rsidP="0036718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Implementation-Coordination Team on Information Systems and Services</w:t>
            </w:r>
          </w:p>
          <w:p w:rsidR="00B74B70" w:rsidRPr="005D666D" w:rsidRDefault="00442459" w:rsidP="0044245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ICT-ISS-201</w:t>
            </w:r>
            <w:r w:rsidR="00573BD6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9</w:t>
            </w:r>
            <w:r w:rsidR="00B74B70"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442459">
              <w:rPr>
                <w:snapToGrid w:val="0"/>
                <w:color w:val="365F91" w:themeColor="accent1" w:themeShade="BF"/>
                <w:szCs w:val="22"/>
              </w:rPr>
              <w:t>Geneva</w:t>
            </w:r>
            <w:r w:rsidR="00B74B70" w:rsidRPr="00442459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="00573BD6">
              <w:rPr>
                <w:snapToGrid w:val="0"/>
                <w:color w:val="365F91" w:themeColor="accent1" w:themeShade="BF"/>
                <w:szCs w:val="22"/>
              </w:rPr>
              <w:t>15-17 Oct 2019</w:t>
            </w:r>
          </w:p>
        </w:tc>
        <w:tc>
          <w:tcPr>
            <w:tcW w:w="2977" w:type="dxa"/>
          </w:tcPr>
          <w:p w:rsidR="00B74B70" w:rsidRPr="006E2924" w:rsidRDefault="00442459" w:rsidP="006E2924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6E2924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ICT-ISS-201</w:t>
            </w:r>
            <w:r w:rsidR="006E2924" w:rsidRPr="006E2924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9</w:t>
            </w:r>
            <w:r w:rsidR="00B74B70" w:rsidRPr="006E2924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/Doc </w:t>
            </w:r>
            <w:r w:rsidR="006E2924" w:rsidRPr="006E2924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3</w:t>
            </w:r>
            <w:r w:rsidRPr="006E2924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.</w:t>
            </w:r>
            <w:r w:rsidR="006E2924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3.2</w:t>
            </w:r>
          </w:p>
        </w:tc>
      </w:tr>
      <w:tr w:rsidR="00B74B70" w:rsidRPr="005D666D" w:rsidTr="0036718C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6718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6E2924" w:rsidRDefault="00B74B70" w:rsidP="0036718C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6E2924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6E2924">
              <w:rPr>
                <w:rFonts w:cs="Tahoma"/>
                <w:color w:val="365F91" w:themeColor="accent1" w:themeShade="BF"/>
                <w:szCs w:val="22"/>
              </w:rPr>
              <w:br/>
            </w:r>
            <w:r w:rsidR="006E2924" w:rsidRPr="006E2924">
              <w:rPr>
                <w:rFonts w:cs="Tahoma"/>
                <w:color w:val="365F91" w:themeColor="accent1" w:themeShade="BF"/>
                <w:szCs w:val="22"/>
              </w:rPr>
              <w:t>IPET-CM</w:t>
            </w:r>
            <w:r w:rsidRPr="006E2924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6E2924" w:rsidRDefault="006E2924" w:rsidP="0036718C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6E2924">
              <w:rPr>
                <w:rFonts w:cs="Tahoma"/>
                <w:color w:val="365F91" w:themeColor="accent1" w:themeShade="BF"/>
                <w:szCs w:val="22"/>
              </w:rPr>
              <w:t>04</w:t>
            </w:r>
            <w:r w:rsidR="00B74B70" w:rsidRPr="006E2924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Pr="006E2924">
              <w:rPr>
                <w:rFonts w:cs="Tahoma"/>
                <w:color w:val="365F91" w:themeColor="accent1" w:themeShade="BF"/>
                <w:szCs w:val="22"/>
              </w:rPr>
              <w:t>10</w:t>
            </w:r>
            <w:r w:rsidR="00B74B70" w:rsidRPr="006E2924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Pr="006E2924">
              <w:rPr>
                <w:rFonts w:cs="Tahoma"/>
                <w:color w:val="365F91" w:themeColor="accent1" w:themeShade="BF"/>
                <w:szCs w:val="22"/>
              </w:rPr>
              <w:t>2019</w:t>
            </w:r>
          </w:p>
          <w:p w:rsidR="00B74B70" w:rsidRPr="006E2924" w:rsidRDefault="00B74B70" w:rsidP="0036718C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Pr="00FF65B9" w:rsidRDefault="008F2F39" w:rsidP="000E3612">
      <w:pPr>
        <w:pStyle w:val="Heading1"/>
        <w:jc w:val="center"/>
      </w:pPr>
      <w:r w:rsidRPr="00D8508C">
        <w:rPr>
          <w:rFonts w:ascii="Verdana" w:hAnsi="Verdana"/>
        </w:rPr>
        <w:t>development of Manual on reporting practices</w:t>
      </w:r>
    </w:p>
    <w:p w:rsidR="002B0F34" w:rsidRDefault="002B0F34" w:rsidP="002B0F34">
      <w:pPr>
        <w:spacing w:after="120"/>
        <w:rPr>
          <w:rFonts w:ascii="Verdana" w:hAnsi="Verdana"/>
          <w:sz w:val="20"/>
        </w:rPr>
      </w:pPr>
    </w:p>
    <w:p w:rsidR="002B0F34" w:rsidRPr="002B0F34" w:rsidRDefault="002B0F34" w:rsidP="002B0F34">
      <w:pPr>
        <w:spacing w:after="120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[SITUATION]</w:t>
      </w:r>
    </w:p>
    <w:p w:rsidR="002B0F34" w:rsidRPr="002B0F34" w:rsidRDefault="002B0F34" w:rsidP="002B0F34">
      <w:pPr>
        <w:rPr>
          <w:rFonts w:ascii="Verdana" w:hAnsi="Verdana"/>
          <w:sz w:val="20"/>
        </w:rPr>
      </w:pPr>
      <w:bookmarkStart w:id="0" w:name="Text7"/>
      <w:r w:rsidRPr="002B0F34">
        <w:rPr>
          <w:rFonts w:ascii="Verdana" w:hAnsi="Verdana"/>
          <w:sz w:val="20"/>
        </w:rPr>
        <w:t>1.</w:t>
      </w:r>
      <w:r w:rsidRPr="002B0F34">
        <w:rPr>
          <w:rFonts w:ascii="Verdana" w:hAnsi="Verdana"/>
          <w:sz w:val="20"/>
        </w:rPr>
        <w:tab/>
      </w:r>
      <w:r w:rsidRPr="002B0F34">
        <w:rPr>
          <w:rFonts w:ascii="Verdana" w:hAnsi="Verdana"/>
          <w:b/>
          <w:sz w:val="20"/>
        </w:rPr>
        <w:t>Reporting Practices (RPs)</w:t>
      </w:r>
      <w:r w:rsidRPr="002B0F34">
        <w:rPr>
          <w:rFonts w:ascii="Verdana" w:hAnsi="Verdana"/>
          <w:sz w:val="20"/>
        </w:rPr>
        <w:t xml:space="preserve"> are regularized in the Manual on Codes, Volume I.1 (WMO-No. 306), which is the Annex II to the WMO Technical Regulations (WMO-No. 49), for various data produc</w:t>
      </w:r>
      <w:r w:rsidR="006E2924">
        <w:rPr>
          <w:rFonts w:ascii="Verdana" w:hAnsi="Verdana"/>
          <w:sz w:val="20"/>
        </w:rPr>
        <w:t xml:space="preserve">ed through </w:t>
      </w:r>
      <w:r w:rsidRPr="002B0F34">
        <w:rPr>
          <w:rFonts w:ascii="Verdana" w:hAnsi="Verdana"/>
          <w:sz w:val="20"/>
        </w:rPr>
        <w:t>observations, forecasts, analyses and statistics by WMO and related Programmes in Traditional Alphanumeric Codes (TAC).</w:t>
      </w:r>
    </w:p>
    <w:p w:rsidR="002B0F34" w:rsidRPr="002B0F34" w:rsidRDefault="002B0F34" w:rsidP="002B0F34">
      <w:pPr>
        <w:rPr>
          <w:rFonts w:ascii="Verdana" w:hAnsi="Verdana"/>
          <w:sz w:val="20"/>
        </w:rPr>
      </w:pPr>
    </w:p>
    <w:p w:rsidR="002B0F34" w:rsidRPr="002B0F34" w:rsidRDefault="002B0F34" w:rsidP="002B0F34">
      <w:pPr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2.</w:t>
      </w:r>
      <w:r w:rsidRPr="002B0F34">
        <w:rPr>
          <w:rFonts w:ascii="Verdana" w:hAnsi="Verdana"/>
          <w:sz w:val="20"/>
        </w:rPr>
        <w:tab/>
        <w:t>RPs in Volume I.1 are interpreted to the Table-Driven Code Forms (TDCF) as specified in the section d, Manual on Codes, Volume I.2, for specific traditional observations, i.e. land and sea surface, upper-air and climatological observations, which are referred to as the B/C Regulations.</w:t>
      </w:r>
    </w:p>
    <w:p w:rsidR="002B0F34" w:rsidRPr="002B0F34" w:rsidRDefault="002B0F34" w:rsidP="002B0F34">
      <w:pPr>
        <w:rPr>
          <w:rFonts w:ascii="Verdana" w:hAnsi="Verdana"/>
          <w:sz w:val="20"/>
        </w:rPr>
      </w:pPr>
    </w:p>
    <w:p w:rsidR="002B0F34" w:rsidRPr="002B0F34" w:rsidRDefault="002B0F34" w:rsidP="002B0F34">
      <w:pPr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3.</w:t>
      </w:r>
      <w:r w:rsidRPr="002B0F34">
        <w:rPr>
          <w:rFonts w:ascii="Verdana" w:hAnsi="Verdana"/>
          <w:sz w:val="20"/>
        </w:rPr>
        <w:tab/>
        <w:t>CBS-16 adopted "Ceasing maintenance of traditional alphanumeric codes" (Rec. 10 (CBS-16)), which was confirmed by EC (Decision 38 (EC-69)).  Volume I.1 will cease the role as an official manual at an appropriate future time after the migration to TDCF is completed and will be kept for archives.</w:t>
      </w:r>
    </w:p>
    <w:p w:rsidR="002B0F34" w:rsidRPr="002B0F34" w:rsidRDefault="002B0F34" w:rsidP="002B0F34">
      <w:pPr>
        <w:rPr>
          <w:rFonts w:ascii="Verdana" w:hAnsi="Verdana"/>
          <w:sz w:val="20"/>
        </w:rPr>
      </w:pPr>
    </w:p>
    <w:p w:rsidR="002B0F34" w:rsidRPr="002B0F34" w:rsidRDefault="002B0F34" w:rsidP="002B0F34">
      <w:pPr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4.</w:t>
      </w:r>
      <w:r w:rsidRPr="002B0F34">
        <w:rPr>
          <w:rFonts w:ascii="Verdana" w:hAnsi="Verdana"/>
          <w:sz w:val="20"/>
        </w:rPr>
        <w:tab/>
        <w:t xml:space="preserve">As long as Volume I.1 is valid during the transition period of migration, the regulations in </w:t>
      </w:r>
      <w:r w:rsidR="0020694E">
        <w:rPr>
          <w:rFonts w:ascii="Verdana" w:hAnsi="Verdana"/>
          <w:sz w:val="20"/>
        </w:rPr>
        <w:t xml:space="preserve">the </w:t>
      </w:r>
      <w:r w:rsidRPr="002B0F34">
        <w:rPr>
          <w:rFonts w:ascii="Verdana" w:hAnsi="Verdana"/>
          <w:sz w:val="20"/>
        </w:rPr>
        <w:t>volume are available and could practically be referred to together with the B/C Regulations as an interim measure for corresponding traditional data production and transmission in TDCF, such as FM20 RADOB (Part A), FM62 TRACKOB and FM85 SAREP (Part A).</w:t>
      </w:r>
    </w:p>
    <w:p w:rsidR="002B0F34" w:rsidRPr="002B0F34" w:rsidRDefault="002B0F34" w:rsidP="002B0F34">
      <w:pPr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 xml:space="preserve"> </w:t>
      </w:r>
    </w:p>
    <w:p w:rsidR="002B0F34" w:rsidRPr="002B0F34" w:rsidRDefault="002B0F34" w:rsidP="002B0F34">
      <w:pPr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5.</w:t>
      </w:r>
      <w:r w:rsidRPr="002B0F34">
        <w:rPr>
          <w:rFonts w:ascii="Verdana" w:hAnsi="Verdana"/>
          <w:sz w:val="20"/>
        </w:rPr>
        <w:tab/>
        <w:t>Manual on Codes, Volume I.3 also provides rules for data representations in details</w:t>
      </w:r>
      <w:r w:rsidR="0036718C">
        <w:rPr>
          <w:rFonts w:ascii="Verdana" w:hAnsi="Verdana"/>
          <w:sz w:val="20"/>
        </w:rPr>
        <w:t xml:space="preserve">, which might be applicable for reporting as-is in </w:t>
      </w:r>
      <w:r w:rsidRPr="002B0F34">
        <w:rPr>
          <w:rFonts w:ascii="Verdana" w:hAnsi="Verdana"/>
          <w:sz w:val="20"/>
        </w:rPr>
        <w:t xml:space="preserve">some representations derived from data models, such as FM 205 IWXXM.  Nevertheless, </w:t>
      </w:r>
      <w:r w:rsidRPr="002B0F34">
        <w:rPr>
          <w:rFonts w:ascii="Verdana" w:hAnsi="Verdana"/>
          <w:i/>
          <w:sz w:val="20"/>
        </w:rPr>
        <w:t xml:space="preserve">it </w:t>
      </w:r>
      <w:r w:rsidR="0036718C">
        <w:rPr>
          <w:rFonts w:ascii="Verdana" w:hAnsi="Verdana"/>
          <w:i/>
          <w:sz w:val="20"/>
        </w:rPr>
        <w:t>would n</w:t>
      </w:r>
      <w:r w:rsidRPr="002B0F34">
        <w:rPr>
          <w:rFonts w:ascii="Verdana" w:hAnsi="Verdana"/>
          <w:i/>
          <w:sz w:val="20"/>
        </w:rPr>
        <w:t xml:space="preserve">eed to be reviewed </w:t>
      </w:r>
      <w:r w:rsidR="0036718C">
        <w:rPr>
          <w:rFonts w:ascii="Verdana" w:hAnsi="Verdana"/>
          <w:i/>
          <w:sz w:val="20"/>
        </w:rPr>
        <w:t xml:space="preserve">whether </w:t>
      </w:r>
      <w:r w:rsidRPr="002B0F34">
        <w:rPr>
          <w:rFonts w:ascii="Verdana" w:hAnsi="Verdana"/>
          <w:i/>
          <w:sz w:val="20"/>
        </w:rPr>
        <w:t xml:space="preserve">Volume I.3 could play the role of the </w:t>
      </w:r>
      <w:r w:rsidR="0036718C">
        <w:rPr>
          <w:rFonts w:ascii="Verdana" w:hAnsi="Verdana"/>
          <w:i/>
          <w:sz w:val="20"/>
        </w:rPr>
        <w:t>M</w:t>
      </w:r>
      <w:r w:rsidRPr="002B0F34">
        <w:rPr>
          <w:rFonts w:ascii="Verdana" w:hAnsi="Verdana"/>
          <w:i/>
          <w:sz w:val="20"/>
        </w:rPr>
        <w:t>anual for RPs (</w:t>
      </w:r>
      <w:r w:rsidRPr="002B0F34">
        <w:rPr>
          <w:rFonts w:ascii="Verdana" w:hAnsi="Verdana"/>
          <w:b/>
          <w:i/>
          <w:sz w:val="20"/>
        </w:rPr>
        <w:t>MRP</w:t>
      </w:r>
      <w:r w:rsidRPr="002B0F34">
        <w:rPr>
          <w:rFonts w:ascii="Verdana" w:hAnsi="Verdana"/>
          <w:i/>
          <w:sz w:val="20"/>
        </w:rPr>
        <w:t>)</w:t>
      </w:r>
      <w:r w:rsidR="0036718C">
        <w:rPr>
          <w:rFonts w:ascii="Verdana" w:hAnsi="Verdana"/>
          <w:i/>
          <w:sz w:val="20"/>
        </w:rPr>
        <w:t xml:space="preserve"> at least partially</w:t>
      </w:r>
      <w:r w:rsidRPr="002B0F34">
        <w:rPr>
          <w:rFonts w:ascii="Verdana" w:hAnsi="Verdana"/>
          <w:sz w:val="20"/>
        </w:rPr>
        <w:t>.</w:t>
      </w:r>
    </w:p>
    <w:p w:rsidR="002B0F34" w:rsidRPr="002B0F34" w:rsidRDefault="002B0F34" w:rsidP="002B0F34">
      <w:pPr>
        <w:rPr>
          <w:rFonts w:ascii="Verdana" w:hAnsi="Verdana"/>
          <w:sz w:val="20"/>
        </w:rPr>
      </w:pPr>
    </w:p>
    <w:p w:rsidR="002B0F34" w:rsidRPr="002B0F34" w:rsidRDefault="002B0F34" w:rsidP="002B0F34">
      <w:pPr>
        <w:spacing w:after="120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[ACTIONS IN ADVANCE]</w:t>
      </w:r>
    </w:p>
    <w:p w:rsidR="002B0F34" w:rsidRPr="002B0F34" w:rsidRDefault="002B0F34" w:rsidP="002B0F34">
      <w:pPr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6.</w:t>
      </w:r>
      <w:r w:rsidRPr="002B0F34">
        <w:rPr>
          <w:rFonts w:ascii="Verdana" w:hAnsi="Verdana"/>
          <w:sz w:val="20"/>
        </w:rPr>
        <w:tab/>
        <w:t>It is expected that the development of MRP will require a long process in association with Standing Committees (SCs) concerned.  It therefore must be difficult to introduce MRP on a timely manner, if the action to develop is not initiated well in advance.</w:t>
      </w:r>
    </w:p>
    <w:p w:rsidR="002B0F34" w:rsidRPr="002B0F34" w:rsidRDefault="002B0F34" w:rsidP="002B0F34">
      <w:pPr>
        <w:rPr>
          <w:rFonts w:ascii="Verdana" w:hAnsi="Verdana"/>
          <w:sz w:val="20"/>
        </w:rPr>
      </w:pPr>
    </w:p>
    <w:p w:rsidR="002B0F34" w:rsidRPr="002B0F34" w:rsidRDefault="002B0F34" w:rsidP="002B0F34">
      <w:pPr>
        <w:spacing w:after="120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[MODERNIZATION]</w:t>
      </w:r>
    </w:p>
    <w:p w:rsidR="002B0F34" w:rsidRPr="002B0F34" w:rsidRDefault="002B0F34" w:rsidP="002B0F34">
      <w:pPr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7.</w:t>
      </w:r>
      <w:r w:rsidRPr="002B0F34">
        <w:rPr>
          <w:rFonts w:ascii="Verdana" w:hAnsi="Verdana"/>
          <w:sz w:val="20"/>
        </w:rPr>
        <w:tab/>
        <w:t xml:space="preserve">WMO has been developing and improving data productions, such as observations and data processing.  Nevertheless, reporting of </w:t>
      </w:r>
      <w:r w:rsidR="0036718C">
        <w:rPr>
          <w:rFonts w:ascii="Verdana" w:hAnsi="Verdana"/>
          <w:sz w:val="20"/>
        </w:rPr>
        <w:t>such</w:t>
      </w:r>
      <w:r w:rsidRPr="002B0F34">
        <w:rPr>
          <w:rFonts w:ascii="Verdana" w:hAnsi="Verdana"/>
          <w:sz w:val="20"/>
        </w:rPr>
        <w:t xml:space="preserve"> advanced data has not been modernized for years, such as SYNOP family since 1 January 1981, TEMP family since 8 November 1995, FM71 CLIMAT since 2 November 1994.  Modernization of the reporting shall be a main subject for consideration in this initiative.</w:t>
      </w:r>
    </w:p>
    <w:p w:rsidR="002B0F34" w:rsidRPr="002B0F34" w:rsidRDefault="002B0F34" w:rsidP="002B0F34">
      <w:pPr>
        <w:rPr>
          <w:rFonts w:ascii="Verdana" w:hAnsi="Verdana"/>
          <w:sz w:val="20"/>
        </w:rPr>
      </w:pPr>
    </w:p>
    <w:p w:rsidR="002B0F34" w:rsidRPr="002B0F34" w:rsidRDefault="002B0F34" w:rsidP="002B0F34">
      <w:pPr>
        <w:spacing w:after="120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[STATUS  OF THE MANUAL]</w:t>
      </w:r>
    </w:p>
    <w:p w:rsidR="002B0F34" w:rsidRPr="002B0F34" w:rsidRDefault="002B0F34" w:rsidP="002B0F34">
      <w:pPr>
        <w:widowControl w:val="0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8.</w:t>
      </w:r>
      <w:r w:rsidRPr="002B0F34">
        <w:rPr>
          <w:rFonts w:ascii="Verdana" w:hAnsi="Verdana"/>
          <w:sz w:val="20"/>
        </w:rPr>
        <w:tab/>
        <w:t xml:space="preserve">The WMO Technical Regulations and the Manual on WIGOS (WMO-No. 1160) refer to the Manual on Codes for </w:t>
      </w:r>
      <w:r w:rsidRPr="002B0F34">
        <w:rPr>
          <w:rFonts w:ascii="Verdana" w:hAnsi="Verdana"/>
          <w:i/>
          <w:sz w:val="20"/>
        </w:rPr>
        <w:t>international exchange of coded information</w:t>
      </w:r>
      <w:r w:rsidRPr="002B0F34">
        <w:rPr>
          <w:rFonts w:ascii="Verdana" w:hAnsi="Verdana"/>
          <w:sz w:val="20"/>
        </w:rPr>
        <w:t xml:space="preserve"> and as </w:t>
      </w:r>
      <w:r w:rsidRPr="002B0F34">
        <w:rPr>
          <w:rFonts w:ascii="Verdana" w:hAnsi="Verdana"/>
          <w:i/>
          <w:sz w:val="20"/>
        </w:rPr>
        <w:t>regulations governing exchanges in international code forms</w:t>
      </w:r>
      <w:r w:rsidRPr="002B0F34">
        <w:rPr>
          <w:rFonts w:ascii="Verdana" w:hAnsi="Verdana"/>
          <w:sz w:val="20"/>
        </w:rPr>
        <w:t>, respectively.</w:t>
      </w:r>
    </w:p>
    <w:p w:rsidR="002B0F34" w:rsidRPr="002B0F34" w:rsidRDefault="002B0F34" w:rsidP="002B0F34">
      <w:pPr>
        <w:rPr>
          <w:rFonts w:ascii="Verdana" w:hAnsi="Verdana"/>
          <w:sz w:val="20"/>
        </w:rPr>
      </w:pPr>
    </w:p>
    <w:p w:rsidR="002B0F34" w:rsidRPr="002B0F34" w:rsidRDefault="002B0F34" w:rsidP="0036718C">
      <w:pPr>
        <w:ind w:right="-142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ab/>
        <w:t xml:space="preserve">Accordingly, MRP shall in principle have the same status of the Manual on Codes.  In relation to Volume I.3, it appears that MRP should be </w:t>
      </w:r>
      <w:r w:rsidR="0020694E">
        <w:rPr>
          <w:rFonts w:ascii="Verdana" w:hAnsi="Verdana"/>
          <w:sz w:val="20"/>
        </w:rPr>
        <w:t xml:space="preserve">a part of </w:t>
      </w:r>
      <w:r w:rsidRPr="002B0F34">
        <w:rPr>
          <w:rFonts w:ascii="Verdana" w:hAnsi="Verdana"/>
          <w:sz w:val="20"/>
        </w:rPr>
        <w:t xml:space="preserve">the </w:t>
      </w:r>
      <w:r w:rsidRPr="002B0F34">
        <w:rPr>
          <w:rFonts w:ascii="Verdana" w:hAnsi="Verdana"/>
          <w:sz w:val="20"/>
          <w:u w:val="single"/>
        </w:rPr>
        <w:t>Manual on Codes</w:t>
      </w:r>
      <w:r w:rsidRPr="002B0F34">
        <w:rPr>
          <w:rFonts w:ascii="Verdana" w:hAnsi="Verdana"/>
          <w:sz w:val="20"/>
        </w:rPr>
        <w:t xml:space="preserve">, </w:t>
      </w:r>
      <w:r w:rsidR="0020694E">
        <w:rPr>
          <w:rFonts w:ascii="Verdana" w:hAnsi="Verdana"/>
          <w:sz w:val="20"/>
        </w:rPr>
        <w:t>for example, a new</w:t>
      </w:r>
      <w:r w:rsidRPr="002B0F34">
        <w:rPr>
          <w:rFonts w:ascii="Verdana" w:hAnsi="Verdana"/>
          <w:sz w:val="20"/>
        </w:rPr>
        <w:t xml:space="preserve"> volume or a volume integrated </w:t>
      </w:r>
      <w:r w:rsidR="0020694E">
        <w:rPr>
          <w:rFonts w:ascii="Verdana" w:hAnsi="Verdana"/>
          <w:sz w:val="20"/>
        </w:rPr>
        <w:t xml:space="preserve">into the existing </w:t>
      </w:r>
      <w:r w:rsidRPr="002B0F34">
        <w:rPr>
          <w:rFonts w:ascii="Verdana" w:hAnsi="Verdana"/>
          <w:sz w:val="20"/>
        </w:rPr>
        <w:t xml:space="preserve">Volume I.2.  A manual independent from the Manual on Codes could be an option </w:t>
      </w:r>
      <w:r w:rsidR="0036718C">
        <w:rPr>
          <w:rFonts w:ascii="Verdana" w:hAnsi="Verdana"/>
          <w:sz w:val="20"/>
        </w:rPr>
        <w:t>and</w:t>
      </w:r>
      <w:r w:rsidRPr="002B0F34">
        <w:rPr>
          <w:rFonts w:ascii="Verdana" w:hAnsi="Verdana"/>
          <w:sz w:val="20"/>
        </w:rPr>
        <w:t xml:space="preserve"> it needs review within the WMO publication framework.</w:t>
      </w:r>
    </w:p>
    <w:p w:rsidR="002B0F34" w:rsidRPr="002B0F34" w:rsidRDefault="002B0F34" w:rsidP="002B0F34">
      <w:pPr>
        <w:rPr>
          <w:rFonts w:ascii="Verdana" w:hAnsi="Verdana"/>
          <w:sz w:val="20"/>
        </w:rPr>
      </w:pPr>
    </w:p>
    <w:p w:rsidR="002B0F34" w:rsidRPr="002B0F34" w:rsidRDefault="002B0F34" w:rsidP="002B0F34">
      <w:pPr>
        <w:spacing w:after="120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[CONCEPT OF MRP]</w:t>
      </w:r>
    </w:p>
    <w:p w:rsidR="002B0F34" w:rsidRPr="002B0F34" w:rsidRDefault="002B0F34" w:rsidP="002B0F34">
      <w:pPr>
        <w:pStyle w:val="WMOBodyText"/>
        <w:spacing w:before="0"/>
        <w:rPr>
          <w:szCs w:val="20"/>
          <w:lang w:eastAsia="en-US"/>
        </w:rPr>
      </w:pPr>
      <w:r w:rsidRPr="002B0F34">
        <w:rPr>
          <w:szCs w:val="20"/>
          <w:lang w:eastAsia="en-US"/>
        </w:rPr>
        <w:t xml:space="preserve">NOTE: The main concept of </w:t>
      </w:r>
      <w:r w:rsidRPr="002B0F34">
        <w:rPr>
          <w:szCs w:val="20"/>
        </w:rPr>
        <w:t>MRP</w:t>
      </w:r>
      <w:r w:rsidRPr="002B0F34">
        <w:rPr>
          <w:szCs w:val="20"/>
          <w:lang w:eastAsia="en-US"/>
        </w:rPr>
        <w:t xml:space="preserve"> is a subject for further discussion and should satisfy every requirement from WMO and related programmes.</w:t>
      </w:r>
    </w:p>
    <w:p w:rsidR="002B0F34" w:rsidRPr="002B0F34" w:rsidRDefault="002B0F34" w:rsidP="002B0F34">
      <w:pPr>
        <w:pStyle w:val="WMOBodyText"/>
        <w:spacing w:before="0"/>
        <w:rPr>
          <w:szCs w:val="20"/>
          <w:lang w:eastAsia="en-US"/>
        </w:rPr>
      </w:pPr>
    </w:p>
    <w:p w:rsidR="002B0F34" w:rsidRPr="002B0F34" w:rsidRDefault="002B0F34" w:rsidP="002B0F34">
      <w:pPr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9.</w:t>
      </w:r>
      <w:r w:rsidRPr="002B0F34">
        <w:rPr>
          <w:rFonts w:ascii="Verdana" w:hAnsi="Verdana"/>
          <w:sz w:val="20"/>
        </w:rPr>
        <w:tab/>
        <w:t xml:space="preserve">MRP </w:t>
      </w:r>
      <w:r w:rsidR="0020694E">
        <w:rPr>
          <w:rFonts w:ascii="Verdana" w:hAnsi="Verdana"/>
          <w:sz w:val="20"/>
        </w:rPr>
        <w:t xml:space="preserve">will </w:t>
      </w:r>
      <w:r w:rsidRPr="002B0F34">
        <w:rPr>
          <w:rFonts w:ascii="Verdana" w:hAnsi="Verdana"/>
          <w:sz w:val="20"/>
        </w:rPr>
        <w:t>deal with TDCF</w:t>
      </w:r>
      <w:r w:rsidR="0020694E">
        <w:rPr>
          <w:rFonts w:ascii="Verdana" w:hAnsi="Verdana"/>
          <w:sz w:val="20"/>
        </w:rPr>
        <w:t xml:space="preserve"> </w:t>
      </w:r>
      <w:r w:rsidR="0020694E" w:rsidRPr="002B0F34">
        <w:rPr>
          <w:rFonts w:ascii="Verdana" w:hAnsi="Verdana"/>
          <w:sz w:val="20"/>
        </w:rPr>
        <w:t xml:space="preserve">in Volume I.2 </w:t>
      </w:r>
      <w:r w:rsidR="0020694E">
        <w:rPr>
          <w:rFonts w:ascii="Verdana" w:hAnsi="Verdana"/>
          <w:sz w:val="20"/>
        </w:rPr>
        <w:t>as forms of messages</w:t>
      </w:r>
      <w:r w:rsidR="0036718C">
        <w:rPr>
          <w:rFonts w:ascii="Verdana" w:hAnsi="Verdana"/>
          <w:sz w:val="20"/>
        </w:rPr>
        <w:t xml:space="preserve"> </w:t>
      </w:r>
      <w:r w:rsidR="0020694E">
        <w:rPr>
          <w:rFonts w:ascii="Verdana" w:hAnsi="Verdana"/>
          <w:sz w:val="20"/>
        </w:rPr>
        <w:t>and other forms, depending on requirements</w:t>
      </w:r>
      <w:r w:rsidR="00BA05C0">
        <w:rPr>
          <w:rFonts w:ascii="Verdana" w:hAnsi="Verdana"/>
          <w:sz w:val="20"/>
        </w:rPr>
        <w:t xml:space="preserve">.  </w:t>
      </w:r>
      <w:r w:rsidR="00BA05C0" w:rsidRPr="00BA05C0">
        <w:rPr>
          <w:rFonts w:ascii="Verdana" w:hAnsi="Verdana"/>
          <w:sz w:val="20"/>
        </w:rPr>
        <w:t>The structure of MRP would be conformable to the current Manual on Codes,</w:t>
      </w:r>
      <w:r w:rsidR="00BA05C0" w:rsidRPr="00BA05C0">
        <w:rPr>
          <w:rFonts w:ascii="Verdana" w:hAnsi="Verdana"/>
          <w:sz w:val="20"/>
        </w:rPr>
        <w:t xml:space="preserve"> </w:t>
      </w:r>
      <w:r w:rsidR="00BA05C0" w:rsidRPr="00BA05C0">
        <w:rPr>
          <w:rFonts w:ascii="Verdana" w:hAnsi="Verdana"/>
          <w:sz w:val="20"/>
        </w:rPr>
        <w:t>Volume I.1 and may, for example, consist of a) a form of messages,</w:t>
      </w:r>
      <w:r w:rsidR="00BA05C0">
        <w:rPr>
          <w:rFonts w:ascii="Verdana" w:hAnsi="Verdana"/>
          <w:sz w:val="20"/>
        </w:rPr>
        <w:t xml:space="preserve"> </w:t>
      </w:r>
      <w:r w:rsidR="00BA05C0" w:rsidRPr="00BA05C0">
        <w:rPr>
          <w:rFonts w:ascii="Verdana" w:hAnsi="Verdana"/>
          <w:sz w:val="20"/>
        </w:rPr>
        <w:t>b) instructions for the form and c) regulations for reporting.</w:t>
      </w:r>
    </w:p>
    <w:p w:rsidR="002B0F34" w:rsidRPr="002B0F34" w:rsidRDefault="002B0F34" w:rsidP="002B0F34">
      <w:pPr>
        <w:rPr>
          <w:rFonts w:ascii="Verdana" w:hAnsi="Verdana"/>
          <w:sz w:val="20"/>
        </w:rPr>
      </w:pPr>
      <w:bookmarkStart w:id="1" w:name="_GoBack"/>
      <w:bookmarkEnd w:id="1"/>
    </w:p>
    <w:p w:rsidR="002B0F34" w:rsidRPr="002B0F34" w:rsidRDefault="002B0F34" w:rsidP="004F1AE9">
      <w:pPr>
        <w:ind w:right="-142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10.</w:t>
      </w:r>
      <w:r w:rsidRPr="002B0F34">
        <w:rPr>
          <w:rFonts w:ascii="Verdana" w:hAnsi="Verdana"/>
          <w:sz w:val="20"/>
        </w:rPr>
        <w:tab/>
        <w:t xml:space="preserve">Main roles of MRP should therefore be </w:t>
      </w:r>
      <w:r w:rsidR="004F1AE9">
        <w:rPr>
          <w:rFonts w:ascii="Verdana" w:hAnsi="Verdana"/>
          <w:sz w:val="20"/>
        </w:rPr>
        <w:t xml:space="preserve">a) </w:t>
      </w:r>
      <w:r w:rsidRPr="004F1AE9">
        <w:rPr>
          <w:rFonts w:ascii="Verdana" w:hAnsi="Verdana"/>
          <w:i/>
          <w:sz w:val="20"/>
        </w:rPr>
        <w:t>to standardize forms of messages</w:t>
      </w:r>
      <w:r w:rsidRPr="002B0F34">
        <w:rPr>
          <w:rFonts w:ascii="Verdana" w:hAnsi="Verdana"/>
          <w:sz w:val="20"/>
        </w:rPr>
        <w:t>, in particular, templates</w:t>
      </w:r>
      <w:r w:rsidR="004F1AE9">
        <w:rPr>
          <w:rFonts w:ascii="Verdana" w:hAnsi="Verdana"/>
          <w:sz w:val="20"/>
        </w:rPr>
        <w:t xml:space="preserve"> of TDCF,</w:t>
      </w:r>
      <w:r w:rsidRPr="002B0F34">
        <w:rPr>
          <w:rFonts w:ascii="Verdana" w:hAnsi="Verdana"/>
          <w:sz w:val="20"/>
        </w:rPr>
        <w:t xml:space="preserve"> and </w:t>
      </w:r>
      <w:r w:rsidRPr="004F1AE9">
        <w:rPr>
          <w:rFonts w:ascii="Verdana" w:hAnsi="Verdana"/>
          <w:i/>
          <w:sz w:val="20"/>
        </w:rPr>
        <w:t>to regulate standard and recommended practices for reporting</w:t>
      </w:r>
      <w:r w:rsidRPr="004F1AE9">
        <w:rPr>
          <w:rFonts w:ascii="Verdana" w:hAnsi="Verdana"/>
          <w:b/>
          <w:sz w:val="20"/>
        </w:rPr>
        <w:t>.</w:t>
      </w:r>
    </w:p>
    <w:p w:rsidR="002B0F34" w:rsidRPr="002B0F34" w:rsidRDefault="002B0F34" w:rsidP="002B0F34">
      <w:pPr>
        <w:rPr>
          <w:rFonts w:ascii="Verdana" w:hAnsi="Verdana"/>
          <w:sz w:val="20"/>
        </w:rPr>
      </w:pPr>
    </w:p>
    <w:p w:rsidR="002B0F34" w:rsidRPr="002B0F34" w:rsidRDefault="002B0F34" w:rsidP="002B0F34">
      <w:pPr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ab/>
        <w:t>In standardiz</w:t>
      </w:r>
      <w:r w:rsidR="004F1AE9">
        <w:rPr>
          <w:rFonts w:ascii="Verdana" w:hAnsi="Verdana"/>
          <w:sz w:val="20"/>
        </w:rPr>
        <w:t xml:space="preserve">ing a </w:t>
      </w:r>
      <w:r w:rsidRPr="002B0F34">
        <w:rPr>
          <w:rFonts w:ascii="Verdana" w:hAnsi="Verdana"/>
          <w:sz w:val="20"/>
        </w:rPr>
        <w:t>form of message, a maximum set of variables, which can be reported from a station or centre, should be selected so that the set can meet, for efficient and effective reporting, the requirements from multiple data productions.  One typical example is a land surface observation, which could satisfy the requirements from weather forecasting (WWW), cryosphere watch (GCW) and climatology (WCP).</w:t>
      </w:r>
    </w:p>
    <w:p w:rsidR="002B0F34" w:rsidRPr="002B0F34" w:rsidRDefault="002B0F34" w:rsidP="002B0F34">
      <w:pPr>
        <w:rPr>
          <w:rFonts w:ascii="Verdana" w:hAnsi="Verdana"/>
          <w:sz w:val="20"/>
        </w:rPr>
      </w:pPr>
    </w:p>
    <w:p w:rsidR="002B0F34" w:rsidRPr="002B0F34" w:rsidRDefault="002B0F34" w:rsidP="002B0F34">
      <w:pPr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[TIMELINE]</w:t>
      </w:r>
    </w:p>
    <w:bookmarkEnd w:id="0"/>
    <w:p w:rsidR="002B0F34" w:rsidRPr="002B0F34" w:rsidRDefault="002B0F34" w:rsidP="002B0F34">
      <w:pPr>
        <w:spacing w:before="120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11.</w:t>
      </w:r>
      <w:r w:rsidRPr="002B0F34">
        <w:rPr>
          <w:rFonts w:ascii="Verdana" w:hAnsi="Verdana"/>
          <w:sz w:val="20"/>
        </w:rPr>
        <w:tab/>
        <w:t xml:space="preserve">The timeline is roughly as follows, which </w:t>
      </w:r>
      <w:r w:rsidR="004F1AE9">
        <w:rPr>
          <w:rFonts w:ascii="Verdana" w:hAnsi="Verdana"/>
          <w:sz w:val="20"/>
        </w:rPr>
        <w:t>must</w:t>
      </w:r>
      <w:r w:rsidRPr="002B0F34">
        <w:rPr>
          <w:rFonts w:ascii="Verdana" w:hAnsi="Verdana"/>
          <w:sz w:val="20"/>
        </w:rPr>
        <w:t xml:space="preserve"> be adjusted according to the progress of works by each SC.</w:t>
      </w:r>
    </w:p>
    <w:p w:rsidR="002B0F34" w:rsidRPr="004F1AE9" w:rsidRDefault="002B0F34" w:rsidP="002B0F34">
      <w:pPr>
        <w:spacing w:before="120"/>
        <w:ind w:left="1701" w:hanging="1701"/>
        <w:rPr>
          <w:rFonts w:ascii="Verdana" w:hAnsi="Verdana"/>
          <w:color w:val="7F7F7F" w:themeColor="text1" w:themeTint="80"/>
          <w:sz w:val="20"/>
        </w:rPr>
      </w:pPr>
      <w:r w:rsidRPr="004F1AE9">
        <w:rPr>
          <w:rFonts w:ascii="Verdana" w:hAnsi="Verdana"/>
          <w:color w:val="7F7F7F" w:themeColor="text1" w:themeTint="80"/>
          <w:sz w:val="20"/>
        </w:rPr>
        <w:t>April 2019</w:t>
      </w:r>
      <w:r w:rsidRPr="004F1AE9">
        <w:rPr>
          <w:rFonts w:ascii="Verdana" w:hAnsi="Verdana"/>
          <w:color w:val="7F7F7F" w:themeColor="text1" w:themeTint="80"/>
          <w:sz w:val="20"/>
        </w:rPr>
        <w:tab/>
        <w:t>IPET-CM agreed with the initiation of arrangements for MRP (DONE).</w:t>
      </w:r>
    </w:p>
    <w:p w:rsidR="002B0F34" w:rsidRPr="002B0F34" w:rsidRDefault="002B0F34" w:rsidP="002B0F34">
      <w:pPr>
        <w:spacing w:before="120"/>
        <w:ind w:left="1701" w:hanging="1701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2019-2020</w:t>
      </w:r>
      <w:r w:rsidRPr="002B0F34">
        <w:rPr>
          <w:rFonts w:ascii="Verdana" w:hAnsi="Verdana"/>
          <w:sz w:val="20"/>
        </w:rPr>
        <w:tab/>
        <w:t>The agreement will be raised to INFCOM through OPAG-ISS (ICT-ISS).</w:t>
      </w:r>
    </w:p>
    <w:p w:rsidR="002B0F34" w:rsidRPr="002B0F34" w:rsidRDefault="002B0F34" w:rsidP="002B0F34">
      <w:pPr>
        <w:spacing w:before="120"/>
        <w:ind w:left="1701" w:hanging="1701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2020</w:t>
      </w:r>
      <w:r w:rsidRPr="002B0F34">
        <w:rPr>
          <w:rFonts w:ascii="Verdana" w:hAnsi="Verdana"/>
          <w:sz w:val="20"/>
        </w:rPr>
        <w:tab/>
        <w:t>INFCOM will invite its SCs to consolidate their requirements to MRP.</w:t>
      </w:r>
    </w:p>
    <w:p w:rsidR="002B0F34" w:rsidRPr="002B0F34" w:rsidRDefault="002B0F34" w:rsidP="002B0F34">
      <w:pPr>
        <w:spacing w:before="120"/>
        <w:ind w:left="1701" w:hanging="1701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2020-2021</w:t>
      </w:r>
      <w:r w:rsidRPr="002B0F34">
        <w:rPr>
          <w:rFonts w:ascii="Verdana" w:hAnsi="Verdana"/>
          <w:sz w:val="20"/>
        </w:rPr>
        <w:tab/>
        <w:t>Responsible expert team for MRP (</w:t>
      </w:r>
      <w:r w:rsidRPr="004F1AE9">
        <w:rPr>
          <w:rFonts w:ascii="Verdana" w:hAnsi="Verdana"/>
          <w:b/>
          <w:sz w:val="20"/>
        </w:rPr>
        <w:t>RET</w:t>
      </w:r>
      <w:r w:rsidRPr="002B0F34">
        <w:rPr>
          <w:rFonts w:ascii="Verdana" w:hAnsi="Verdana"/>
          <w:sz w:val="20"/>
        </w:rPr>
        <w:t>), currently IPET-CM, will collect and adjust requirements from SCs.</w:t>
      </w:r>
    </w:p>
    <w:p w:rsidR="002B0F34" w:rsidRPr="002B0F34" w:rsidRDefault="002B0F34" w:rsidP="002B0F34">
      <w:pPr>
        <w:tabs>
          <w:tab w:val="center" w:pos="709"/>
        </w:tabs>
        <w:spacing w:before="120"/>
        <w:ind w:left="1701" w:hanging="1701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ab/>
        <w:t>-</w:t>
      </w:r>
      <w:r w:rsidRPr="002B0F34">
        <w:rPr>
          <w:rFonts w:ascii="Verdana" w:hAnsi="Verdana"/>
          <w:sz w:val="20"/>
        </w:rPr>
        <w:tab/>
        <w:t xml:space="preserve">RET will assist SCs concerned to develop </w:t>
      </w:r>
      <w:r w:rsidR="004F1AE9">
        <w:rPr>
          <w:rFonts w:ascii="Verdana" w:hAnsi="Verdana"/>
          <w:sz w:val="20"/>
        </w:rPr>
        <w:t xml:space="preserve">their </w:t>
      </w:r>
      <w:r w:rsidRPr="002B0F34">
        <w:rPr>
          <w:rFonts w:ascii="Verdana" w:hAnsi="Verdana"/>
          <w:sz w:val="20"/>
        </w:rPr>
        <w:t xml:space="preserve">standard forms of messages, such as TDCF templates, that could meet their requirements.  Existing templates, if they </w:t>
      </w:r>
      <w:r w:rsidR="004F1AE9">
        <w:rPr>
          <w:rFonts w:ascii="Verdana" w:hAnsi="Verdana"/>
          <w:sz w:val="20"/>
        </w:rPr>
        <w:t xml:space="preserve">could </w:t>
      </w:r>
      <w:r w:rsidRPr="002B0F34">
        <w:rPr>
          <w:rFonts w:ascii="Verdana" w:hAnsi="Verdana"/>
          <w:sz w:val="20"/>
        </w:rPr>
        <w:t xml:space="preserve">meet the advanced requirements, </w:t>
      </w:r>
      <w:r w:rsidR="004F1AE9">
        <w:rPr>
          <w:rFonts w:ascii="Verdana" w:hAnsi="Verdana"/>
          <w:sz w:val="20"/>
        </w:rPr>
        <w:t>will</w:t>
      </w:r>
      <w:r w:rsidRPr="002B0F34">
        <w:rPr>
          <w:rFonts w:ascii="Verdana" w:hAnsi="Verdana"/>
          <w:sz w:val="20"/>
        </w:rPr>
        <w:t xml:space="preserve"> be available for advanced data production.</w:t>
      </w:r>
    </w:p>
    <w:p w:rsidR="002B0F34" w:rsidRPr="002B0F34" w:rsidRDefault="002B0F34" w:rsidP="002B0F34">
      <w:pPr>
        <w:tabs>
          <w:tab w:val="center" w:pos="709"/>
        </w:tabs>
        <w:spacing w:before="120"/>
        <w:ind w:left="1701" w:hanging="1701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ab/>
        <w:t>-</w:t>
      </w:r>
      <w:r w:rsidRPr="002B0F34">
        <w:rPr>
          <w:rFonts w:ascii="Verdana" w:hAnsi="Verdana"/>
          <w:sz w:val="20"/>
        </w:rPr>
        <w:tab/>
        <w:t>RET will in parallel assist SCs concerned to draft regulations for RPs.</w:t>
      </w:r>
    </w:p>
    <w:p w:rsidR="002B0F34" w:rsidRPr="002B0F34" w:rsidRDefault="002B0F34" w:rsidP="002B0F34">
      <w:pPr>
        <w:tabs>
          <w:tab w:val="center" w:pos="709"/>
        </w:tabs>
        <w:spacing w:before="120"/>
        <w:ind w:left="1701" w:hanging="1701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ab/>
        <w:t>-</w:t>
      </w:r>
      <w:r w:rsidRPr="002B0F34">
        <w:rPr>
          <w:rFonts w:ascii="Verdana" w:hAnsi="Verdana"/>
          <w:sz w:val="20"/>
        </w:rPr>
        <w:tab/>
        <w:t>MRP will be finalized and recommended by INFCOM.</w:t>
      </w:r>
    </w:p>
    <w:p w:rsidR="002B0F34" w:rsidRPr="002B0F34" w:rsidRDefault="002B0F34" w:rsidP="002B0F34">
      <w:pPr>
        <w:tabs>
          <w:tab w:val="center" w:pos="709"/>
        </w:tabs>
        <w:spacing w:before="120"/>
        <w:ind w:left="1701" w:hanging="1701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ab/>
        <w:t>-</w:t>
      </w:r>
      <w:r w:rsidRPr="002B0F34">
        <w:rPr>
          <w:rFonts w:ascii="Verdana" w:hAnsi="Verdana"/>
          <w:sz w:val="20"/>
        </w:rPr>
        <w:tab/>
        <w:t>MRP will be adopted by Cg.</w:t>
      </w:r>
    </w:p>
    <w:p w:rsidR="002B0F34" w:rsidRPr="002B0F34" w:rsidRDefault="002B0F34" w:rsidP="002B0F34">
      <w:pPr>
        <w:tabs>
          <w:tab w:val="center" w:pos="709"/>
        </w:tabs>
        <w:spacing w:before="120"/>
        <w:ind w:left="1701" w:hanging="1701"/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  <w:lang w:val="fr-CH" w:eastAsia="ja-JP"/>
        </w:rPr>
        <w:tab/>
      </w:r>
      <w:r w:rsidRPr="002B0F34">
        <w:rPr>
          <w:rFonts w:ascii="Verdana" w:eastAsia="MS Gothic" w:hAnsi="Verdana" w:cs="MS Gothic"/>
          <w:sz w:val="20"/>
          <w:lang w:eastAsia="ja-JP"/>
        </w:rPr>
        <w:t>～</w:t>
      </w:r>
      <w:r w:rsidRPr="002B0F34">
        <w:rPr>
          <w:rFonts w:ascii="Verdana" w:hAnsi="Verdana"/>
          <w:sz w:val="20"/>
          <w:lang w:val="fr-CH" w:eastAsia="ja-JP"/>
        </w:rPr>
        <w:t xml:space="preserve"> i</w:t>
      </w:r>
      <w:r w:rsidRPr="002B0F34">
        <w:rPr>
          <w:rFonts w:ascii="Verdana" w:hAnsi="Verdana"/>
          <w:sz w:val="20"/>
        </w:rPr>
        <w:t>n 5 years</w:t>
      </w:r>
      <w:r w:rsidRPr="002B0F34">
        <w:rPr>
          <w:rFonts w:ascii="Verdana" w:hAnsi="Verdana"/>
          <w:sz w:val="20"/>
        </w:rPr>
        <w:tab/>
        <w:t>MRP will be published.</w:t>
      </w:r>
    </w:p>
    <w:p w:rsidR="002B0F34" w:rsidRPr="002B0F34" w:rsidRDefault="002B0F34" w:rsidP="002B0F34">
      <w:pPr>
        <w:rPr>
          <w:rFonts w:ascii="Verdana" w:hAnsi="Verdana"/>
          <w:sz w:val="20"/>
        </w:rPr>
      </w:pPr>
    </w:p>
    <w:p w:rsidR="002B0F34" w:rsidRPr="002B0F34" w:rsidRDefault="002B0F34" w:rsidP="002B0F34">
      <w:pPr>
        <w:rPr>
          <w:rFonts w:ascii="Verdana" w:hAnsi="Verdana"/>
          <w:sz w:val="20"/>
        </w:rPr>
      </w:pPr>
      <w:r w:rsidRPr="002B0F34">
        <w:rPr>
          <w:rFonts w:ascii="Verdana" w:hAnsi="Verdana"/>
          <w:sz w:val="20"/>
        </w:rPr>
        <w:t>[</w:t>
      </w:r>
      <w:r w:rsidR="004F1AE9">
        <w:rPr>
          <w:rFonts w:ascii="Verdana" w:hAnsi="Verdana"/>
          <w:sz w:val="20"/>
        </w:rPr>
        <w:t>INITIATION</w:t>
      </w:r>
      <w:r w:rsidRPr="002B0F34">
        <w:rPr>
          <w:rFonts w:ascii="Verdana" w:hAnsi="Verdana"/>
          <w:sz w:val="20"/>
        </w:rPr>
        <w:t>]</w:t>
      </w:r>
    </w:p>
    <w:p w:rsidR="00442459" w:rsidRPr="002B0F34" w:rsidRDefault="002B0F34" w:rsidP="002B0F34">
      <w:pPr>
        <w:pStyle w:val="WMOBodyText"/>
        <w:spacing w:before="120"/>
        <w:jc w:val="both"/>
        <w:rPr>
          <w:szCs w:val="20"/>
          <w:lang w:eastAsia="en-US"/>
        </w:rPr>
      </w:pPr>
      <w:r w:rsidRPr="002B0F34">
        <w:rPr>
          <w:szCs w:val="20"/>
          <w:lang w:eastAsia="en-US"/>
        </w:rPr>
        <w:t>12.</w:t>
      </w:r>
      <w:r w:rsidRPr="002B0F34">
        <w:rPr>
          <w:szCs w:val="20"/>
          <w:lang w:eastAsia="en-US"/>
        </w:rPr>
        <w:tab/>
        <w:t>SCs concerned, which nominate a focal point to RET, are requested to review and correct as needed the table in the Attachment I to this information paper and to fill the "Requirements" column together with the "Programme" col</w:t>
      </w:r>
      <w:r w:rsidR="004F1AE9">
        <w:rPr>
          <w:szCs w:val="20"/>
          <w:lang w:eastAsia="en-US"/>
        </w:rPr>
        <w:t>umns.</w:t>
      </w:r>
      <w:r w:rsidR="000C6720">
        <w:rPr>
          <w:szCs w:val="20"/>
          <w:lang w:eastAsia="en-US"/>
        </w:rPr>
        <w:t xml:space="preserve">  </w:t>
      </w:r>
      <w:r w:rsidR="004F1AE9">
        <w:rPr>
          <w:szCs w:val="20"/>
          <w:lang w:eastAsia="en-US"/>
        </w:rPr>
        <w:t>The Attachment II is at the moment just for refere</w:t>
      </w:r>
      <w:r w:rsidRPr="002B0F34">
        <w:rPr>
          <w:szCs w:val="20"/>
          <w:lang w:eastAsia="en-US"/>
        </w:rPr>
        <w:t xml:space="preserve">nce </w:t>
      </w:r>
      <w:r w:rsidR="004F1AE9">
        <w:rPr>
          <w:szCs w:val="20"/>
          <w:lang w:eastAsia="en-US"/>
        </w:rPr>
        <w:t xml:space="preserve">(presumably next step) </w:t>
      </w:r>
      <w:r w:rsidRPr="002B0F34">
        <w:rPr>
          <w:szCs w:val="20"/>
          <w:lang w:eastAsia="en-US"/>
        </w:rPr>
        <w:t>and each variable in the form will be reviewed in due course.</w:t>
      </w:r>
      <w:bookmarkStart w:id="2" w:name="_Annex_to_draft_1"/>
      <w:bookmarkEnd w:id="2"/>
    </w:p>
    <w:p w:rsidR="00442459" w:rsidRPr="00FF65B9" w:rsidRDefault="00442459" w:rsidP="00442459">
      <w:pPr>
        <w:rPr>
          <w:rFonts w:ascii="Times New Roman" w:hAnsi="Times New Roman"/>
          <w:sz w:val="24"/>
          <w:szCs w:val="24"/>
        </w:rPr>
      </w:pPr>
    </w:p>
    <w:p w:rsidR="00442459" w:rsidRPr="00FF65B9" w:rsidRDefault="00442459" w:rsidP="00442459">
      <w:pPr>
        <w:pStyle w:val="Heading2"/>
        <w:rPr>
          <w:rFonts w:hint="eastAsia"/>
        </w:rPr>
      </w:pPr>
      <w:r w:rsidRPr="00FF65B9">
        <w:t>References</w:t>
      </w:r>
    </w:p>
    <w:p w:rsidR="00442459" w:rsidRPr="00442459" w:rsidRDefault="00442459" w:rsidP="00442459">
      <w:r w:rsidRPr="00442459">
        <w:t xml:space="preserve">[1] </w:t>
      </w:r>
      <w:r w:rsidR="002B0F34">
        <w:t>Report of the third meeting of IPET-CM in 2019</w:t>
      </w:r>
      <w:r w:rsidR="00F73FC4">
        <w:t xml:space="preserve"> [</w:t>
      </w:r>
      <w:hyperlink r:id="rId10" w:history="1">
        <w:r w:rsidR="00F73FC4" w:rsidRPr="00F73FC4">
          <w:rPr>
            <w:rStyle w:val="Hyperlink"/>
          </w:rPr>
          <w:t>Summary</w:t>
        </w:r>
      </w:hyperlink>
      <w:r w:rsidR="00F73FC4">
        <w:t xml:space="preserve"> / </w:t>
      </w:r>
      <w:hyperlink r:id="rId11" w:history="1">
        <w:r w:rsidR="00F73FC4" w:rsidRPr="00F73FC4">
          <w:rPr>
            <w:rStyle w:val="Hyperlink"/>
          </w:rPr>
          <w:t>Annex</w:t>
        </w:r>
      </w:hyperlink>
      <w:r w:rsidR="00F73FC4">
        <w:t>]</w:t>
      </w:r>
    </w:p>
    <w:p w:rsidR="00442459" w:rsidRDefault="00442459" w:rsidP="00442459">
      <w:r w:rsidRPr="00442459">
        <w:t xml:space="preserve">[2] </w:t>
      </w:r>
      <w:r w:rsidR="002B0F34">
        <w:t>Appendix I</w:t>
      </w:r>
    </w:p>
    <w:p w:rsidR="002B0F34" w:rsidRPr="00FF65B9" w:rsidRDefault="002B0F34" w:rsidP="00442459">
      <w:r>
        <w:lastRenderedPageBreak/>
        <w:t>[3] Appendix II</w:t>
      </w:r>
    </w:p>
    <w:p w:rsidR="00B66B5F" w:rsidRDefault="00B66B5F" w:rsidP="008F2F39">
      <w:pPr>
        <w:pStyle w:val="Heading2"/>
        <w:rPr>
          <w:rFonts w:ascii="Verdana" w:hAnsi="Verdana"/>
        </w:rPr>
      </w:pPr>
    </w:p>
    <w:p w:rsidR="008F2F39" w:rsidRPr="00D8508C" w:rsidRDefault="008F2F39" w:rsidP="008F2F39">
      <w:pPr>
        <w:pStyle w:val="Heading2"/>
        <w:rPr>
          <w:rFonts w:ascii="Verdana" w:hAnsi="Verdana"/>
        </w:rPr>
      </w:pPr>
      <w:r w:rsidRPr="00D8508C">
        <w:rPr>
          <w:rFonts w:ascii="Verdana" w:hAnsi="Verdana"/>
        </w:rPr>
        <w:t>Recommended Text</w:t>
      </w:r>
    </w:p>
    <w:p w:rsidR="008F2F39" w:rsidRPr="00D8508C" w:rsidRDefault="008F2F39" w:rsidP="00417E72">
      <w:pPr>
        <w:pStyle w:val="Action"/>
        <w:numPr>
          <w:ilvl w:val="0"/>
          <w:numId w:val="1"/>
        </w:numPr>
      </w:pPr>
      <w:r w:rsidRPr="00D8508C">
        <w:t xml:space="preserve">ICT-ISS noted the </w:t>
      </w:r>
      <w:r w:rsidR="00B66B5F">
        <w:t xml:space="preserve">agreement </w:t>
      </w:r>
      <w:r w:rsidRPr="00D8508C">
        <w:t xml:space="preserve">by the CBS Inter-programme Expert Team on Codes Maintenance (IPET-CM) with regard to development of the </w:t>
      </w:r>
      <w:r>
        <w:t>manual for r</w:t>
      </w:r>
      <w:r w:rsidRPr="00D8508C">
        <w:t xml:space="preserve">eporting </w:t>
      </w:r>
      <w:r>
        <w:t>p</w:t>
      </w:r>
      <w:r w:rsidRPr="00D8508C">
        <w:t>ractices, which is to replace the Manual on Codes (WMO-No. 306)</w:t>
      </w:r>
      <w:r>
        <w:t xml:space="preserve">, Volume I.1, </w:t>
      </w:r>
      <w:r w:rsidRPr="00D8508C">
        <w:t xml:space="preserve"> </w:t>
      </w:r>
      <w:r>
        <w:t xml:space="preserve">also </w:t>
      </w:r>
      <w:r w:rsidRPr="00D8508C">
        <w:t>cover</w:t>
      </w:r>
      <w:r>
        <w:t>ing</w:t>
      </w:r>
      <w:r w:rsidRPr="00D8508C">
        <w:t xml:space="preserve"> </w:t>
      </w:r>
      <w:r>
        <w:t xml:space="preserve">reporting of </w:t>
      </w:r>
      <w:r w:rsidRPr="00D8508C">
        <w:t xml:space="preserve">advanced </w:t>
      </w:r>
      <w:r w:rsidR="00B66B5F">
        <w:t>data</w:t>
      </w:r>
      <w:r w:rsidRPr="00D8508C">
        <w:t>.</w:t>
      </w:r>
      <w:r w:rsidR="00B66B5F">
        <w:t xml:space="preserve">  ICT-ISS agreed </w:t>
      </w:r>
      <w:r w:rsidR="00B66B5F" w:rsidRPr="00D8508C">
        <w:t>to raise the issue to the coming session of the Commission for Observation, Infrastructure and Information Systems (</w:t>
      </w:r>
      <w:r w:rsidR="00B66B5F">
        <w:t>INFCOM</w:t>
      </w:r>
      <w:r w:rsidR="00B66B5F" w:rsidRPr="00D8508C">
        <w:t>)</w:t>
      </w:r>
      <w:r w:rsidR="00B66B5F">
        <w:t>.</w:t>
      </w:r>
    </w:p>
    <w:p w:rsidR="008F2F39" w:rsidRPr="00D8508C" w:rsidRDefault="008F2F39" w:rsidP="008F2F39">
      <w:pPr>
        <w:rPr>
          <w:rFonts w:ascii="Verdana" w:hAnsi="Verdana"/>
          <w:sz w:val="24"/>
          <w:szCs w:val="24"/>
        </w:rPr>
      </w:pPr>
    </w:p>
    <w:p w:rsidR="008F2F39" w:rsidRPr="00D8508C" w:rsidRDefault="008F2F39" w:rsidP="008F2F39">
      <w:pPr>
        <w:jc w:val="center"/>
        <w:rPr>
          <w:rFonts w:ascii="Verdana" w:hAnsi="Verdana"/>
          <w:sz w:val="24"/>
          <w:szCs w:val="24"/>
        </w:rPr>
      </w:pPr>
      <w:r w:rsidRPr="00D8508C">
        <w:rPr>
          <w:rFonts w:ascii="Verdana" w:hAnsi="Verdana"/>
          <w:sz w:val="24"/>
          <w:szCs w:val="24"/>
        </w:rPr>
        <w:t>--------------------</w:t>
      </w:r>
    </w:p>
    <w:p w:rsidR="00D66408" w:rsidRDefault="00D66408">
      <w:pPr>
        <w:rPr>
          <w:rFonts w:ascii="Verdana" w:eastAsia="SimSun" w:hAnsi="Verdana"/>
          <w:b/>
          <w:bCs/>
          <w:iCs/>
          <w:caps/>
          <w:sz w:val="24"/>
          <w:szCs w:val="24"/>
          <w:lang w:eastAsia="zh-CN"/>
        </w:rPr>
      </w:pPr>
      <w:r>
        <w:rPr>
          <w:rFonts w:ascii="Verdana" w:hAnsi="Verdana"/>
        </w:rPr>
        <w:br w:type="page"/>
      </w:r>
    </w:p>
    <w:p w:rsidR="008F2F39" w:rsidRDefault="008F2F39" w:rsidP="008F2F39">
      <w:pPr>
        <w:pStyle w:val="Heading2"/>
        <w:rPr>
          <w:rFonts w:ascii="Verdana" w:hAnsi="Verdana"/>
        </w:rPr>
      </w:pPr>
      <w:r w:rsidRPr="00D8508C">
        <w:rPr>
          <w:rFonts w:ascii="Verdana" w:hAnsi="Verdana"/>
        </w:rPr>
        <w:lastRenderedPageBreak/>
        <w:t>D</w:t>
      </w:r>
      <w:r>
        <w:rPr>
          <w:rFonts w:ascii="Verdana" w:hAnsi="Verdana"/>
        </w:rPr>
        <w:t xml:space="preserve">RAFT DECISION </w:t>
      </w:r>
      <w:r w:rsidR="000C6720">
        <w:rPr>
          <w:rFonts w:ascii="Verdana" w:hAnsi="Verdana"/>
        </w:rPr>
        <w:t>BY</w:t>
      </w:r>
      <w:r>
        <w:rPr>
          <w:rFonts w:ascii="Verdana" w:hAnsi="Verdana"/>
        </w:rPr>
        <w:t xml:space="preserve"> </w:t>
      </w:r>
      <w:r w:rsidR="000C6720">
        <w:rPr>
          <w:rFonts w:ascii="Verdana" w:hAnsi="Verdana"/>
        </w:rPr>
        <w:t xml:space="preserve">THE </w:t>
      </w:r>
      <w:r>
        <w:rPr>
          <w:rFonts w:ascii="Verdana" w:hAnsi="Verdana"/>
        </w:rPr>
        <w:t xml:space="preserve">JOINT SESSION OF </w:t>
      </w:r>
      <w:r w:rsidR="000C6720">
        <w:rPr>
          <w:rFonts w:ascii="Verdana" w:hAnsi="Verdana"/>
        </w:rPr>
        <w:t>NEW TECHNICAL COMMISSIONS</w:t>
      </w:r>
      <w:r>
        <w:rPr>
          <w:rFonts w:ascii="Verdana" w:hAnsi="Verdana"/>
        </w:rPr>
        <w:t xml:space="preserve"> (2020)</w:t>
      </w:r>
    </w:p>
    <w:p w:rsidR="008F2F39" w:rsidRPr="00D8508C" w:rsidRDefault="008F2F39" w:rsidP="008F2F39">
      <w:pPr>
        <w:rPr>
          <w:lang w:eastAsia="zh-CN"/>
        </w:rPr>
      </w:pPr>
    </w:p>
    <w:p w:rsidR="008F2F39" w:rsidRPr="00D8508C" w:rsidRDefault="008F2F39" w:rsidP="008F2F39">
      <w:pPr>
        <w:pStyle w:val="Heading3"/>
        <w:spacing w:after="480"/>
        <w:jc w:val="center"/>
        <w:rPr>
          <w:rFonts w:ascii="Verdana" w:hAnsi="Verdana"/>
          <w:caps/>
        </w:rPr>
      </w:pPr>
      <w:r w:rsidRPr="00D8508C">
        <w:rPr>
          <w:rFonts w:ascii="Verdana" w:hAnsi="Verdana"/>
          <w:caps/>
        </w:rPr>
        <w:t xml:space="preserve">DEVEOPMENT OF </w:t>
      </w:r>
      <w:r>
        <w:rPr>
          <w:rFonts w:ascii="Verdana" w:hAnsi="Verdana"/>
          <w:caps/>
        </w:rPr>
        <w:t xml:space="preserve">MANUAL </w:t>
      </w:r>
      <w:r w:rsidR="000C6720">
        <w:rPr>
          <w:rFonts w:ascii="Verdana" w:hAnsi="Verdana"/>
          <w:caps/>
        </w:rPr>
        <w:t>FOR</w:t>
      </w:r>
      <w:r>
        <w:rPr>
          <w:rFonts w:ascii="Verdana" w:hAnsi="Verdana"/>
          <w:caps/>
        </w:rPr>
        <w:t xml:space="preserve"> </w:t>
      </w:r>
      <w:r w:rsidRPr="00D8508C">
        <w:rPr>
          <w:rFonts w:ascii="Verdana" w:hAnsi="Verdana"/>
          <w:caps/>
        </w:rPr>
        <w:t>REPORTING PRACTICES</w:t>
      </w:r>
    </w:p>
    <w:p w:rsidR="008F2F39" w:rsidRPr="00D8508C" w:rsidRDefault="008F2F39" w:rsidP="008F2F39">
      <w:pPr>
        <w:pStyle w:val="WMOBodyText"/>
      </w:pPr>
      <w:r w:rsidRPr="00D8508C">
        <w:t>THE COMMISSION FOR OBSERVATIONS, INFRASTRUCTURE AND INFORMATION SYSTEMS:</w:t>
      </w:r>
    </w:p>
    <w:p w:rsidR="008F2F39" w:rsidRDefault="008F2F39" w:rsidP="008F2F39">
      <w:pPr>
        <w:pStyle w:val="Comment"/>
        <w:rPr>
          <w:rFonts w:ascii="Verdana" w:hAnsi="Verdana"/>
          <w:bCs/>
          <w:i w:val="0"/>
          <w:iCs/>
          <w:sz w:val="20"/>
          <w:szCs w:val="20"/>
        </w:rPr>
      </w:pPr>
      <w:r w:rsidRPr="00D8508C">
        <w:rPr>
          <w:rFonts w:ascii="Verdana" w:hAnsi="Verdana"/>
          <w:b/>
          <w:bCs/>
          <w:i w:val="0"/>
          <w:iCs/>
          <w:sz w:val="20"/>
          <w:szCs w:val="20"/>
        </w:rPr>
        <w:t>Noting</w:t>
      </w:r>
      <w:r w:rsidRPr="00D8508C">
        <w:rPr>
          <w:rFonts w:ascii="Verdana" w:hAnsi="Verdana"/>
          <w:bCs/>
          <w:i w:val="0"/>
          <w:iCs/>
          <w:sz w:val="20"/>
          <w:szCs w:val="20"/>
        </w:rPr>
        <w:t xml:space="preserve"> the Manual on Codes (WMO-No. 306), </w:t>
      </w:r>
      <w:r>
        <w:rPr>
          <w:rFonts w:ascii="Verdana" w:hAnsi="Verdana"/>
          <w:bCs/>
          <w:i w:val="0"/>
          <w:iCs/>
          <w:sz w:val="20"/>
          <w:szCs w:val="20"/>
        </w:rPr>
        <w:t>Volume I.1 (</w:t>
      </w:r>
      <w:r w:rsidRPr="00D8508C">
        <w:rPr>
          <w:rFonts w:ascii="Verdana" w:hAnsi="Verdana"/>
          <w:bCs/>
          <w:i w:val="0"/>
          <w:iCs/>
          <w:sz w:val="20"/>
          <w:szCs w:val="20"/>
        </w:rPr>
        <w:t>Annex II to the WMO Technical Regulations</w:t>
      </w:r>
      <w:r>
        <w:rPr>
          <w:rFonts w:ascii="Verdana" w:hAnsi="Verdana"/>
          <w:bCs/>
          <w:i w:val="0"/>
          <w:iCs/>
          <w:sz w:val="20"/>
          <w:szCs w:val="20"/>
        </w:rPr>
        <w:t xml:space="preserve"> (WMO-No. 49)), which regularizes reporting practices together with </w:t>
      </w:r>
      <w:r w:rsidR="000C6720">
        <w:rPr>
          <w:rFonts w:ascii="Verdana" w:hAnsi="Verdana"/>
          <w:bCs/>
          <w:i w:val="0"/>
          <w:iCs/>
          <w:sz w:val="20"/>
          <w:szCs w:val="20"/>
        </w:rPr>
        <w:t xml:space="preserve">the </w:t>
      </w:r>
      <w:r>
        <w:rPr>
          <w:rFonts w:ascii="Verdana" w:hAnsi="Verdana"/>
          <w:bCs/>
          <w:i w:val="0"/>
          <w:iCs/>
          <w:sz w:val="20"/>
          <w:szCs w:val="20"/>
        </w:rPr>
        <w:t xml:space="preserve">standard forms of messages of traditional observations, analyses, forecasting and statistics </w:t>
      </w:r>
      <w:r w:rsidR="000C6720">
        <w:rPr>
          <w:rFonts w:ascii="Verdana" w:hAnsi="Verdana"/>
          <w:bCs/>
          <w:i w:val="0"/>
          <w:iCs/>
          <w:sz w:val="20"/>
          <w:szCs w:val="20"/>
        </w:rPr>
        <w:t>by</w:t>
      </w:r>
      <w:r>
        <w:rPr>
          <w:rFonts w:ascii="Verdana" w:hAnsi="Verdana"/>
          <w:bCs/>
          <w:i w:val="0"/>
          <w:iCs/>
          <w:sz w:val="20"/>
          <w:szCs w:val="20"/>
        </w:rPr>
        <w:t xml:space="preserve"> various WMO and related Programmes, has been frozen by the Decision 38 (EC-69)</w:t>
      </w:r>
      <w:r w:rsidRPr="00D8508C">
        <w:rPr>
          <w:rFonts w:ascii="Verdana" w:hAnsi="Verdana"/>
          <w:bCs/>
          <w:i w:val="0"/>
          <w:iCs/>
          <w:sz w:val="20"/>
          <w:szCs w:val="20"/>
        </w:rPr>
        <w:t>;</w:t>
      </w:r>
    </w:p>
    <w:p w:rsidR="008F2F39" w:rsidRPr="00D8508C" w:rsidRDefault="008F2F39" w:rsidP="008F2F39">
      <w:pPr>
        <w:pStyle w:val="Comment"/>
        <w:rPr>
          <w:rFonts w:ascii="Verdana" w:hAnsi="Verdana"/>
          <w:i w:val="0"/>
          <w:iCs/>
          <w:sz w:val="20"/>
          <w:szCs w:val="20"/>
        </w:rPr>
      </w:pPr>
      <w:r w:rsidRPr="00606B62">
        <w:rPr>
          <w:rFonts w:ascii="Verdana" w:hAnsi="Verdana"/>
          <w:b/>
          <w:bCs/>
          <w:i w:val="0"/>
          <w:iCs/>
          <w:sz w:val="20"/>
          <w:szCs w:val="20"/>
        </w:rPr>
        <w:t>Noting further</w:t>
      </w:r>
      <w:r>
        <w:rPr>
          <w:rFonts w:ascii="Verdana" w:hAnsi="Verdana"/>
          <w:bCs/>
          <w:i w:val="0"/>
          <w:iCs/>
          <w:sz w:val="20"/>
          <w:szCs w:val="20"/>
        </w:rPr>
        <w:t xml:space="preserve"> Volume I.1 will cease the role of regularizing the reporting practices</w:t>
      </w:r>
      <w:r w:rsidR="000C6720">
        <w:rPr>
          <w:rFonts w:ascii="Verdana" w:hAnsi="Verdana"/>
          <w:bCs/>
          <w:i w:val="0"/>
          <w:iCs/>
          <w:sz w:val="20"/>
          <w:szCs w:val="20"/>
        </w:rPr>
        <w:t xml:space="preserve"> </w:t>
      </w:r>
      <w:r>
        <w:rPr>
          <w:rFonts w:ascii="Verdana" w:hAnsi="Verdana"/>
          <w:bCs/>
          <w:i w:val="0"/>
          <w:iCs/>
          <w:sz w:val="20"/>
          <w:szCs w:val="20"/>
        </w:rPr>
        <w:t xml:space="preserve">and </w:t>
      </w:r>
      <w:r w:rsidR="000C6720">
        <w:rPr>
          <w:rFonts w:ascii="Verdana" w:hAnsi="Verdana"/>
          <w:bCs/>
          <w:i w:val="0"/>
          <w:iCs/>
          <w:sz w:val="20"/>
          <w:szCs w:val="20"/>
        </w:rPr>
        <w:t xml:space="preserve">standardizing </w:t>
      </w:r>
      <w:r>
        <w:rPr>
          <w:rFonts w:ascii="Verdana" w:hAnsi="Verdana"/>
          <w:bCs/>
          <w:i w:val="0"/>
          <w:iCs/>
          <w:sz w:val="20"/>
          <w:szCs w:val="20"/>
        </w:rPr>
        <w:t>the forms of messages produced by WMO and related Programmes in accordance with progress of the migration to Table-Driven Code Forms (TDCF).</w:t>
      </w:r>
    </w:p>
    <w:p w:rsidR="008F2F39" w:rsidRPr="00D8508C" w:rsidRDefault="008F2F39" w:rsidP="008F2F39">
      <w:pPr>
        <w:pStyle w:val="WMOBodyText"/>
        <w:spacing w:before="0"/>
        <w:rPr>
          <w:b/>
          <w:szCs w:val="20"/>
        </w:rPr>
      </w:pPr>
    </w:p>
    <w:p w:rsidR="008F2F39" w:rsidRPr="00D8508C" w:rsidRDefault="008F2F39" w:rsidP="008F2F39">
      <w:pPr>
        <w:pStyle w:val="WMOBodyText"/>
        <w:spacing w:before="0"/>
        <w:rPr>
          <w:iCs/>
          <w:lang w:eastAsia="en-US"/>
        </w:rPr>
      </w:pPr>
      <w:r>
        <w:rPr>
          <w:b/>
        </w:rPr>
        <w:t xml:space="preserve">Noting further </w:t>
      </w:r>
      <w:r w:rsidRPr="00D8508C">
        <w:rPr>
          <w:iCs/>
          <w:lang w:eastAsia="en-US"/>
        </w:rPr>
        <w:t xml:space="preserve">the </w:t>
      </w:r>
      <w:r>
        <w:rPr>
          <w:iCs/>
          <w:lang w:eastAsia="en-US"/>
        </w:rPr>
        <w:t>reporting practices in Volume I.1 are adapted to some of the traditional observations in TDCF in the Manual on Codes, Volume I.2</w:t>
      </w:r>
      <w:r w:rsidRPr="00D8508C">
        <w:rPr>
          <w:iCs/>
          <w:lang w:eastAsia="en-US"/>
        </w:rPr>
        <w:t>;</w:t>
      </w:r>
    </w:p>
    <w:p w:rsidR="008F2F39" w:rsidRDefault="008F2F39" w:rsidP="008F2F39">
      <w:pPr>
        <w:pStyle w:val="WMOBodyText"/>
      </w:pPr>
      <w:r>
        <w:rPr>
          <w:b/>
        </w:rPr>
        <w:t>Recognizing</w:t>
      </w:r>
      <w:r w:rsidRPr="00FD3592">
        <w:t xml:space="preserve"> </w:t>
      </w:r>
      <w:r>
        <w:t>reporting practices and forms of messages are crucial and essential for integrated and interoperable exchange of data produced by WMO and related Programmes</w:t>
      </w:r>
      <w:r w:rsidRPr="00D8508C">
        <w:t>;</w:t>
      </w:r>
    </w:p>
    <w:p w:rsidR="008F2F39" w:rsidRPr="00D8508C" w:rsidRDefault="008F2F39" w:rsidP="008F2F39">
      <w:pPr>
        <w:pStyle w:val="WMOBodyText"/>
      </w:pPr>
      <w:r w:rsidRPr="00614ACC">
        <w:rPr>
          <w:b/>
        </w:rPr>
        <w:t>Expecting</w:t>
      </w:r>
      <w:r>
        <w:t xml:space="preserve"> the manual for reporting practices will be a single source of regulations for reporting, which is </w:t>
      </w:r>
      <w:r w:rsidR="000C6720">
        <w:t xml:space="preserve">efficient </w:t>
      </w:r>
      <w:r>
        <w:t>for reference, maintenance and amendment;</w:t>
      </w:r>
    </w:p>
    <w:p w:rsidR="008F2F39" w:rsidRPr="00D8508C" w:rsidRDefault="008F2F39" w:rsidP="008F2F39">
      <w:pPr>
        <w:pStyle w:val="WMOBodyText"/>
      </w:pPr>
      <w:r w:rsidRPr="00743750">
        <w:rPr>
          <w:b/>
        </w:rPr>
        <w:t>Requests</w:t>
      </w:r>
      <w:r w:rsidRPr="00D8508C">
        <w:t xml:space="preserve"> the </w:t>
      </w:r>
      <w:r>
        <w:t>Standing Committees (SCs) within INFCOM to:</w:t>
      </w:r>
    </w:p>
    <w:p w:rsidR="008F2F39" w:rsidRPr="00D8508C" w:rsidRDefault="008F2F39" w:rsidP="008F2F39">
      <w:pPr>
        <w:pStyle w:val="WMOBodyText"/>
        <w:tabs>
          <w:tab w:val="clear" w:pos="1134"/>
        </w:tabs>
        <w:ind w:left="709" w:hanging="709"/>
      </w:pPr>
      <w:r>
        <w:t>(1)</w:t>
      </w:r>
      <w:r>
        <w:tab/>
        <w:t xml:space="preserve">Evaluate the requirements in the SCs to regularize reporting practices and </w:t>
      </w:r>
      <w:r w:rsidR="000C6720">
        <w:t xml:space="preserve">to standardize </w:t>
      </w:r>
      <w:r>
        <w:t>forms of messages exchanged between WMO Members and/or external potential users</w:t>
      </w:r>
      <w:r w:rsidR="000C6720">
        <w:t>;</w:t>
      </w:r>
    </w:p>
    <w:p w:rsidR="008F2F39" w:rsidRDefault="008F2F39" w:rsidP="008F2F39">
      <w:pPr>
        <w:pStyle w:val="WMOBodyText"/>
        <w:tabs>
          <w:tab w:val="clear" w:pos="1134"/>
        </w:tabs>
        <w:ind w:left="709" w:hanging="709"/>
      </w:pPr>
      <w:r>
        <w:t>(2)</w:t>
      </w:r>
      <w:r>
        <w:tab/>
        <w:t>Nominate, if a requirement is identified</w:t>
      </w:r>
      <w:r w:rsidR="000C6720">
        <w:t xml:space="preserve"> for MRP in an SC</w:t>
      </w:r>
      <w:r>
        <w:t xml:space="preserve">, a focal point who </w:t>
      </w:r>
      <w:r w:rsidR="000C6720">
        <w:t xml:space="preserve">will </w:t>
      </w:r>
      <w:r>
        <w:t xml:space="preserve">represent the </w:t>
      </w:r>
      <w:r w:rsidR="000C6720">
        <w:t>SC</w:t>
      </w:r>
      <w:r>
        <w:t xml:space="preserve"> to the responsible expert team for the manual for reporting practices; </w:t>
      </w:r>
    </w:p>
    <w:p w:rsidR="008F2F39" w:rsidRPr="00D8508C" w:rsidRDefault="008F2F39" w:rsidP="008F2F39">
      <w:pPr>
        <w:pStyle w:val="WMOBodyText"/>
        <w:tabs>
          <w:tab w:val="clear" w:pos="1134"/>
        </w:tabs>
        <w:ind w:left="709" w:hanging="709"/>
      </w:pPr>
      <w:r>
        <w:t>(3)</w:t>
      </w:r>
      <w:r>
        <w:tab/>
        <w:t xml:space="preserve">Consolidate </w:t>
      </w:r>
      <w:r w:rsidR="000C6720">
        <w:t xml:space="preserve">and submit </w:t>
      </w:r>
      <w:r>
        <w:t xml:space="preserve">the requirements </w:t>
      </w:r>
      <w:r w:rsidR="000C6720">
        <w:t>t</w:t>
      </w:r>
      <w:r>
        <w:t>o the responsible expert team of INFCOM</w:t>
      </w:r>
      <w:r w:rsidRPr="00D8508C">
        <w:t>;</w:t>
      </w:r>
    </w:p>
    <w:p w:rsidR="008F2F39" w:rsidRPr="00D8508C" w:rsidRDefault="008F2F39" w:rsidP="008F2F39">
      <w:pPr>
        <w:pStyle w:val="WMOBodyText"/>
        <w:tabs>
          <w:tab w:val="clear" w:pos="1134"/>
        </w:tabs>
        <w:ind w:left="709" w:hanging="709"/>
      </w:pPr>
      <w:r>
        <w:t>(4)</w:t>
      </w:r>
      <w:r>
        <w:tab/>
        <w:t xml:space="preserve">Initiate </w:t>
      </w:r>
      <w:r w:rsidR="00E64131">
        <w:t xml:space="preserve">development of standard </w:t>
      </w:r>
      <w:r>
        <w:t>forms of messages and regulations for reporting, as needed, in association with the responsible expert team</w:t>
      </w:r>
      <w:r w:rsidRPr="00D8508C">
        <w:t>.</w:t>
      </w:r>
    </w:p>
    <w:p w:rsidR="008F2F39" w:rsidRPr="00D8508C" w:rsidRDefault="008F2F39" w:rsidP="008F2F39">
      <w:pPr>
        <w:pStyle w:val="WMOBodyText"/>
      </w:pPr>
      <w:r w:rsidRPr="00743750">
        <w:rPr>
          <w:b/>
        </w:rPr>
        <w:t>Requests</w:t>
      </w:r>
      <w:r w:rsidRPr="00D8508C">
        <w:t xml:space="preserve"> the </w:t>
      </w:r>
      <w:r>
        <w:t xml:space="preserve">Secretary-General to fully support the collaboration by the responsible expert team with the SCs </w:t>
      </w:r>
      <w:r w:rsidR="00E64131">
        <w:t xml:space="preserve">in </w:t>
      </w:r>
      <w:r>
        <w:t>INFCOM.</w:t>
      </w:r>
    </w:p>
    <w:p w:rsidR="008F2F39" w:rsidRPr="00D8508C" w:rsidRDefault="008F2F39" w:rsidP="00D66408">
      <w:pPr>
        <w:pStyle w:val="ECBodyText-Centred"/>
      </w:pPr>
      <w:r w:rsidRPr="00D8508C">
        <w:t>__________</w:t>
      </w:r>
    </w:p>
    <w:p w:rsidR="002B0F34" w:rsidRDefault="002B0F34" w:rsidP="00D66408">
      <w:pPr>
        <w:spacing w:before="240"/>
        <w:jc w:val="center"/>
        <w:rPr>
          <w:rFonts w:ascii="Times New Roman" w:hAnsi="Times New Roman"/>
          <w:sz w:val="24"/>
          <w:szCs w:val="24"/>
        </w:rPr>
        <w:sectPr w:rsidR="002B0F34" w:rsidSect="001C16A8">
          <w:headerReference w:type="default" r:id="rId12"/>
          <w:headerReference w:type="first" r:id="rId13"/>
          <w:pgSz w:w="11907" w:h="16840" w:code="9"/>
          <w:pgMar w:top="1134" w:right="1134" w:bottom="1134" w:left="1134" w:header="720" w:footer="720" w:gutter="0"/>
          <w:cols w:space="720"/>
        </w:sectPr>
      </w:pPr>
    </w:p>
    <w:p w:rsidR="00417E72" w:rsidRPr="00721C10" w:rsidRDefault="00417E72" w:rsidP="00417E72">
      <w:pPr>
        <w:rPr>
          <w:rFonts w:cs="Times New Roman"/>
          <w:b/>
          <w:color w:val="000000"/>
          <w:szCs w:val="22"/>
          <w:lang w:eastAsia="ja-JP"/>
        </w:rPr>
      </w:pPr>
      <w:r>
        <w:rPr>
          <w:rFonts w:cs="Times New Roman"/>
          <w:b/>
          <w:noProof/>
          <w:sz w:val="28"/>
          <w:szCs w:val="28"/>
          <w:lang w:eastAsia="ja-JP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82A536" wp14:editId="2908DEF0">
                <wp:simplePos x="0" y="0"/>
                <wp:positionH relativeFrom="column">
                  <wp:posOffset>13673455</wp:posOffset>
                </wp:positionH>
                <wp:positionV relativeFrom="paragraph">
                  <wp:posOffset>-525145</wp:posOffset>
                </wp:positionV>
                <wp:extent cx="1543050" cy="298450"/>
                <wp:effectExtent l="0" t="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18C" w:rsidRPr="00786DEA" w:rsidRDefault="0036718C" w:rsidP="00417E7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fr-CH"/>
                              </w:rPr>
                            </w:pPr>
                            <w:r w:rsidRPr="00786DEA">
                              <w:rPr>
                                <w:b/>
                                <w:sz w:val="24"/>
                                <w:szCs w:val="24"/>
                                <w:lang w:val="fr-CH"/>
                              </w:rPr>
                              <w:t>ATTACHMENT 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76.65pt;margin-top:-41.35pt;width:121.5pt;height:2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" fillcolor="white [3201]" strokeweight=".5pt">
                <v:textbox>
                  <w:txbxContent>
                    <w:p w:rsidR="0036718C" w:rsidRPr="00786DEA" w:rsidRDefault="0036718C" w:rsidP="00417E72">
                      <w:pPr>
                        <w:jc w:val="center"/>
                        <w:rPr>
                          <w:b/>
                          <w:sz w:val="24"/>
                          <w:szCs w:val="24"/>
                          <w:lang w:val="fr-CH"/>
                        </w:rPr>
                      </w:pPr>
                      <w:r w:rsidRPr="00786DEA">
                        <w:rPr>
                          <w:b/>
                          <w:sz w:val="24"/>
                          <w:szCs w:val="24"/>
                          <w:lang w:val="fr-CH"/>
                        </w:rPr>
                        <w:t>ATTACHMENT I</w:t>
                      </w:r>
                    </w:p>
                  </w:txbxContent>
                </v:textbox>
              </v:shape>
            </w:pict>
          </mc:Fallback>
        </mc:AlternateContent>
      </w:r>
      <w:r w:rsidRPr="00421B0A">
        <w:rPr>
          <w:rFonts w:cs="Times New Roman"/>
          <w:b/>
          <w:sz w:val="28"/>
          <w:szCs w:val="28"/>
          <w:lang w:eastAsia="ja-JP"/>
        </w:rPr>
        <w:t>List of</w:t>
      </w:r>
      <w:r w:rsidRPr="00721C10">
        <w:rPr>
          <w:rFonts w:cs="Times New Roman"/>
          <w:b/>
          <w:sz w:val="28"/>
          <w:szCs w:val="28"/>
          <w:lang w:eastAsia="ja-JP"/>
        </w:rPr>
        <w:t xml:space="preserve"> </w:t>
      </w:r>
      <w:r>
        <w:rPr>
          <w:rFonts w:cs="Times New Roman"/>
          <w:b/>
          <w:sz w:val="28"/>
          <w:szCs w:val="28"/>
          <w:lang w:eastAsia="ja-JP"/>
        </w:rPr>
        <w:t xml:space="preserve">FM Code Forms and </w:t>
      </w:r>
      <w:r w:rsidRPr="00721C10">
        <w:rPr>
          <w:rFonts w:cs="Times New Roman"/>
          <w:b/>
          <w:sz w:val="28"/>
          <w:szCs w:val="28"/>
          <w:lang w:eastAsia="ja-JP"/>
        </w:rPr>
        <w:t>BUFR templates for</w:t>
      </w:r>
      <w:r w:rsidRPr="00421B0A">
        <w:rPr>
          <w:rFonts w:cs="Times New Roman"/>
          <w:b/>
          <w:sz w:val="28"/>
          <w:szCs w:val="28"/>
          <w:lang w:eastAsia="ja-JP"/>
        </w:rPr>
        <w:t xml:space="preserve"> t</w:t>
      </w:r>
      <w:r w:rsidRPr="00721C10">
        <w:rPr>
          <w:rFonts w:cs="Times New Roman"/>
          <w:b/>
          <w:sz w:val="28"/>
          <w:szCs w:val="28"/>
          <w:lang w:eastAsia="ja-JP"/>
        </w:rPr>
        <w:t>raditional and advanced observations, analys</w:t>
      </w:r>
      <w:r w:rsidRPr="00421B0A">
        <w:rPr>
          <w:rFonts w:cs="Times New Roman"/>
          <w:b/>
          <w:sz w:val="28"/>
          <w:szCs w:val="28"/>
          <w:lang w:eastAsia="ja-JP"/>
        </w:rPr>
        <w:t>e</w:t>
      </w:r>
      <w:r w:rsidRPr="00721C10">
        <w:rPr>
          <w:rFonts w:cs="Times New Roman"/>
          <w:b/>
          <w:sz w:val="28"/>
          <w:szCs w:val="28"/>
          <w:lang w:eastAsia="ja-JP"/>
        </w:rPr>
        <w:t>s</w:t>
      </w:r>
      <w:r w:rsidRPr="00421B0A">
        <w:rPr>
          <w:rFonts w:cs="Times New Roman"/>
          <w:b/>
          <w:sz w:val="28"/>
          <w:szCs w:val="28"/>
          <w:lang w:eastAsia="ja-JP"/>
        </w:rPr>
        <w:t>, f</w:t>
      </w:r>
      <w:r w:rsidRPr="00721C10">
        <w:rPr>
          <w:rFonts w:cs="Times New Roman"/>
          <w:b/>
          <w:sz w:val="28"/>
          <w:szCs w:val="28"/>
          <w:lang w:eastAsia="ja-JP"/>
        </w:rPr>
        <w:t>orecasting</w:t>
      </w:r>
      <w:r w:rsidRPr="00421B0A">
        <w:rPr>
          <w:rFonts w:cs="Times New Roman"/>
          <w:b/>
          <w:sz w:val="28"/>
          <w:szCs w:val="28"/>
          <w:lang w:eastAsia="ja-JP"/>
        </w:rPr>
        <w:t xml:space="preserve"> and statistics</w:t>
      </w:r>
    </w:p>
    <w:p w:rsidR="00417E72" w:rsidRPr="00721C10" w:rsidRDefault="00417E72" w:rsidP="00417E72">
      <w:pPr>
        <w:tabs>
          <w:tab w:val="left" w:pos="3154"/>
          <w:tab w:val="left" w:pos="4634"/>
          <w:tab w:val="left" w:pos="7385"/>
          <w:tab w:val="left" w:pos="13578"/>
          <w:tab w:val="left" w:pos="15420"/>
          <w:tab w:val="left" w:pos="16004"/>
          <w:tab w:val="left" w:pos="17344"/>
          <w:tab w:val="left" w:pos="18684"/>
          <w:tab w:val="left" w:pos="19844"/>
        </w:tabs>
        <w:ind w:left="93"/>
        <w:rPr>
          <w:rFonts w:cs="Times New Roman"/>
          <w:color w:val="000000"/>
          <w:szCs w:val="22"/>
          <w:lang w:eastAsia="ja-JP"/>
        </w:rPr>
      </w:pPr>
      <w:r w:rsidRPr="00721C10">
        <w:rPr>
          <w:rFonts w:cs="Times New Roman"/>
          <w:color w:val="000000"/>
          <w:szCs w:val="22"/>
          <w:lang w:eastAsia="ja-JP"/>
        </w:rPr>
        <w:tab/>
      </w:r>
      <w:r w:rsidRPr="00721C10">
        <w:rPr>
          <w:rFonts w:cs="Times New Roman"/>
          <w:color w:val="000000"/>
          <w:szCs w:val="22"/>
          <w:lang w:eastAsia="ja-JP"/>
        </w:rPr>
        <w:tab/>
      </w:r>
      <w:r w:rsidRPr="00721C10">
        <w:rPr>
          <w:rFonts w:cs="Times New Roman"/>
          <w:color w:val="000000"/>
          <w:szCs w:val="22"/>
          <w:lang w:eastAsia="ja-JP"/>
        </w:rPr>
        <w:tab/>
      </w:r>
      <w:r w:rsidRPr="00721C10">
        <w:rPr>
          <w:rFonts w:cs="Times New Roman"/>
          <w:color w:val="000000"/>
          <w:szCs w:val="22"/>
          <w:lang w:eastAsia="ja-JP"/>
        </w:rPr>
        <w:tab/>
      </w:r>
      <w:r w:rsidRPr="00721C10">
        <w:rPr>
          <w:rFonts w:cs="Times New Roman"/>
          <w:color w:val="000000"/>
          <w:szCs w:val="22"/>
          <w:lang w:eastAsia="ja-JP"/>
        </w:rPr>
        <w:tab/>
      </w:r>
      <w:r w:rsidRPr="00721C10">
        <w:rPr>
          <w:rFonts w:cs="Times New Roman"/>
          <w:color w:val="000000"/>
          <w:szCs w:val="22"/>
          <w:lang w:eastAsia="ja-JP"/>
        </w:rPr>
        <w:tab/>
      </w:r>
      <w:r w:rsidRPr="00721C10">
        <w:rPr>
          <w:rFonts w:cs="Times New Roman"/>
          <w:color w:val="000000"/>
          <w:szCs w:val="22"/>
          <w:lang w:eastAsia="ja-JP"/>
        </w:rPr>
        <w:tab/>
      </w:r>
      <w:r w:rsidRPr="00721C10">
        <w:rPr>
          <w:rFonts w:cs="Times New Roman"/>
          <w:color w:val="000000"/>
          <w:szCs w:val="22"/>
          <w:lang w:eastAsia="ja-JP"/>
        </w:rPr>
        <w:tab/>
      </w:r>
      <w:r w:rsidRPr="00721C10">
        <w:rPr>
          <w:rFonts w:cs="Times New Roman"/>
          <w:color w:val="000000"/>
          <w:szCs w:val="22"/>
          <w:lang w:eastAsia="ja-JP"/>
        </w:rPr>
        <w:tab/>
      </w:r>
    </w:p>
    <w:tbl>
      <w:tblPr>
        <w:tblW w:w="2308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2"/>
        <w:gridCol w:w="3402"/>
        <w:gridCol w:w="1003"/>
        <w:gridCol w:w="2751"/>
        <w:gridCol w:w="6193"/>
        <w:gridCol w:w="584"/>
        <w:gridCol w:w="1340"/>
        <w:gridCol w:w="1340"/>
        <w:gridCol w:w="1160"/>
        <w:gridCol w:w="1160"/>
        <w:gridCol w:w="1160"/>
      </w:tblGrid>
      <w:tr w:rsidR="00417E72" w:rsidRPr="00721C10" w:rsidTr="0036718C">
        <w:trPr>
          <w:trHeight w:val="252"/>
        </w:trPr>
        <w:tc>
          <w:tcPr>
            <w:tcW w:w="2992" w:type="dxa"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lang w:eastAsia="ja-JP"/>
              </w:rPr>
            </w:pPr>
            <w:r w:rsidRPr="00721C10">
              <w:rPr>
                <w:rFonts w:cs="Times New Roman"/>
                <w:color w:val="000000"/>
                <w:lang w:eastAsia="ja-JP"/>
              </w:rPr>
              <w:t>Programme</w:t>
            </w:r>
            <w:r>
              <w:rPr>
                <w:rFonts w:cs="Times New Roman"/>
                <w:color w:val="000000"/>
                <w:lang w:eastAsia="ja-JP"/>
              </w:rPr>
              <w:t>s</w:t>
            </w:r>
            <w:r w:rsidRPr="00721C10">
              <w:rPr>
                <w:rFonts w:cs="Times New Roman"/>
                <w:color w:val="000000"/>
                <w:lang w:eastAsia="ja-JP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lang w:eastAsia="ja-JP"/>
              </w:rPr>
            </w:pPr>
            <w:r w:rsidRPr="00721C10">
              <w:rPr>
                <w:rFonts w:cs="Times New Roman"/>
                <w:color w:val="000000"/>
                <w:lang w:eastAsia="ja-JP"/>
              </w:rPr>
              <w:t>Requirements</w:t>
            </w: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lang w:eastAsia="ja-JP"/>
              </w:rPr>
            </w:pPr>
            <w:r w:rsidRPr="00721C10">
              <w:rPr>
                <w:rFonts w:cs="Times New Roman"/>
                <w:color w:val="000000"/>
                <w:lang w:eastAsia="ja-JP"/>
              </w:rPr>
              <w:t>FM number</w:t>
            </w:r>
          </w:p>
        </w:tc>
        <w:tc>
          <w:tcPr>
            <w:tcW w:w="8944" w:type="dxa"/>
            <w:gridSpan w:val="2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lang w:eastAsia="ja-JP"/>
              </w:rPr>
            </w:pPr>
            <w:r w:rsidRPr="00721C10">
              <w:rPr>
                <w:rFonts w:cs="Times New Roman"/>
                <w:color w:val="000000"/>
                <w:lang w:eastAsia="ja-JP"/>
              </w:rPr>
              <w:t>Code name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lang w:eastAsia="ja-JP"/>
              </w:rPr>
            </w:pPr>
            <w:r w:rsidRPr="00721C10">
              <w:rPr>
                <w:rFonts w:cs="Times New Roman"/>
                <w:color w:val="000000"/>
                <w:lang w:eastAsia="ja-JP"/>
              </w:rPr>
              <w:t>B/C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lang w:eastAsia="ja-JP"/>
              </w:rPr>
            </w:pPr>
            <w:r w:rsidRPr="00721C10">
              <w:rPr>
                <w:rFonts w:cs="Times New Roman"/>
                <w:color w:val="000000"/>
                <w:lang w:eastAsia="ja-JP"/>
              </w:rPr>
              <w:t>Traditional</w:t>
            </w:r>
            <w:r>
              <w:rPr>
                <w:rFonts w:cs="Times New Roman"/>
                <w:color w:val="000000"/>
                <w:lang w:eastAsia="ja-JP"/>
              </w:rPr>
              <w:br/>
              <w:t>templates</w:t>
            </w:r>
          </w:p>
        </w:tc>
        <w:tc>
          <w:tcPr>
            <w:tcW w:w="4820" w:type="dxa"/>
            <w:gridSpan w:val="4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lang w:eastAsia="ja-JP"/>
              </w:rPr>
            </w:pPr>
            <w:r w:rsidRPr="00721C10">
              <w:rPr>
                <w:rFonts w:cs="Times New Roman"/>
                <w:color w:val="000000"/>
                <w:lang w:eastAsia="ja-JP"/>
              </w:rPr>
              <w:t>Advanced</w:t>
            </w:r>
            <w:r>
              <w:rPr>
                <w:rFonts w:cs="Times New Roman"/>
                <w:color w:val="000000"/>
                <w:lang w:eastAsia="ja-JP"/>
              </w:rPr>
              <w:br/>
              <w:t>Templates</w:t>
            </w: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12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SYNOP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surface observation from a fixed land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1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307080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307092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307096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13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SHIP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surface observation from a sea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10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308009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308014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308017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14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SYNOP MOBIL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surface observation from a mobile land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5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307090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15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METAR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Aerodrome routine meteorological report (with or without trend forecast)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(307051)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16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SPECI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Aerodrome special meteorological report (with or without trend forecast)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(307051)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18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BUOY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a buoy observation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315008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315009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306027</w:t>
            </w: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20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RADOB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ground radar weather observation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316050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Radar wind profiler wind data (product data)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309021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RASS virtual temperature (product data)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309022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Lidar sequence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309023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22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RADREP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Radiological data report (monitored on a routine basis and/or in case of accident)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32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PILOT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Upper-wind report from a fixed land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20</w:t>
            </w:r>
          </w:p>
        </w:tc>
        <w:tc>
          <w:tcPr>
            <w:tcW w:w="1340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309050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br/>
              <w:t>309051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33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PILOT SHIP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Upper-wind report from a sea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20</w:t>
            </w:r>
          </w:p>
        </w:tc>
        <w:tc>
          <w:tcPr>
            <w:tcW w:w="1340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309050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br/>
              <w:t>309051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34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PILOT MOBIL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Upper-wind report from a mobile land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20</w:t>
            </w:r>
          </w:p>
        </w:tc>
        <w:tc>
          <w:tcPr>
            <w:tcW w:w="1340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309050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br/>
              <w:t>309051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35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TEMP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Upper-level pressure, temperature, humidity and wind report from a fixed land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25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309052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309057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36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TEMP SHIP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Upper-level pressure, temperature, humidity and wind report from a sea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25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309052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309057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37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TEMP DROP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Upper-level pressure, temperature, humidity and wind report from a sonde released by carrier balloons or aircraft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26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309053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309056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38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TEMP MOBIL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Upper-level pressure, temperature, humidity and wind report from a mobile land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25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309052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309057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39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ROCOB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 xml:space="preserve">Upper-level temperature, wind and air density report from a land </w:t>
            </w: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rocketsonde</w:t>
            </w:r>
            <w:proofErr w:type="spellEnd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 xml:space="preserve">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40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ROCOB SHIP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 xml:space="preserve">Upper-level temperature, wind and air density report from a </w:t>
            </w: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rocketsonde</w:t>
            </w:r>
            <w:proofErr w:type="spellEnd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 xml:space="preserve"> station on a ship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41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CODAR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Upper-air report from an aircraft (other than weather reconnaissance aircraft)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42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AMDAR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Aircraft report (aircraft meteorological data relay)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311010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44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ICEAN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Ice analysis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45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IAC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Analysis in full form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46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IAC FLEET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Analysis in abbreviated form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47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GRID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Processed data in the form of grid-point values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49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GRAF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Processed data in the form of grid-point values (abbreviated code form)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50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WINTEM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Forecast upper wind and temperature for aviation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51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TAF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Aerodrome forecast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(307056)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53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ARFOR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Area forecast for aviation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54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ROFOR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Route forecast for aviation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57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RADOF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Radiological trajectory dose forecast (defined time of arrival and location)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61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MAFOR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Forecast for shipping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62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TRACKOB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marine surface observation along a ship’s track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308010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63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BATHY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 xml:space="preserve">Report of </w:t>
            </w: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bathythermal</w:t>
            </w:r>
            <w:proofErr w:type="spellEnd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 xml:space="preserve"> observation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315004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64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TESAC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Temperature, salinity and current report from a sea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315007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315003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65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WAVEOB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spectral wave information from a sea station or from a remote platform (aircraft or satellite)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308015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br/>
              <w:t>308016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67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HYDRA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hydrological observation from a hydrological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68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HYFOR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Hydrological forecast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71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CLIMAT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monthly values from a land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307073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Supplemental daily temperature and precipitation values for monthly climate report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307074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72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CLIMAT SHIP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monthly means and totals from an ocean weather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32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308013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73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NACLI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monthly means for an oceanic area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CLINP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SPCLI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CLISA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INCLI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75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CLIMAT TEMP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monthly aerological means from a land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(309054)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76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CLIMAT TEMP SHIP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monthly aerological means from an ocean weather station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(309054)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81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SFAZI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Synoptic report of bearings of sources of atmospherics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3 01 058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82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SFLOC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Synoptic report of the geographical location of sources of atmospherics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3 01 058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83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SFAZU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Detailed report of the distribution of sources of atmospherics by bearings for any period up to and including 24 hours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3 01 058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85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SAREP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synoptic interpretation of cloud data obtained by a meteorological satellite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316052</w:t>
            </w: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86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SATEM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satellite remote upper-air soundings of pressure, temperature and humidity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87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SARAD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satellite clear radiance observations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88</w:t>
            </w: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SATOB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 of satellite observations of wind, surface temperature, cloud, humidity and radiation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ATOVS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310008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310009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310010</w:t>
            </w:r>
          </w:p>
        </w:tc>
        <w:tc>
          <w:tcPr>
            <w:tcW w:w="1160" w:type="dxa"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AVHRR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310013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Ozone data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310018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310019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SSMIS temperature record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310025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Satellite radio occultation data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310026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SST data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310063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Satellite-derived winds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310077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 xml:space="preserve">Total ozone measurement from a Brewer ground-based spectrophotometer 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307041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307042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Total ozone measurement from a Dobson ground-based spectrophotometer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307043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307044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Ozone sounding coupled to measurements from a Brewer ground-based spectrophotometer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309046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309047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552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Ozone sounding cou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p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led to measurements from a Dobson ground-based spec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t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rophotometer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309048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309049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Ozone sounding not cou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p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led to ground-based spec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t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rophotometer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FF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309045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Volcanic ash SIGMET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316034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Thunderstorm SIGMET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316035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Tropical cyclone SIGMET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316036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Turbulence SIGMET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316037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Icing SIGMET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316038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Mountain wave, dust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st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orm or sandstorm SIGMET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316039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Graphical AIRMET Sierra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316071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Graphical AIRMET Tango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316072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2992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003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751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N/A</w:t>
            </w:r>
          </w:p>
        </w:tc>
        <w:tc>
          <w:tcPr>
            <w:tcW w:w="6193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Graphical AIRMET Zulu</w:t>
            </w:r>
          </w:p>
        </w:tc>
        <w:tc>
          <w:tcPr>
            <w:tcW w:w="584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34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316073</w:t>
            </w:r>
          </w:p>
        </w:tc>
        <w:tc>
          <w:tcPr>
            <w:tcW w:w="1160" w:type="dxa"/>
            <w:shd w:val="clear" w:color="auto" w:fill="auto"/>
            <w:noWrap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1160" w:type="dxa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</w:tbl>
    <w:p w:rsidR="00417E72" w:rsidRDefault="00417E72" w:rsidP="00417E72">
      <w:r>
        <w:br w:type="page"/>
      </w:r>
    </w:p>
    <w:p w:rsidR="00417E72" w:rsidRPr="00721C10" w:rsidRDefault="00417E72" w:rsidP="00417E72">
      <w:pPr>
        <w:rPr>
          <w:rFonts w:cs="Times New Roman"/>
          <w:b/>
          <w:color w:val="000000"/>
          <w:szCs w:val="22"/>
          <w:lang w:eastAsia="ja-JP"/>
        </w:rPr>
      </w:pPr>
      <w:r>
        <w:rPr>
          <w:rFonts w:cs="Times New Roman"/>
          <w:b/>
          <w:noProof/>
          <w:color w:val="000000"/>
          <w:sz w:val="28"/>
          <w:szCs w:val="28"/>
          <w:lang w:eastAsia="ja-JP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DE9AC1" wp14:editId="3DE3CB82">
                <wp:simplePos x="0" y="0"/>
                <wp:positionH relativeFrom="column">
                  <wp:posOffset>13273405</wp:posOffset>
                </wp:positionH>
                <wp:positionV relativeFrom="paragraph">
                  <wp:posOffset>-491490</wp:posOffset>
                </wp:positionV>
                <wp:extent cx="1727200" cy="311150"/>
                <wp:effectExtent l="0" t="0" r="254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31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18C" w:rsidRPr="00786DEA" w:rsidRDefault="0036718C" w:rsidP="00417E7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fr-CH"/>
                              </w:rPr>
                            </w:pPr>
                            <w:r w:rsidRPr="00786DEA">
                              <w:rPr>
                                <w:b/>
                                <w:sz w:val="24"/>
                                <w:szCs w:val="24"/>
                                <w:lang w:val="fr-CH"/>
                              </w:rPr>
                              <w:t>ATTACHMENT I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fr-CH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1045.15pt;margin-top:-38.7pt;width:136pt;height:2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" fillcolor="white [3201]" strokeweight=".5pt">
                <v:textbox>
                  <w:txbxContent>
                    <w:p w:rsidR="0036718C" w:rsidRPr="00786DEA" w:rsidRDefault="0036718C" w:rsidP="00417E72">
                      <w:pPr>
                        <w:jc w:val="center"/>
                        <w:rPr>
                          <w:b/>
                          <w:sz w:val="24"/>
                          <w:szCs w:val="24"/>
                          <w:lang w:val="fr-CH"/>
                        </w:rPr>
                      </w:pPr>
                      <w:r w:rsidRPr="00786DEA">
                        <w:rPr>
                          <w:b/>
                          <w:sz w:val="24"/>
                          <w:szCs w:val="24"/>
                          <w:lang w:val="fr-CH"/>
                        </w:rPr>
                        <w:t>ATTACHMENT I</w:t>
                      </w:r>
                      <w:r>
                        <w:rPr>
                          <w:b/>
                          <w:sz w:val="24"/>
                          <w:szCs w:val="24"/>
                          <w:lang w:val="fr-CH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Pr="00421B0A">
        <w:rPr>
          <w:rFonts w:cs="Times New Roman"/>
          <w:b/>
          <w:color w:val="000000"/>
          <w:sz w:val="28"/>
          <w:szCs w:val="28"/>
          <w:lang w:eastAsia="ja-JP"/>
        </w:rPr>
        <w:t>Example of variables in s</w:t>
      </w:r>
      <w:r w:rsidRPr="00721C10">
        <w:rPr>
          <w:rFonts w:cs="Times New Roman"/>
          <w:b/>
          <w:color w:val="000000"/>
          <w:sz w:val="28"/>
          <w:szCs w:val="28"/>
          <w:lang w:eastAsia="ja-JP"/>
        </w:rPr>
        <w:t>urface observation report by land and coastal station</w:t>
      </w:r>
    </w:p>
    <w:p w:rsidR="00417E72" w:rsidRPr="00721C10" w:rsidRDefault="00417E72" w:rsidP="00417E72">
      <w:pPr>
        <w:rPr>
          <w:rFonts w:cs="Times New Roman"/>
          <w:color w:val="000000"/>
          <w:szCs w:val="22"/>
          <w:lang w:eastAsia="ja-JP"/>
        </w:rPr>
      </w:pPr>
    </w:p>
    <w:p w:rsidR="00417E72" w:rsidRPr="00721C10" w:rsidRDefault="00417E72" w:rsidP="00417E72">
      <w:pPr>
        <w:rPr>
          <w:rFonts w:cs="Times New Roman"/>
          <w:color w:val="000000"/>
          <w:szCs w:val="22"/>
          <w:lang w:eastAsia="ja-JP"/>
        </w:rPr>
      </w:pPr>
    </w:p>
    <w:tbl>
      <w:tblPr>
        <w:tblW w:w="2424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6"/>
        <w:gridCol w:w="3964"/>
        <w:gridCol w:w="855"/>
        <w:gridCol w:w="959"/>
        <w:gridCol w:w="1055"/>
        <w:gridCol w:w="2349"/>
        <w:gridCol w:w="2320"/>
        <w:gridCol w:w="2098"/>
        <w:gridCol w:w="2042"/>
        <w:gridCol w:w="3442"/>
      </w:tblGrid>
      <w:tr w:rsidR="00417E72" w:rsidRPr="00721C10" w:rsidTr="0036718C">
        <w:trPr>
          <w:trHeight w:val="564"/>
        </w:trPr>
        <w:tc>
          <w:tcPr>
            <w:tcW w:w="5156" w:type="dxa"/>
            <w:vMerge w:val="restart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Section No.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br/>
            </w:r>
            <w:r>
              <w:rPr>
                <w:rFonts w:cs="Times New Roman"/>
                <w:color w:val="000000"/>
                <w:szCs w:val="22"/>
                <w:lang w:eastAsia="ja-JP"/>
              </w:rPr>
              <w:br/>
            </w:r>
            <w:r>
              <w:rPr>
                <w:rFonts w:cs="Times New Roman"/>
                <w:color w:val="000000"/>
                <w:szCs w:val="22"/>
                <w:lang w:eastAsia="ja-JP"/>
              </w:rPr>
              <w:br/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 xml:space="preserve"> 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 xml:space="preserve">                                       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y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mbolic letters</w:t>
            </w:r>
          </w:p>
        </w:tc>
        <w:tc>
          <w:tcPr>
            <w:tcW w:w="3964" w:type="dxa"/>
            <w:vMerge w:val="restart"/>
            <w:shd w:val="clear" w:color="auto" w:fill="auto"/>
            <w:vAlign w:val="center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Element name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Required observations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br/>
              <w:t xml:space="preserve"> (ref: Manual on WIGOS)</w:t>
            </w:r>
          </w:p>
        </w:tc>
        <w:tc>
          <w:tcPr>
            <w:tcW w:w="2349" w:type="dxa"/>
            <w:vMerge w:val="restart"/>
            <w:shd w:val="clear" w:color="auto" w:fill="auto"/>
            <w:vAlign w:val="center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Requirements</w:t>
            </w:r>
          </w:p>
        </w:tc>
        <w:tc>
          <w:tcPr>
            <w:tcW w:w="6460" w:type="dxa"/>
            <w:gridSpan w:val="3"/>
            <w:shd w:val="clear" w:color="auto" w:fill="auto"/>
            <w:vAlign w:val="center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Possible modernization (advanced or simplified)</w:t>
            </w:r>
          </w:p>
        </w:tc>
        <w:tc>
          <w:tcPr>
            <w:tcW w:w="3442" w:type="dxa"/>
            <w:vMerge w:val="restart"/>
            <w:shd w:val="clear" w:color="auto" w:fill="auto"/>
            <w:vAlign w:val="center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Remarks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vMerge/>
            <w:vAlign w:val="center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3964" w:type="dxa"/>
            <w:vMerge/>
            <w:vAlign w:val="center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Land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Marine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Climate</w:t>
            </w:r>
          </w:p>
        </w:tc>
        <w:tc>
          <w:tcPr>
            <w:tcW w:w="2349" w:type="dxa"/>
            <w:vMerge/>
            <w:vAlign w:val="center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Observations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Reporting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Metadata</w:t>
            </w:r>
          </w:p>
        </w:tc>
        <w:tc>
          <w:tcPr>
            <w:tcW w:w="3442" w:type="dxa"/>
            <w:vMerge/>
            <w:vAlign w:val="center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000000" w:fill="A6A6A6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Section 1 (Global exchange)</w:t>
            </w:r>
          </w:p>
        </w:tc>
        <w:tc>
          <w:tcPr>
            <w:tcW w:w="3964" w:type="dxa"/>
            <w:shd w:val="clear" w:color="000000" w:fill="A6A6A6"/>
            <w:vAlign w:val="center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855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000000" w:fill="A6A6A6"/>
            <w:vAlign w:val="center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2320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000000" w:fill="A6A6A6"/>
            <w:vAlign w:val="center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Height of base of lowest cloud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VV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Visibility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Total cloud cover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dd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Wind direction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ff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Wind speed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Original observation unit specified?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TTT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Air temperature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Original observation unit specified?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TdTdTd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Dewpoint temperature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 xml:space="preserve">Original observation unit specified? 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br/>
            </w: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TdTdTd</w:t>
            </w:r>
            <w:proofErr w:type="spellEnd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 xml:space="preserve"> and/or UUU?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UUU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Relative humidity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TdTdTd</w:t>
            </w:r>
            <w:proofErr w:type="spellEnd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 xml:space="preserve"> and/or UUU?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P0P0P0P0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Pressure at station level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PPPP and /or P0P0P0P0?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PPPP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Pressure at mean sea level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PPPP and /or P0P0P0P0?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hhh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Geopotential of an agreed standard isobaric surface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Characteristic of pressure tendency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ppp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Amount of pressure tendency at station level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RRR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Total amount of precipitation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Duration standa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r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dized?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ww</w:t>
            </w:r>
            <w:proofErr w:type="spellEnd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/</w:t>
            </w: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wawa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Present weather (manned or automatic)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All weathers + time of occu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r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rence and end?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W1W2/Wa1Wa2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Past weather (manned or automatic)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All weathers + time of occu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r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rence and end?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Nh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Amount of CL or CM (if no CL)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CL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Clouds of the genera stratocumulus, stratus, cumulus and cumulonimbus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CM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Clouds of the genera altocumulus, altostratus and nimbostratus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CH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Clouds of the genera cirrus, cirrocumulus and cirrostratus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000000" w:fill="A6A6A6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Section 2 (maritime and coastal observations)</w:t>
            </w:r>
          </w:p>
        </w:tc>
        <w:tc>
          <w:tcPr>
            <w:tcW w:w="3964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855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000000" w:fill="A6A6A6"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TwTwTw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Sea surface temperature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Original observation unit specified?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PwaPwa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Period of waves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Which waves observed?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HwaHwa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Height of waves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Which waves observed?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PwPw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Period of wind waves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Which waves observed?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HwHw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Height of wind waves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Which waves observed?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dw1dw1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True direction from which swell waves are coming 1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Which waves observed?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dw2dw2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True direction from which swell waves are coming 2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Which waves observed?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Pw1Pw1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Period of swell waves 1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Which waves observed?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Hw1Hw1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Height of swell waves 1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Which waves observed?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Pw2Pw2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Period of swell waves 2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Which waves observed?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lastRenderedPageBreak/>
              <w:t>Hw2Hw2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Height of swell waves 2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Which waves observed?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HwaHwaHwa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Height of waves obtained by instrumental methods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Which waves observed?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TbTbTb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Wet-bulb temperature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Original observation unit specified?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ci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Concentration or arrangement of sea ice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Si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Stage of development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bi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Ice of land origin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Di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True bearing of pri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n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cipal ice edge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zi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Present ice sit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u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ation and trend of conditions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Ocean surface heat flux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000000" w:fill="A6A6A6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Section 3 (regional exchange)</w:t>
            </w:r>
          </w:p>
        </w:tc>
        <w:tc>
          <w:tcPr>
            <w:tcW w:w="3964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855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000000" w:fill="A6A6A6"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TxTxTx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Maximum air temperature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Original observation unit specified?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TnTnTn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Minimum air temperature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Original observation unit specified?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E'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State of ground with snow or measur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a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ble ice cover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sss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Total snow depth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R24R24R24R24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Total amount of precipitation du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r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ing the 24-hours period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Duration standa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r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dized?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Ns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Amount of individual cloud layer or mass for each layer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C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Genus of cloud for each layer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hshs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Height of base of cloud layer or mass for each layer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SPSPspsp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Intensity of precipitation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iR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Existence of precipitation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Duration standa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r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dized?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SPSPspsp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Wind gust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Original observation unit specified?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SPSPspsp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Lightning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Advanced lig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h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tning template 3 01 058 already available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proofErr w:type="spellStart"/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EEEiE</w:t>
            </w:r>
            <w:proofErr w:type="spellEnd"/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Evaporation/evapotranspiration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Soil moisture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Soil temperature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Original observation unit specified?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E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State of ground without snow or measurable ice cover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SSS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Sunshine duration and/or solar radiation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FFFF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Net solar radiation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FFFF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Radiation (v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a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rious)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M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jc w:val="right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FFFF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Special phenomena (other than above)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O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All weathers + time of occu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r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rence and end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000000" w:fill="A6A6A6"/>
            <w:noWrap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Section 4 (cloud information for national use)</w:t>
            </w:r>
          </w:p>
        </w:tc>
        <w:tc>
          <w:tcPr>
            <w:tcW w:w="3964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855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000000" w:fill="A6A6A6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000000" w:fill="A6A6A6"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000000" w:fill="A6A6A6"/>
            <w:hideMark/>
          </w:tcPr>
          <w:p w:rsidR="00417E72" w:rsidRPr="00721C10" w:rsidRDefault="00417E72" w:rsidP="0036718C">
            <w:pPr>
              <w:rPr>
                <w:rFonts w:cs="Times New Roman"/>
                <w:szCs w:val="22"/>
                <w:lang w:eastAsia="ja-JP"/>
              </w:rPr>
            </w:pPr>
            <w:r w:rsidRPr="00721C10">
              <w:rPr>
                <w:rFonts w:cs="Times New Roman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Amou</w:t>
            </w:r>
            <w:r>
              <w:rPr>
                <w:rFonts w:cs="Times New Roman"/>
                <w:color w:val="000000"/>
                <w:szCs w:val="22"/>
                <w:lang w:eastAsia="ja-JP"/>
              </w:rPr>
              <w:t>n</w:t>
            </w: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t of cloud whose base is below the level of the station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Genus of cloud whose base is below the level of the station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552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Altitude of the upper surface of clouds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  <w:tr w:rsidR="00417E72" w:rsidRPr="00721C10" w:rsidTr="0036718C">
        <w:trPr>
          <w:trHeight w:val="276"/>
        </w:trPr>
        <w:tc>
          <w:tcPr>
            <w:tcW w:w="5156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lastRenderedPageBreak/>
              <w:t> </w:t>
            </w:r>
          </w:p>
        </w:tc>
        <w:tc>
          <w:tcPr>
            <w:tcW w:w="3964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Description of the top of cloud</w:t>
            </w:r>
          </w:p>
        </w:tc>
        <w:tc>
          <w:tcPr>
            <w:tcW w:w="8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959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1055" w:type="dxa"/>
            <w:shd w:val="clear" w:color="auto" w:fill="auto"/>
            <w:hideMark/>
          </w:tcPr>
          <w:p w:rsidR="00417E72" w:rsidRPr="00721C10" w:rsidRDefault="00417E72" w:rsidP="0036718C">
            <w:pPr>
              <w:jc w:val="center"/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349" w:type="dxa"/>
            <w:shd w:val="clear" w:color="auto" w:fill="auto"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</w:p>
        </w:tc>
        <w:tc>
          <w:tcPr>
            <w:tcW w:w="2320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98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20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  <w:tc>
          <w:tcPr>
            <w:tcW w:w="3442" w:type="dxa"/>
            <w:shd w:val="clear" w:color="auto" w:fill="auto"/>
            <w:hideMark/>
          </w:tcPr>
          <w:p w:rsidR="00417E72" w:rsidRPr="00721C10" w:rsidRDefault="00417E72" w:rsidP="0036718C">
            <w:pPr>
              <w:rPr>
                <w:rFonts w:cs="Times New Roman"/>
                <w:color w:val="000000"/>
                <w:szCs w:val="22"/>
                <w:lang w:eastAsia="ja-JP"/>
              </w:rPr>
            </w:pPr>
            <w:r w:rsidRPr="00721C10">
              <w:rPr>
                <w:rFonts w:cs="Times New Roman"/>
                <w:color w:val="000000"/>
                <w:szCs w:val="22"/>
                <w:lang w:eastAsia="ja-JP"/>
              </w:rPr>
              <w:t> </w:t>
            </w:r>
          </w:p>
        </w:tc>
      </w:tr>
    </w:tbl>
    <w:p w:rsidR="00417E72" w:rsidRPr="002C5965" w:rsidRDefault="00417E72" w:rsidP="00417E72">
      <w:pPr>
        <w:pStyle w:val="WMOBodyText"/>
        <w:spacing w:before="0"/>
      </w:pPr>
    </w:p>
    <w:p w:rsidR="001C16A8" w:rsidRPr="00FF65B9" w:rsidRDefault="001C16A8" w:rsidP="001C16A8">
      <w:pPr>
        <w:jc w:val="center"/>
        <w:rPr>
          <w:rFonts w:ascii="Times New Roman" w:hAnsi="Times New Roman"/>
          <w:sz w:val="24"/>
          <w:szCs w:val="24"/>
        </w:rPr>
      </w:pPr>
    </w:p>
    <w:p w:rsidR="008A71EB" w:rsidRPr="00FF65B9" w:rsidRDefault="008A71EB" w:rsidP="00B97253"/>
    <w:sectPr w:rsidR="008A71EB" w:rsidRPr="00FF65B9" w:rsidSect="00417E72">
      <w:pgSz w:w="25912" w:h="17294" w:orient="landscape" w:code="284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18C" w:rsidRDefault="0036718C">
      <w:r>
        <w:separator/>
      </w:r>
    </w:p>
    <w:p w:rsidR="0036718C" w:rsidRDefault="0036718C"/>
  </w:endnote>
  <w:endnote w:type="continuationSeparator" w:id="0">
    <w:p w:rsidR="0036718C" w:rsidRDefault="0036718C">
      <w:r>
        <w:continuationSeparator/>
      </w:r>
    </w:p>
    <w:p w:rsidR="0036718C" w:rsidRDefault="003671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18C" w:rsidRDefault="0036718C">
      <w:r>
        <w:separator/>
      </w:r>
    </w:p>
    <w:p w:rsidR="0036718C" w:rsidRDefault="0036718C"/>
  </w:footnote>
  <w:footnote w:type="continuationSeparator" w:id="0">
    <w:p w:rsidR="0036718C" w:rsidRDefault="0036718C">
      <w:r>
        <w:continuationSeparator/>
      </w:r>
    </w:p>
    <w:p w:rsidR="0036718C" w:rsidRDefault="0036718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18C" w:rsidRPr="00C10690" w:rsidRDefault="0036718C" w:rsidP="00442459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>ICT-ISS-201</w:t>
    </w:r>
    <w:r w:rsidR="000C6720">
      <w:rPr>
        <w:bCs/>
        <w:lang w:val="fr-CH" w:eastAsia="zh-CN"/>
      </w:rPr>
      <w:t>9</w:t>
    </w:r>
    <w:r>
      <w:rPr>
        <w:bCs/>
        <w:lang w:val="fr-CH" w:eastAsia="zh-CN"/>
      </w:rPr>
      <w:t xml:space="preserve">/Doc </w:t>
    </w:r>
    <w:r w:rsidR="000C6720">
      <w:rPr>
        <w:bCs/>
        <w:lang w:val="fr-CH" w:eastAsia="zh-CN"/>
      </w:rPr>
      <w:t>3.3.2</w:t>
    </w:r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 w:rsidR="00BA05C0">
      <w:rPr>
        <w:rStyle w:val="PageNumber"/>
        <w:noProof/>
        <w:lang w:val="en-GB"/>
      </w:rPr>
      <w:t>2</w:t>
    </w:r>
    <w:r>
      <w:rPr>
        <w:rStyle w:val="PageNumber"/>
      </w:rPr>
      <w:fldChar w:fldCharType="end"/>
    </w:r>
  </w:p>
  <w:p w:rsidR="0036718C" w:rsidRDefault="0036718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18C" w:rsidRPr="00C10690" w:rsidRDefault="0036718C" w:rsidP="00251C3F">
    <w:pPr>
      <w:pStyle w:val="Header"/>
      <w:rPr>
        <w:lang w:val="en-GB"/>
      </w:rPr>
    </w:pPr>
    <w:r w:rsidRPr="00C10690">
      <w:rPr>
        <w:lang w:val="en-GB"/>
      </w:rPr>
      <w:t>ICT- ISS-2012/Doc. X.X, DRAFT 1, APPENDIX C</w:t>
    </w:r>
  </w:p>
  <w:p w:rsidR="0036718C" w:rsidRPr="00C10690" w:rsidRDefault="0036718C" w:rsidP="00251C3F">
    <w:pPr>
      <w:pStyle w:val="Header"/>
      <w:rPr>
        <w:lang w:val="en-GB"/>
      </w:rPr>
    </w:pPr>
  </w:p>
  <w:p w:rsidR="0036718C" w:rsidRPr="00C10690" w:rsidRDefault="0036718C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2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0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F39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730"/>
    <w:rsid w:val="00073C93"/>
    <w:rsid w:val="000874E4"/>
    <w:rsid w:val="00095554"/>
    <w:rsid w:val="000A64C1"/>
    <w:rsid w:val="000A7240"/>
    <w:rsid w:val="000B5E64"/>
    <w:rsid w:val="000C3C25"/>
    <w:rsid w:val="000C6720"/>
    <w:rsid w:val="000C6ECA"/>
    <w:rsid w:val="000D4A00"/>
    <w:rsid w:val="000D6C2E"/>
    <w:rsid w:val="000D7DA5"/>
    <w:rsid w:val="000E113E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694E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B0F34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6718C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17E72"/>
    <w:rsid w:val="0042519D"/>
    <w:rsid w:val="00426C67"/>
    <w:rsid w:val="00430A5B"/>
    <w:rsid w:val="004342FA"/>
    <w:rsid w:val="00437572"/>
    <w:rsid w:val="00437B4C"/>
    <w:rsid w:val="00442459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1AE9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73BD6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2924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2F39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5C77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156AB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3C9B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66B5F"/>
    <w:rsid w:val="00B74B70"/>
    <w:rsid w:val="00B830D6"/>
    <w:rsid w:val="00B85032"/>
    <w:rsid w:val="00B87205"/>
    <w:rsid w:val="00B87827"/>
    <w:rsid w:val="00B931E7"/>
    <w:rsid w:val="00B96053"/>
    <w:rsid w:val="00B96D40"/>
    <w:rsid w:val="00B97253"/>
    <w:rsid w:val="00BA0164"/>
    <w:rsid w:val="00BA05C0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66408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4131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73FC4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 List" w:uiPriority="99"/>
    <w:lsdException w:name="Table Web 2" w:semiHidden="0" w:unhideWhenUsed="0"/>
    <w:lsdException w:name="Table Web 3" w:semiHidden="0" w:unhideWhenUsed="0"/>
    <w:lsdException w:name="Balloon Text" w:semiHidden="0" w:uiPriority="99" w:unhideWhenUsed="0"/>
    <w:lsdException w:name="Table Grid" w:semiHidden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link w:val="Heading4Char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link w:val="CommentChar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link w:val="BodyTextChar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2"/>
      </w:numPr>
    </w:pPr>
  </w:style>
  <w:style w:type="character" w:customStyle="1" w:styleId="BodyTextChar0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0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uiPriority w:val="99"/>
    <w:rsid w:val="003B725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5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6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7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8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paragraph" w:customStyle="1" w:styleId="ECBodyText-Centred">
    <w:name w:val="EC_BodyText-Centred"/>
    <w:basedOn w:val="WMOBodyText"/>
    <w:next w:val="WMOBodyText"/>
    <w:rsid w:val="008F2F39"/>
    <w:pPr>
      <w:jc w:val="center"/>
    </w:pPr>
  </w:style>
  <w:style w:type="character" w:customStyle="1" w:styleId="CommentChar">
    <w:name w:val="Comment Char"/>
    <w:basedOn w:val="DefaultParagraphFont"/>
    <w:link w:val="Comment"/>
    <w:rsid w:val="008F2F39"/>
    <w:rPr>
      <w:rFonts w:ascii="Arial" w:eastAsia="Times New Roman" w:hAnsi="Arial" w:cs="Arial"/>
      <w:i/>
      <w:sz w:val="22"/>
      <w:szCs w:val="22"/>
      <w:lang w:eastAsia="en-US"/>
    </w:rPr>
  </w:style>
  <w:style w:type="paragraph" w:customStyle="1" w:styleId="CrossTitle12">
    <w:name w:val="***Cross_Title_12"/>
    <w:basedOn w:val="Normal"/>
    <w:rsid w:val="00417E72"/>
    <w:pPr>
      <w:tabs>
        <w:tab w:val="left" w:pos="1134"/>
      </w:tabs>
      <w:jc w:val="center"/>
    </w:pPr>
    <w:rPr>
      <w:rFonts w:ascii="Verdana" w:eastAsia="SimSun" w:hAnsi="Verdana"/>
      <w:b/>
      <w:bCs/>
      <w:caps/>
      <w:sz w:val="24"/>
      <w:szCs w:val="24"/>
      <w:lang w:val="fr-CH" w:eastAsia="zh-CN"/>
    </w:rPr>
  </w:style>
  <w:style w:type="paragraph" w:customStyle="1" w:styleId="CrossTitle14">
    <w:name w:val="***Cross_Title_14"/>
    <w:basedOn w:val="Normal"/>
    <w:rsid w:val="00417E72"/>
    <w:pPr>
      <w:keepNext/>
      <w:tabs>
        <w:tab w:val="left" w:pos="1140"/>
      </w:tabs>
      <w:spacing w:after="100"/>
      <w:jc w:val="center"/>
    </w:pPr>
    <w:rPr>
      <w:rFonts w:ascii="Verdana" w:eastAsia="SimSun" w:hAnsi="Verdana"/>
      <w:b/>
      <w:caps/>
      <w:sz w:val="28"/>
      <w:szCs w:val="28"/>
      <w:lang w:val="fr-CH" w:eastAsia="zh-CN"/>
    </w:rPr>
  </w:style>
  <w:style w:type="paragraph" w:customStyle="1" w:styleId="CharCharCharChar">
    <w:name w:val="Char Char Char Char"/>
    <w:basedOn w:val="Normal"/>
    <w:rsid w:val="00417E72"/>
    <w:pPr>
      <w:tabs>
        <w:tab w:val="left" w:pos="1134"/>
      </w:tabs>
    </w:pPr>
    <w:rPr>
      <w:rFonts w:ascii="Times New Roman" w:eastAsia="Arial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417E72"/>
    <w:pPr>
      <w:tabs>
        <w:tab w:val="left" w:pos="1134"/>
      </w:tabs>
    </w:pPr>
    <w:rPr>
      <w:rFonts w:ascii="Times New Roman" w:eastAsia="Arial" w:hAnsi="Times New Roman"/>
      <w:sz w:val="24"/>
      <w:szCs w:val="24"/>
      <w:lang w:val="pl-PL" w:eastAsia="pl-PL"/>
    </w:rPr>
  </w:style>
  <w:style w:type="character" w:styleId="CommentReference">
    <w:name w:val="annotation reference"/>
    <w:basedOn w:val="DefaultParagraphFont"/>
    <w:semiHidden/>
    <w:rsid w:val="00417E7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417E72"/>
    <w:pPr>
      <w:tabs>
        <w:tab w:val="left" w:pos="1134"/>
      </w:tabs>
      <w:jc w:val="both"/>
    </w:pPr>
    <w:rPr>
      <w:rFonts w:ascii="Verdana" w:eastAsia="Arial" w:hAnsi="Verdana"/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417E72"/>
    <w:rPr>
      <w:rFonts w:ascii="Verdana" w:eastAsia="Arial" w:hAnsi="Verdana" w:cs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417E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17E72"/>
    <w:rPr>
      <w:rFonts w:ascii="Verdana" w:eastAsia="Arial" w:hAnsi="Verdana" w:cs="Arial"/>
      <w:b/>
      <w:bCs/>
      <w:lang w:eastAsia="en-US"/>
    </w:rPr>
  </w:style>
  <w:style w:type="paragraph" w:customStyle="1" w:styleId="ECBox">
    <w:name w:val="EC_Box"/>
    <w:basedOn w:val="WMOBodyText"/>
    <w:next w:val="WMOBodyText"/>
    <w:rsid w:val="00417E72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  <w:tabs>
        <w:tab w:val="clear" w:pos="1134"/>
      </w:tabs>
    </w:pPr>
    <w:rPr>
      <w:rFonts w:eastAsia="Verdana" w:cs="Verdana"/>
      <w:szCs w:val="20"/>
    </w:rPr>
  </w:style>
  <w:style w:type="paragraph" w:customStyle="1" w:styleId="Heading2-Centered">
    <w:name w:val="Heading 2 - Centered"/>
    <w:basedOn w:val="Heading2"/>
    <w:next w:val="Normal"/>
    <w:rsid w:val="00417E72"/>
    <w:pPr>
      <w:tabs>
        <w:tab w:val="clear" w:pos="1080"/>
      </w:tabs>
      <w:spacing w:before="360"/>
      <w:jc w:val="center"/>
    </w:pPr>
    <w:rPr>
      <w:rFonts w:ascii="Verdana" w:eastAsia="Verdana" w:hAnsi="Verdana" w:cs="Verdana"/>
      <w:caps w:val="0"/>
      <w:sz w:val="22"/>
      <w:szCs w:val="22"/>
      <w:lang w:eastAsia="zh-TW"/>
    </w:rPr>
  </w:style>
  <w:style w:type="paragraph" w:styleId="Title">
    <w:name w:val="Title"/>
    <w:basedOn w:val="Normal"/>
    <w:link w:val="TitleChar"/>
    <w:qFormat/>
    <w:rsid w:val="00417E72"/>
    <w:pPr>
      <w:tabs>
        <w:tab w:val="left" w:pos="1134"/>
      </w:tabs>
      <w:spacing w:before="240" w:after="60"/>
      <w:jc w:val="center"/>
      <w:outlineLvl w:val="0"/>
    </w:pPr>
    <w:rPr>
      <w:rFonts w:ascii="Verdana" w:eastAsia="Arial" w:hAnsi="Verdan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417E72"/>
    <w:rPr>
      <w:rFonts w:ascii="Verdana" w:eastAsia="Arial" w:hAnsi="Verdana" w:cs="Arial"/>
      <w:b/>
      <w:bCs/>
      <w:kern w:val="28"/>
      <w:sz w:val="32"/>
      <w:szCs w:val="32"/>
      <w:lang w:eastAsia="en-US"/>
    </w:rPr>
  </w:style>
  <w:style w:type="paragraph" w:customStyle="1" w:styleId="ECBodyText">
    <w:name w:val="EC_BodyText"/>
    <w:basedOn w:val="Normal"/>
    <w:link w:val="ECBodyTextChar"/>
    <w:rsid w:val="00417E72"/>
    <w:pPr>
      <w:tabs>
        <w:tab w:val="left" w:pos="1080"/>
      </w:tabs>
      <w:spacing w:before="240"/>
    </w:pPr>
    <w:rPr>
      <w:rFonts w:ascii="Verdana" w:hAnsi="Verdana"/>
      <w:sz w:val="20"/>
      <w:szCs w:val="22"/>
    </w:rPr>
  </w:style>
  <w:style w:type="character" w:customStyle="1" w:styleId="ECBodyTextChar">
    <w:name w:val="EC_BodyText Char"/>
    <w:basedOn w:val="DefaultParagraphFont"/>
    <w:link w:val="ECBodyText"/>
    <w:rsid w:val="00417E72"/>
    <w:rPr>
      <w:rFonts w:ascii="Verdana" w:eastAsia="Times New Roman" w:hAnsi="Verdana" w:cs="Arial"/>
      <w:szCs w:val="22"/>
      <w:lang w:eastAsia="en-US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417E72"/>
    <w:pPr>
      <w:spacing w:before="0" w:after="120"/>
      <w:jc w:val="center"/>
    </w:pPr>
    <w:rPr>
      <w:lang w:eastAsia="zh-TW"/>
    </w:rPr>
  </w:style>
  <w:style w:type="character" w:customStyle="1" w:styleId="Heading1Char">
    <w:name w:val="Heading 1 Char"/>
    <w:basedOn w:val="DefaultParagraphFont"/>
    <w:link w:val="Heading1"/>
    <w:rsid w:val="00417E72"/>
    <w:rPr>
      <w:rFonts w:ascii="Arial Bold" w:eastAsia="Times New Roman" w:hAnsi="Arial Bold" w:cs="Arial"/>
      <w:b/>
      <w:bCs/>
      <w:caps/>
      <w:kern w:val="32"/>
      <w:sz w:val="28"/>
      <w:szCs w:val="32"/>
      <w:lang w:eastAsia="en-US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417E72"/>
    <w:rPr>
      <w:rFonts w:ascii="Arial Bold" w:eastAsia="Times New Roman" w:hAnsi="Arial Bold" w:cs="Arial"/>
      <w:b/>
      <w:bCs/>
      <w:caps/>
      <w:kern w:val="32"/>
      <w:sz w:val="28"/>
      <w:szCs w:val="32"/>
      <w:lang w:eastAsia="zh-TW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417E72"/>
    <w:pPr>
      <w:spacing w:before="0" w:after="120"/>
      <w:jc w:val="center"/>
    </w:pPr>
    <w:rPr>
      <w:rFonts w:ascii="Verdana" w:eastAsia="Verdana" w:hAnsi="Verdana" w:cs="Arial Bold"/>
      <w:sz w:val="24"/>
      <w:szCs w:val="24"/>
      <w:lang w:eastAsia="zh-TW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417E72"/>
    <w:rPr>
      <w:rFonts w:ascii="Verdana" w:eastAsia="Verdana" w:hAnsi="Verdana" w:cs="Arial Bold"/>
      <w:b/>
      <w:bCs/>
      <w:caps/>
      <w:kern w:val="32"/>
      <w:sz w:val="24"/>
      <w:szCs w:val="24"/>
      <w:lang w:eastAsia="zh-TW"/>
    </w:rPr>
  </w:style>
  <w:style w:type="character" w:customStyle="1" w:styleId="BodyTextChar">
    <w:name w:val="BodyText Char"/>
    <w:basedOn w:val="DefaultParagraphFont"/>
    <w:link w:val="BodyText0"/>
    <w:rsid w:val="00417E72"/>
    <w:rPr>
      <w:rFonts w:ascii="Arial" w:eastAsia="Times New Roman" w:hAnsi="Arial" w:cs="Arial"/>
      <w:sz w:val="22"/>
      <w:szCs w:val="22"/>
      <w:lang w:eastAsia="en-US"/>
    </w:rPr>
  </w:style>
  <w:style w:type="table" w:styleId="TableGrid">
    <w:name w:val="Table Grid"/>
    <w:basedOn w:val="TableNormal"/>
    <w:rsid w:val="00417E72"/>
    <w:pPr>
      <w:jc w:val="both"/>
    </w:pPr>
    <w:rPr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417E72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417E72"/>
    <w:rPr>
      <w:rFonts w:ascii="Arial" w:eastAsia="Times New Roman" w:hAnsi="Arial" w:cs="Arial"/>
      <w:b/>
      <w:i/>
      <w:sz w:val="22"/>
      <w:lang w:eastAsia="en-US"/>
    </w:r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417E72"/>
    <w:pPr>
      <w:tabs>
        <w:tab w:val="clear" w:pos="1080"/>
      </w:tabs>
      <w:spacing w:before="360"/>
      <w:jc w:val="center"/>
    </w:pPr>
    <w:rPr>
      <w:rFonts w:ascii="Verdana" w:eastAsia="Verdana" w:hAnsi="Verdana" w:cs="Verdana"/>
      <w:caps w:val="0"/>
      <w:sz w:val="22"/>
      <w:szCs w:val="22"/>
      <w:lang w:eastAsia="zh-TW"/>
    </w:rPr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417E72"/>
    <w:rPr>
      <w:rFonts w:ascii="Verdana" w:eastAsia="Verdana" w:hAnsi="Verdana" w:cs="Verdana"/>
      <w:b/>
      <w:bCs/>
      <w:iCs/>
      <w:caps w:val="0"/>
      <w:sz w:val="22"/>
      <w:szCs w:val="22"/>
      <w:lang w:val="en-GB" w:eastAsia="zh-TW"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E72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17E72"/>
    <w:rPr>
      <w:rFonts w:ascii="Arial" w:eastAsia="Times New Roman" w:hAnsi="Arial" w:cs="Arial"/>
      <w:lang w:eastAsia="en-US"/>
    </w:rPr>
  </w:style>
  <w:style w:type="character" w:styleId="PlaceholderText">
    <w:name w:val="Placeholder Text"/>
    <w:basedOn w:val="DefaultParagraphFont"/>
    <w:rsid w:val="00417E72"/>
    <w:rPr>
      <w:color w:val="808080"/>
    </w:rPr>
  </w:style>
  <w:style w:type="character" w:styleId="Strong">
    <w:name w:val="Strong"/>
    <w:basedOn w:val="DefaultParagraphFont"/>
    <w:uiPriority w:val="22"/>
    <w:qFormat/>
    <w:rsid w:val="00417E7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 List" w:uiPriority="99"/>
    <w:lsdException w:name="Table Web 2" w:semiHidden="0" w:unhideWhenUsed="0"/>
    <w:lsdException w:name="Table Web 3" w:semiHidden="0" w:unhideWhenUsed="0"/>
    <w:lsdException w:name="Balloon Text" w:semiHidden="0" w:uiPriority="99" w:unhideWhenUsed="0"/>
    <w:lsdException w:name="Table Grid" w:semiHidden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link w:val="Heading4Char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link w:val="CommentChar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link w:val="BodyTextChar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2"/>
      </w:numPr>
    </w:pPr>
  </w:style>
  <w:style w:type="character" w:customStyle="1" w:styleId="BodyTextChar0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0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uiPriority w:val="99"/>
    <w:rsid w:val="003B725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5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6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7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8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paragraph" w:customStyle="1" w:styleId="ECBodyText-Centred">
    <w:name w:val="EC_BodyText-Centred"/>
    <w:basedOn w:val="WMOBodyText"/>
    <w:next w:val="WMOBodyText"/>
    <w:rsid w:val="008F2F39"/>
    <w:pPr>
      <w:jc w:val="center"/>
    </w:pPr>
  </w:style>
  <w:style w:type="character" w:customStyle="1" w:styleId="CommentChar">
    <w:name w:val="Comment Char"/>
    <w:basedOn w:val="DefaultParagraphFont"/>
    <w:link w:val="Comment"/>
    <w:rsid w:val="008F2F39"/>
    <w:rPr>
      <w:rFonts w:ascii="Arial" w:eastAsia="Times New Roman" w:hAnsi="Arial" w:cs="Arial"/>
      <w:i/>
      <w:sz w:val="22"/>
      <w:szCs w:val="22"/>
      <w:lang w:eastAsia="en-US"/>
    </w:rPr>
  </w:style>
  <w:style w:type="paragraph" w:customStyle="1" w:styleId="CrossTitle12">
    <w:name w:val="***Cross_Title_12"/>
    <w:basedOn w:val="Normal"/>
    <w:rsid w:val="00417E72"/>
    <w:pPr>
      <w:tabs>
        <w:tab w:val="left" w:pos="1134"/>
      </w:tabs>
      <w:jc w:val="center"/>
    </w:pPr>
    <w:rPr>
      <w:rFonts w:ascii="Verdana" w:eastAsia="SimSun" w:hAnsi="Verdana"/>
      <w:b/>
      <w:bCs/>
      <w:caps/>
      <w:sz w:val="24"/>
      <w:szCs w:val="24"/>
      <w:lang w:val="fr-CH" w:eastAsia="zh-CN"/>
    </w:rPr>
  </w:style>
  <w:style w:type="paragraph" w:customStyle="1" w:styleId="CrossTitle14">
    <w:name w:val="***Cross_Title_14"/>
    <w:basedOn w:val="Normal"/>
    <w:rsid w:val="00417E72"/>
    <w:pPr>
      <w:keepNext/>
      <w:tabs>
        <w:tab w:val="left" w:pos="1140"/>
      </w:tabs>
      <w:spacing w:after="100"/>
      <w:jc w:val="center"/>
    </w:pPr>
    <w:rPr>
      <w:rFonts w:ascii="Verdana" w:eastAsia="SimSun" w:hAnsi="Verdana"/>
      <w:b/>
      <w:caps/>
      <w:sz w:val="28"/>
      <w:szCs w:val="28"/>
      <w:lang w:val="fr-CH" w:eastAsia="zh-CN"/>
    </w:rPr>
  </w:style>
  <w:style w:type="paragraph" w:customStyle="1" w:styleId="CharCharCharChar">
    <w:name w:val="Char Char Char Char"/>
    <w:basedOn w:val="Normal"/>
    <w:rsid w:val="00417E72"/>
    <w:pPr>
      <w:tabs>
        <w:tab w:val="left" w:pos="1134"/>
      </w:tabs>
    </w:pPr>
    <w:rPr>
      <w:rFonts w:ascii="Times New Roman" w:eastAsia="Arial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417E72"/>
    <w:pPr>
      <w:tabs>
        <w:tab w:val="left" w:pos="1134"/>
      </w:tabs>
    </w:pPr>
    <w:rPr>
      <w:rFonts w:ascii="Times New Roman" w:eastAsia="Arial" w:hAnsi="Times New Roman"/>
      <w:sz w:val="24"/>
      <w:szCs w:val="24"/>
      <w:lang w:val="pl-PL" w:eastAsia="pl-PL"/>
    </w:rPr>
  </w:style>
  <w:style w:type="character" w:styleId="CommentReference">
    <w:name w:val="annotation reference"/>
    <w:basedOn w:val="DefaultParagraphFont"/>
    <w:semiHidden/>
    <w:rsid w:val="00417E7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417E72"/>
    <w:pPr>
      <w:tabs>
        <w:tab w:val="left" w:pos="1134"/>
      </w:tabs>
      <w:jc w:val="both"/>
    </w:pPr>
    <w:rPr>
      <w:rFonts w:ascii="Verdana" w:eastAsia="Arial" w:hAnsi="Verdana"/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417E72"/>
    <w:rPr>
      <w:rFonts w:ascii="Verdana" w:eastAsia="Arial" w:hAnsi="Verdana" w:cs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417E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17E72"/>
    <w:rPr>
      <w:rFonts w:ascii="Verdana" w:eastAsia="Arial" w:hAnsi="Verdana" w:cs="Arial"/>
      <w:b/>
      <w:bCs/>
      <w:lang w:eastAsia="en-US"/>
    </w:rPr>
  </w:style>
  <w:style w:type="paragraph" w:customStyle="1" w:styleId="ECBox">
    <w:name w:val="EC_Box"/>
    <w:basedOn w:val="WMOBodyText"/>
    <w:next w:val="WMOBodyText"/>
    <w:rsid w:val="00417E72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  <w:tabs>
        <w:tab w:val="clear" w:pos="1134"/>
      </w:tabs>
    </w:pPr>
    <w:rPr>
      <w:rFonts w:eastAsia="Verdana" w:cs="Verdana"/>
      <w:szCs w:val="20"/>
    </w:rPr>
  </w:style>
  <w:style w:type="paragraph" w:customStyle="1" w:styleId="Heading2-Centered">
    <w:name w:val="Heading 2 - Centered"/>
    <w:basedOn w:val="Heading2"/>
    <w:next w:val="Normal"/>
    <w:rsid w:val="00417E72"/>
    <w:pPr>
      <w:tabs>
        <w:tab w:val="clear" w:pos="1080"/>
      </w:tabs>
      <w:spacing w:before="360"/>
      <w:jc w:val="center"/>
    </w:pPr>
    <w:rPr>
      <w:rFonts w:ascii="Verdana" w:eastAsia="Verdana" w:hAnsi="Verdana" w:cs="Verdana"/>
      <w:caps w:val="0"/>
      <w:sz w:val="22"/>
      <w:szCs w:val="22"/>
      <w:lang w:eastAsia="zh-TW"/>
    </w:rPr>
  </w:style>
  <w:style w:type="paragraph" w:styleId="Title">
    <w:name w:val="Title"/>
    <w:basedOn w:val="Normal"/>
    <w:link w:val="TitleChar"/>
    <w:qFormat/>
    <w:rsid w:val="00417E72"/>
    <w:pPr>
      <w:tabs>
        <w:tab w:val="left" w:pos="1134"/>
      </w:tabs>
      <w:spacing w:before="240" w:after="60"/>
      <w:jc w:val="center"/>
      <w:outlineLvl w:val="0"/>
    </w:pPr>
    <w:rPr>
      <w:rFonts w:ascii="Verdana" w:eastAsia="Arial" w:hAnsi="Verdan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417E72"/>
    <w:rPr>
      <w:rFonts w:ascii="Verdana" w:eastAsia="Arial" w:hAnsi="Verdana" w:cs="Arial"/>
      <w:b/>
      <w:bCs/>
      <w:kern w:val="28"/>
      <w:sz w:val="32"/>
      <w:szCs w:val="32"/>
      <w:lang w:eastAsia="en-US"/>
    </w:rPr>
  </w:style>
  <w:style w:type="paragraph" w:customStyle="1" w:styleId="ECBodyText">
    <w:name w:val="EC_BodyText"/>
    <w:basedOn w:val="Normal"/>
    <w:link w:val="ECBodyTextChar"/>
    <w:rsid w:val="00417E72"/>
    <w:pPr>
      <w:tabs>
        <w:tab w:val="left" w:pos="1080"/>
      </w:tabs>
      <w:spacing w:before="240"/>
    </w:pPr>
    <w:rPr>
      <w:rFonts w:ascii="Verdana" w:hAnsi="Verdana"/>
      <w:sz w:val="20"/>
      <w:szCs w:val="22"/>
    </w:rPr>
  </w:style>
  <w:style w:type="character" w:customStyle="1" w:styleId="ECBodyTextChar">
    <w:name w:val="EC_BodyText Char"/>
    <w:basedOn w:val="DefaultParagraphFont"/>
    <w:link w:val="ECBodyText"/>
    <w:rsid w:val="00417E72"/>
    <w:rPr>
      <w:rFonts w:ascii="Verdana" w:eastAsia="Times New Roman" w:hAnsi="Verdana" w:cs="Arial"/>
      <w:szCs w:val="22"/>
      <w:lang w:eastAsia="en-US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417E72"/>
    <w:pPr>
      <w:spacing w:before="0" w:after="120"/>
      <w:jc w:val="center"/>
    </w:pPr>
    <w:rPr>
      <w:lang w:eastAsia="zh-TW"/>
    </w:rPr>
  </w:style>
  <w:style w:type="character" w:customStyle="1" w:styleId="Heading1Char">
    <w:name w:val="Heading 1 Char"/>
    <w:basedOn w:val="DefaultParagraphFont"/>
    <w:link w:val="Heading1"/>
    <w:rsid w:val="00417E72"/>
    <w:rPr>
      <w:rFonts w:ascii="Arial Bold" w:eastAsia="Times New Roman" w:hAnsi="Arial Bold" w:cs="Arial"/>
      <w:b/>
      <w:bCs/>
      <w:caps/>
      <w:kern w:val="32"/>
      <w:sz w:val="28"/>
      <w:szCs w:val="32"/>
      <w:lang w:eastAsia="en-US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417E72"/>
    <w:rPr>
      <w:rFonts w:ascii="Arial Bold" w:eastAsia="Times New Roman" w:hAnsi="Arial Bold" w:cs="Arial"/>
      <w:b/>
      <w:bCs/>
      <w:caps/>
      <w:kern w:val="32"/>
      <w:sz w:val="28"/>
      <w:szCs w:val="32"/>
      <w:lang w:eastAsia="zh-TW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417E72"/>
    <w:pPr>
      <w:spacing w:before="0" w:after="120"/>
      <w:jc w:val="center"/>
    </w:pPr>
    <w:rPr>
      <w:rFonts w:ascii="Verdana" w:eastAsia="Verdana" w:hAnsi="Verdana" w:cs="Arial Bold"/>
      <w:sz w:val="24"/>
      <w:szCs w:val="24"/>
      <w:lang w:eastAsia="zh-TW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417E72"/>
    <w:rPr>
      <w:rFonts w:ascii="Verdana" w:eastAsia="Verdana" w:hAnsi="Verdana" w:cs="Arial Bold"/>
      <w:b/>
      <w:bCs/>
      <w:caps/>
      <w:kern w:val="32"/>
      <w:sz w:val="24"/>
      <w:szCs w:val="24"/>
      <w:lang w:eastAsia="zh-TW"/>
    </w:rPr>
  </w:style>
  <w:style w:type="character" w:customStyle="1" w:styleId="BodyTextChar">
    <w:name w:val="BodyText Char"/>
    <w:basedOn w:val="DefaultParagraphFont"/>
    <w:link w:val="BodyText0"/>
    <w:rsid w:val="00417E72"/>
    <w:rPr>
      <w:rFonts w:ascii="Arial" w:eastAsia="Times New Roman" w:hAnsi="Arial" w:cs="Arial"/>
      <w:sz w:val="22"/>
      <w:szCs w:val="22"/>
      <w:lang w:eastAsia="en-US"/>
    </w:rPr>
  </w:style>
  <w:style w:type="table" w:styleId="TableGrid">
    <w:name w:val="Table Grid"/>
    <w:basedOn w:val="TableNormal"/>
    <w:rsid w:val="00417E72"/>
    <w:pPr>
      <w:jc w:val="both"/>
    </w:pPr>
    <w:rPr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417E72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417E72"/>
    <w:rPr>
      <w:rFonts w:ascii="Arial" w:eastAsia="Times New Roman" w:hAnsi="Arial" w:cs="Arial"/>
      <w:b/>
      <w:i/>
      <w:sz w:val="22"/>
      <w:lang w:eastAsia="en-US"/>
    </w:r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417E72"/>
    <w:pPr>
      <w:tabs>
        <w:tab w:val="clear" w:pos="1080"/>
      </w:tabs>
      <w:spacing w:before="360"/>
      <w:jc w:val="center"/>
    </w:pPr>
    <w:rPr>
      <w:rFonts w:ascii="Verdana" w:eastAsia="Verdana" w:hAnsi="Verdana" w:cs="Verdana"/>
      <w:caps w:val="0"/>
      <w:sz w:val="22"/>
      <w:szCs w:val="22"/>
      <w:lang w:eastAsia="zh-TW"/>
    </w:rPr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417E72"/>
    <w:rPr>
      <w:rFonts w:ascii="Verdana" w:eastAsia="Verdana" w:hAnsi="Verdana" w:cs="Verdana"/>
      <w:b/>
      <w:bCs/>
      <w:iCs/>
      <w:caps w:val="0"/>
      <w:sz w:val="22"/>
      <w:szCs w:val="22"/>
      <w:lang w:val="en-GB" w:eastAsia="zh-TW"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E72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17E72"/>
    <w:rPr>
      <w:rFonts w:ascii="Arial" w:eastAsia="Times New Roman" w:hAnsi="Arial" w:cs="Arial"/>
      <w:lang w:eastAsia="en-US"/>
    </w:rPr>
  </w:style>
  <w:style w:type="character" w:styleId="PlaceholderText">
    <w:name w:val="Placeholder Text"/>
    <w:basedOn w:val="DefaultParagraphFont"/>
    <w:rsid w:val="00417E72"/>
    <w:rPr>
      <w:color w:val="808080"/>
    </w:rPr>
  </w:style>
  <w:style w:type="character" w:styleId="Strong">
    <w:name w:val="Strong"/>
    <w:basedOn w:val="DefaultParagraphFont"/>
    <w:uiPriority w:val="22"/>
    <w:qFormat/>
    <w:rsid w:val="00417E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moomm.sharepoint.com/:w:/s/wmocpdb/ETCRUkvjGQBDrQ0GnxQ6ih8BKF0YNpBDykUREmrfqNo8pg?e=lv2jBj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moomm.sharepoint.com/:w:/s/wmocpdb/ERjrUvIIEMRBme7jyEc9QB8BaFB0s-86MDScS3lqVN0-xA?e=Q3csxo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himazaki\AppData\Local\Microsoft\Windows\Temporary%20Internet%20Files\Content.IE5\AN35I92G\ICT-ISS-2019-AI(a.b)-DocumentTemplate-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30642-71A1-48C5-808D-C0B7BCAD2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ICT-ISS-2019-AI(a.b)-DocumentTemplate-v2.dotx</Template>
  <TotalTime>57</TotalTime>
  <Pages>10</Pages>
  <Words>2825</Words>
  <Characters>16105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18893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</dc:creator>
  <cp:lastModifiedBy>AS</cp:lastModifiedBy>
  <cp:revision>7</cp:revision>
  <cp:lastPrinted>2012-03-15T15:21:00Z</cp:lastPrinted>
  <dcterms:created xsi:type="dcterms:W3CDTF">2019-09-16T09:30:00Z</dcterms:created>
  <dcterms:modified xsi:type="dcterms:W3CDTF">2019-10-04T13:32:00Z</dcterms:modified>
</cp:coreProperties>
</file>