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3B4D" w:rsidRDefault="00203B4D" w:rsidP="00203B4D">
      <w:pPr>
        <w:autoSpaceDE w:val="0"/>
        <w:autoSpaceDN w:val="0"/>
        <w:adjustRightInd w:val="0"/>
        <w:spacing w:after="0" w:line="240" w:lineRule="auto"/>
        <w:rPr>
          <w:rFonts w:ascii="StoneSansITC-SemiBold" w:hAnsi="StoneSansITC-SemiBold" w:cs="StoneSansITC-SemiBold"/>
          <w:b/>
          <w:bCs/>
          <w:szCs w:val="20"/>
          <w:lang w:val="en-US"/>
        </w:rPr>
      </w:pPr>
      <w:r>
        <w:rPr>
          <w:rFonts w:ascii="StoneSansITC-SemiBold" w:hAnsi="StoneSansITC-SemiBold" w:cs="StoneSansITC-SemiBold"/>
          <w:b/>
          <w:bCs/>
          <w:szCs w:val="20"/>
          <w:lang w:val="en-US"/>
        </w:rPr>
        <w:t xml:space="preserve">Table 17. </w:t>
      </w:r>
      <w:proofErr w:type="spellStart"/>
      <w:r>
        <w:rPr>
          <w:rFonts w:ascii="StoneSansITC-SemiBold" w:hAnsi="StoneSansITC-SemiBold" w:cs="StoneSansITC-SemiBold"/>
          <w:b/>
          <w:bCs/>
          <w:szCs w:val="20"/>
          <w:lang w:val="en-US"/>
        </w:rPr>
        <w:t>WMO_DistributionScopeCode</w:t>
      </w:r>
      <w:proofErr w:type="spellEnd"/>
      <w:r>
        <w:rPr>
          <w:rFonts w:ascii="StoneSansITC-SemiBold" w:hAnsi="StoneSansITC-SemiBold" w:cs="StoneSansITC-SemiBold"/>
          <w:b/>
          <w:bCs/>
          <w:szCs w:val="20"/>
          <w:lang w:val="en-US"/>
        </w:rPr>
        <w:t xml:space="preserve"> «</w:t>
      </w:r>
      <w:proofErr w:type="spellStart"/>
      <w:r>
        <w:rPr>
          <w:rFonts w:ascii="StoneSansITC-SemiBold" w:hAnsi="StoneSansITC-SemiBold" w:cs="StoneSansITC-SemiBold"/>
          <w:b/>
          <w:bCs/>
          <w:szCs w:val="20"/>
          <w:lang w:val="en-US"/>
        </w:rPr>
        <w:t>CodeList</w:t>
      </w:r>
      <w:proofErr w:type="spellEnd"/>
      <w:r>
        <w:rPr>
          <w:rFonts w:ascii="StoneSansITC-SemiBold" w:hAnsi="StoneSansITC-SemiBold" w:cs="StoneSansITC-SemiBold"/>
          <w:b/>
          <w:bCs/>
          <w:szCs w:val="20"/>
          <w:lang w:val="en-US"/>
        </w:rPr>
        <w:t>»</w:t>
      </w:r>
    </w:p>
    <w:p w:rsidR="00203B4D" w:rsidRDefault="00203B4D" w:rsidP="00203B4D">
      <w:pPr>
        <w:autoSpaceDE w:val="0"/>
        <w:autoSpaceDN w:val="0"/>
        <w:adjustRightInd w:val="0"/>
        <w:spacing w:after="0" w:line="240" w:lineRule="auto"/>
        <w:rPr>
          <w:rFonts w:ascii="StoneSansITC-MediumItalic" w:hAnsi="StoneSansITC-MediumItalic" w:cs="StoneSansITC-MediumItalic"/>
          <w:i/>
          <w:iCs/>
          <w:sz w:val="18"/>
          <w:szCs w:val="18"/>
          <w:lang w:val="en-US"/>
        </w:rPr>
      </w:pPr>
      <w:r>
        <w:rPr>
          <w:rFonts w:ascii="StoneSansITC-MediumItalic" w:hAnsi="StoneSansITC-MediumItalic" w:cs="StoneSansITC-MediumItalic"/>
          <w:i/>
          <w:iCs/>
          <w:sz w:val="18"/>
          <w:szCs w:val="18"/>
          <w:lang w:val="en-US"/>
        </w:rPr>
        <w:t>Name Domain code Definition</w:t>
      </w:r>
    </w:p>
    <w:p w:rsidR="00203B4D" w:rsidRDefault="00203B4D" w:rsidP="00203B4D">
      <w:pPr>
        <w:autoSpaceDE w:val="0"/>
        <w:autoSpaceDN w:val="0"/>
        <w:adjustRightInd w:val="0"/>
        <w:spacing w:after="0" w:line="240" w:lineRule="auto"/>
        <w:rPr>
          <w:rFonts w:ascii="StoneSansITC-Medium" w:eastAsia="StoneSansITC-Medium" w:hAnsi="StoneSansITC-SemiBold" w:cs="StoneSansITC-Medium"/>
          <w:sz w:val="18"/>
          <w:szCs w:val="18"/>
          <w:lang w:val="en-US"/>
        </w:rPr>
      </w:pPr>
      <w:r>
        <w:rPr>
          <w:rFonts w:ascii="StoneSansITC-Medium" w:eastAsia="StoneSansITC-Medium" w:hAnsi="StoneSansITC-SemiBold" w:cs="StoneSansITC-Medium"/>
          <w:sz w:val="18"/>
          <w:szCs w:val="18"/>
          <w:lang w:val="en-US"/>
        </w:rPr>
        <w:t xml:space="preserve">1. </w:t>
      </w:r>
      <w:proofErr w:type="spellStart"/>
      <w:r>
        <w:rPr>
          <w:rFonts w:ascii="StoneSansITC-Medium" w:eastAsia="StoneSansITC-Medium" w:hAnsi="StoneSansITC-SemiBold" w:cs="StoneSansITC-Medium"/>
          <w:sz w:val="18"/>
          <w:szCs w:val="18"/>
          <w:lang w:val="en-US"/>
        </w:rPr>
        <w:t>WMO_DistributionScopeCode</w:t>
      </w:r>
      <w:proofErr w:type="spellEnd"/>
      <w:r>
        <w:rPr>
          <w:rFonts w:ascii="StoneSansITC-Medium" w:eastAsia="StoneSansITC-Medium" w:hAnsi="StoneSansITC-SemiBold" w:cs="StoneSansITC-Medium"/>
          <w:sz w:val="18"/>
          <w:szCs w:val="18"/>
          <w:lang w:val="en-US"/>
        </w:rPr>
        <w:t xml:space="preserve"> </w:t>
      </w:r>
      <w:proofErr w:type="spellStart"/>
      <w:r>
        <w:rPr>
          <w:rFonts w:ascii="StoneSansITC-Medium" w:eastAsia="StoneSansITC-Medium" w:hAnsi="StoneSansITC-SemiBold" w:cs="StoneSansITC-Medium"/>
          <w:sz w:val="18"/>
          <w:szCs w:val="18"/>
          <w:lang w:val="en-US"/>
        </w:rPr>
        <w:t>WMODisScoCd</w:t>
      </w:r>
      <w:proofErr w:type="spellEnd"/>
      <w:r>
        <w:rPr>
          <w:rFonts w:ascii="StoneSansITC-Medium" w:eastAsia="StoneSansITC-Medium" w:hAnsi="StoneSansITC-SemiBold" w:cs="StoneSansITC-Medium"/>
          <w:sz w:val="18"/>
          <w:szCs w:val="18"/>
          <w:lang w:val="en-US"/>
        </w:rPr>
        <w:t xml:space="preserve"> Scope of distribution for data published for</w:t>
      </w:r>
    </w:p>
    <w:p w:rsidR="00203B4D" w:rsidRDefault="00203B4D" w:rsidP="00203B4D">
      <w:pPr>
        <w:autoSpaceDE w:val="0"/>
        <w:autoSpaceDN w:val="0"/>
        <w:adjustRightInd w:val="0"/>
        <w:spacing w:after="0" w:line="240" w:lineRule="auto"/>
        <w:rPr>
          <w:rFonts w:ascii="StoneSansITC-Medium" w:eastAsia="StoneSansITC-Medium" w:hAnsi="StoneSansITC-SemiBold" w:cs="StoneSansITC-Medium"/>
          <w:sz w:val="18"/>
          <w:szCs w:val="18"/>
          <w:lang w:val="en-US"/>
        </w:rPr>
      </w:pPr>
      <w:r>
        <w:rPr>
          <w:rFonts w:ascii="StoneSansITC-Medium" w:eastAsia="StoneSansITC-Medium" w:hAnsi="StoneSansITC-SemiBold" w:cs="StoneSansITC-Medium"/>
          <w:sz w:val="18"/>
          <w:szCs w:val="18"/>
          <w:lang w:val="en-US"/>
        </w:rPr>
        <w:t>exchange within WIS</w:t>
      </w:r>
    </w:p>
    <w:p w:rsidR="00203B4D" w:rsidRDefault="00203B4D" w:rsidP="00203B4D">
      <w:pPr>
        <w:autoSpaceDE w:val="0"/>
        <w:autoSpaceDN w:val="0"/>
        <w:adjustRightInd w:val="0"/>
        <w:spacing w:after="0" w:line="240" w:lineRule="auto"/>
        <w:rPr>
          <w:rFonts w:ascii="StoneSansITC-Medium" w:eastAsia="StoneSansITC-Medium" w:hAnsi="StoneSansITC-SemiBold" w:cs="StoneSansITC-Medium"/>
          <w:sz w:val="18"/>
          <w:szCs w:val="18"/>
          <w:lang w:val="en-US"/>
        </w:rPr>
      </w:pPr>
      <w:r>
        <w:rPr>
          <w:rFonts w:ascii="StoneSansITC-Medium" w:eastAsia="StoneSansITC-Medium" w:hAnsi="StoneSansITC-SemiBold" w:cs="StoneSansITC-Medium"/>
          <w:sz w:val="18"/>
          <w:szCs w:val="18"/>
          <w:lang w:val="en-US"/>
        </w:rPr>
        <w:t xml:space="preserve">2. </w:t>
      </w:r>
      <w:proofErr w:type="spellStart"/>
      <w:r>
        <w:rPr>
          <w:rFonts w:ascii="StoneSansITC-Medium" w:eastAsia="StoneSansITC-Medium" w:hAnsi="StoneSansITC-SemiBold" w:cs="StoneSansITC-Medium"/>
          <w:sz w:val="18"/>
          <w:szCs w:val="18"/>
          <w:lang w:val="en-US"/>
        </w:rPr>
        <w:t>GlobalExchange</w:t>
      </w:r>
      <w:proofErr w:type="spellEnd"/>
      <w:r>
        <w:rPr>
          <w:rFonts w:ascii="StoneSansITC-Medium" w:eastAsia="StoneSansITC-Medium" w:hAnsi="StoneSansITC-SemiBold" w:cs="StoneSansITC-Medium"/>
          <w:sz w:val="18"/>
          <w:szCs w:val="18"/>
          <w:lang w:val="en-US"/>
        </w:rPr>
        <w:t xml:space="preserve"> 001 Data are published for global exchange via</w:t>
      </w:r>
    </w:p>
    <w:p w:rsidR="00203B4D" w:rsidRDefault="00203B4D" w:rsidP="00203B4D">
      <w:pPr>
        <w:autoSpaceDE w:val="0"/>
        <w:autoSpaceDN w:val="0"/>
        <w:adjustRightInd w:val="0"/>
        <w:spacing w:after="0" w:line="240" w:lineRule="auto"/>
        <w:rPr>
          <w:rFonts w:ascii="StoneSansITC-SemiBold" w:hAnsi="StoneSansITC-SemiBold" w:cs="StoneSansITC-SemiBold"/>
          <w:b/>
          <w:bCs/>
          <w:sz w:val="17"/>
          <w:szCs w:val="17"/>
          <w:lang w:val="en-US"/>
        </w:rPr>
      </w:pPr>
      <w:r>
        <w:rPr>
          <w:rFonts w:ascii="StoneSansITC-Medium" w:eastAsia="StoneSansITC-Medium" w:hAnsi="StoneSansITC-SemiBold" w:cs="StoneSansITC-Medium"/>
          <w:sz w:val="18"/>
          <w:szCs w:val="18"/>
          <w:lang w:val="en-US"/>
        </w:rPr>
        <w:t xml:space="preserve">WIS. </w:t>
      </w:r>
      <w:r>
        <w:rPr>
          <w:rFonts w:ascii="StoneSansITC-SemiBold" w:hAnsi="StoneSansITC-SemiBold" w:cs="StoneSansITC-SemiBold"/>
          <w:b/>
          <w:bCs/>
          <w:sz w:val="17"/>
          <w:szCs w:val="17"/>
          <w:lang w:val="en-US"/>
        </w:rPr>
        <w:t>Data shall be incorporated into the</w:t>
      </w:r>
    </w:p>
    <w:p w:rsidR="00203B4D" w:rsidRDefault="00203B4D" w:rsidP="00203B4D">
      <w:pPr>
        <w:autoSpaceDE w:val="0"/>
        <w:autoSpaceDN w:val="0"/>
        <w:adjustRightInd w:val="0"/>
        <w:spacing w:after="0" w:line="240" w:lineRule="auto"/>
        <w:rPr>
          <w:rFonts w:ascii="StoneSansITC-SemiBold" w:hAnsi="StoneSansITC-SemiBold" w:cs="StoneSansITC-SemiBold"/>
          <w:b/>
          <w:bCs/>
          <w:sz w:val="17"/>
          <w:szCs w:val="17"/>
          <w:lang w:val="en-US"/>
        </w:rPr>
      </w:pPr>
      <w:r>
        <w:rPr>
          <w:rFonts w:ascii="StoneSansITC-SemiBold" w:hAnsi="StoneSansITC-SemiBold" w:cs="StoneSansITC-SemiBold"/>
          <w:b/>
          <w:bCs/>
          <w:sz w:val="17"/>
          <w:szCs w:val="17"/>
          <w:lang w:val="en-US"/>
        </w:rPr>
        <w:t>GISC cache.</w:t>
      </w:r>
    </w:p>
    <w:p w:rsidR="00203B4D" w:rsidRDefault="00203B4D" w:rsidP="00203B4D">
      <w:pPr>
        <w:autoSpaceDE w:val="0"/>
        <w:autoSpaceDN w:val="0"/>
        <w:adjustRightInd w:val="0"/>
        <w:spacing w:after="0" w:line="240" w:lineRule="auto"/>
        <w:rPr>
          <w:rFonts w:ascii="StoneSansITC-Medium" w:eastAsia="StoneSansITC-Medium" w:hAnsi="StoneSansITC-SemiBold" w:cs="StoneSansITC-Medium"/>
          <w:sz w:val="18"/>
          <w:szCs w:val="18"/>
          <w:lang w:val="en-US"/>
        </w:rPr>
      </w:pPr>
      <w:r>
        <w:rPr>
          <w:rFonts w:ascii="StoneSansITC-Medium" w:eastAsia="StoneSansITC-Medium" w:hAnsi="StoneSansITC-SemiBold" w:cs="StoneSansITC-Medium"/>
          <w:sz w:val="18"/>
          <w:szCs w:val="18"/>
          <w:lang w:val="en-US"/>
        </w:rPr>
        <w:t xml:space="preserve">3. </w:t>
      </w:r>
      <w:proofErr w:type="spellStart"/>
      <w:r>
        <w:rPr>
          <w:rFonts w:ascii="StoneSansITC-Medium" w:eastAsia="StoneSansITC-Medium" w:hAnsi="StoneSansITC-SemiBold" w:cs="StoneSansITC-Medium"/>
          <w:sz w:val="18"/>
          <w:szCs w:val="18"/>
          <w:lang w:val="en-US"/>
        </w:rPr>
        <w:t>RegionalExchange</w:t>
      </w:r>
      <w:proofErr w:type="spellEnd"/>
      <w:r>
        <w:rPr>
          <w:rFonts w:ascii="StoneSansITC-Medium" w:eastAsia="StoneSansITC-Medium" w:hAnsi="StoneSansITC-SemiBold" w:cs="StoneSansITC-Medium"/>
          <w:sz w:val="18"/>
          <w:szCs w:val="18"/>
          <w:lang w:val="en-US"/>
        </w:rPr>
        <w:t xml:space="preserve"> 002 Data are published for regional exchange</w:t>
      </w:r>
    </w:p>
    <w:p w:rsidR="00203B4D" w:rsidRDefault="00203B4D" w:rsidP="00203B4D">
      <w:pPr>
        <w:autoSpaceDE w:val="0"/>
        <w:autoSpaceDN w:val="0"/>
        <w:adjustRightInd w:val="0"/>
        <w:spacing w:after="0" w:line="240" w:lineRule="auto"/>
        <w:rPr>
          <w:rFonts w:ascii="StoneSansITC-Medium" w:eastAsia="StoneSansITC-Medium" w:hAnsi="StoneSansITC-SemiBold" w:cs="StoneSansITC-Medium"/>
          <w:sz w:val="18"/>
          <w:szCs w:val="18"/>
          <w:lang w:val="en-US"/>
        </w:rPr>
      </w:pPr>
      <w:r>
        <w:rPr>
          <w:rFonts w:ascii="StoneSansITC-Medium" w:eastAsia="StoneSansITC-Medium" w:hAnsi="StoneSansITC-SemiBold" w:cs="StoneSansITC-Medium"/>
          <w:sz w:val="18"/>
          <w:szCs w:val="18"/>
          <w:lang w:val="en-US"/>
        </w:rPr>
        <w:t>via a GISC.</w:t>
      </w:r>
    </w:p>
    <w:p w:rsidR="00203B4D" w:rsidRDefault="00203B4D" w:rsidP="00203B4D">
      <w:pPr>
        <w:autoSpaceDE w:val="0"/>
        <w:autoSpaceDN w:val="0"/>
        <w:adjustRightInd w:val="0"/>
        <w:spacing w:after="0" w:line="240" w:lineRule="auto"/>
        <w:rPr>
          <w:rFonts w:ascii="StoneSansITC-Medium" w:eastAsia="StoneSansITC-Medium" w:hAnsi="StoneSansITC-SemiBold" w:cs="StoneSansITC-Medium"/>
          <w:sz w:val="18"/>
          <w:szCs w:val="18"/>
          <w:lang w:val="en-US"/>
        </w:rPr>
      </w:pPr>
      <w:r>
        <w:rPr>
          <w:rFonts w:ascii="StoneSansITC-Medium" w:eastAsia="StoneSansITC-Medium" w:hAnsi="StoneSansITC-SemiBold" w:cs="StoneSansITC-Medium"/>
          <w:sz w:val="18"/>
          <w:szCs w:val="18"/>
          <w:lang w:val="en-US"/>
        </w:rPr>
        <w:t xml:space="preserve">4. </w:t>
      </w:r>
      <w:proofErr w:type="spellStart"/>
      <w:r>
        <w:rPr>
          <w:rFonts w:ascii="StoneSansITC-Medium" w:eastAsia="StoneSansITC-Medium" w:hAnsi="StoneSansITC-SemiBold" w:cs="StoneSansITC-Medium"/>
          <w:sz w:val="18"/>
          <w:szCs w:val="18"/>
          <w:lang w:val="en-US"/>
        </w:rPr>
        <w:t>OriginatingCentre</w:t>
      </w:r>
      <w:proofErr w:type="spellEnd"/>
      <w:r>
        <w:rPr>
          <w:rFonts w:ascii="StoneSansITC-Medium" w:eastAsia="StoneSansITC-Medium" w:hAnsi="StoneSansITC-SemiBold" w:cs="StoneSansITC-Medium"/>
          <w:sz w:val="18"/>
          <w:szCs w:val="18"/>
          <w:lang w:val="en-US"/>
        </w:rPr>
        <w:t xml:space="preserve"> 003 Data are published for exchange directly</w:t>
      </w:r>
    </w:p>
    <w:p w:rsidR="000779FA" w:rsidRDefault="00203B4D" w:rsidP="00203B4D">
      <w:pPr>
        <w:rPr>
          <w:rFonts w:ascii="StoneSansITC-Medium" w:eastAsia="StoneSansITC-Medium" w:hAnsi="StoneSansITC-SemiBold" w:cs="StoneSansITC-Medium"/>
          <w:sz w:val="18"/>
          <w:szCs w:val="18"/>
          <w:lang w:val="en-US"/>
        </w:rPr>
      </w:pPr>
      <w:r>
        <w:rPr>
          <w:rFonts w:ascii="StoneSansITC-Medium" w:eastAsia="StoneSansITC-Medium" w:hAnsi="StoneSansITC-SemiBold" w:cs="StoneSansITC-Medium"/>
          <w:sz w:val="18"/>
          <w:szCs w:val="18"/>
          <w:lang w:val="en-US"/>
        </w:rPr>
        <w:t xml:space="preserve">via the originating </w:t>
      </w:r>
      <w:proofErr w:type="spellStart"/>
      <w:r>
        <w:rPr>
          <w:rFonts w:ascii="StoneSansITC-Medium" w:eastAsia="StoneSansITC-Medium" w:hAnsi="StoneSansITC-SemiBold" w:cs="StoneSansITC-Medium"/>
          <w:sz w:val="18"/>
          <w:szCs w:val="18"/>
          <w:lang w:val="en-US"/>
        </w:rPr>
        <w:t>centre</w:t>
      </w:r>
      <w:proofErr w:type="spellEnd"/>
      <w:r>
        <w:rPr>
          <w:rFonts w:ascii="StoneSansITC-Medium" w:eastAsia="StoneSansITC-Medium" w:hAnsi="StoneSansITC-SemiBold" w:cs="StoneSansITC-Medium"/>
          <w:sz w:val="18"/>
          <w:szCs w:val="18"/>
          <w:lang w:val="en-US"/>
        </w:rPr>
        <w:t>.</w:t>
      </w:r>
    </w:p>
    <w:p w:rsidR="00203B4D" w:rsidRDefault="00203B4D" w:rsidP="00203B4D">
      <w:pPr>
        <w:rPr>
          <w:rFonts w:ascii="StoneSansITC-Medium" w:eastAsia="StoneSansITC-Medium" w:hAnsi="StoneSansITC-SemiBold" w:cs="StoneSansITC-Medium"/>
          <w:sz w:val="18"/>
          <w:szCs w:val="18"/>
          <w:lang w:val="en-US"/>
        </w:rPr>
      </w:pPr>
    </w:p>
    <w:p w:rsidR="00203B4D" w:rsidRDefault="00203B4D" w:rsidP="00203B4D">
      <w:pPr>
        <w:rPr>
          <w:rFonts w:ascii="StoneSansITC-Medium" w:eastAsia="StoneSansITC-Medium" w:hAnsi="StoneSansITC-SemiBold" w:cs="StoneSansITC-Medium"/>
          <w:sz w:val="18"/>
          <w:szCs w:val="18"/>
          <w:lang w:val="en-US"/>
        </w:rPr>
      </w:pPr>
    </w:p>
    <w:p w:rsidR="00203B4D" w:rsidRPr="00203B4D" w:rsidRDefault="00203B4D" w:rsidP="00203B4D">
      <w:pPr>
        <w:pStyle w:val="ListParagraph"/>
        <w:numPr>
          <w:ilvl w:val="0"/>
          <w:numId w:val="1"/>
        </w:numPr>
        <w:rPr>
          <w:rFonts w:ascii="StoneSansITC-Medium" w:eastAsia="StoneSansITC-Medium" w:hAnsi="StoneSansITC-SemiBold" w:cs="StoneSansITC-Medium"/>
          <w:sz w:val="18"/>
          <w:szCs w:val="18"/>
          <w:lang w:val="en-US"/>
        </w:rPr>
      </w:pPr>
      <w:r w:rsidRPr="00203B4D">
        <w:rPr>
          <w:rFonts w:ascii="StoneSansITC-Medium" w:eastAsia="StoneSansITC-Medium" w:hAnsi="StoneSansITC-SemiBold" w:cs="StoneSansITC-Medium"/>
          <w:sz w:val="18"/>
          <w:szCs w:val="18"/>
          <w:lang w:val="en-US"/>
        </w:rPr>
        <w:t>Initial Distribution code is set by data provider</w:t>
      </w:r>
    </w:p>
    <w:p w:rsidR="00203B4D" w:rsidRDefault="00203B4D" w:rsidP="00D14EB8">
      <w:pPr>
        <w:pStyle w:val="ListParagraph"/>
        <w:numPr>
          <w:ilvl w:val="1"/>
          <w:numId w:val="1"/>
        </w:numPr>
        <w:rPr>
          <w:rFonts w:ascii="StoneSansITC-Medium" w:eastAsia="StoneSansITC-Medium" w:hAnsi="StoneSansITC-SemiBold" w:cs="StoneSansITC-Medium"/>
          <w:sz w:val="18"/>
          <w:szCs w:val="18"/>
          <w:lang w:val="en-US"/>
        </w:rPr>
      </w:pPr>
      <w:r w:rsidRPr="00203B4D">
        <w:rPr>
          <w:rFonts w:ascii="StoneSansITC-Medium" w:eastAsia="StoneSansITC-Medium" w:hAnsi="StoneSansITC-SemiBold" w:cs="StoneSansITC-Medium"/>
          <w:sz w:val="18"/>
          <w:szCs w:val="18"/>
          <w:lang w:val="en-US"/>
        </w:rPr>
        <w:t>Default should be to encourage use of 1</w:t>
      </w:r>
      <w:r>
        <w:rPr>
          <w:rFonts w:ascii="StoneSansITC-Medium" w:eastAsia="StoneSansITC-Medium" w:hAnsi="StoneSansITC-SemiBold" w:cs="StoneSansITC-Medium"/>
          <w:sz w:val="18"/>
          <w:szCs w:val="18"/>
          <w:lang w:val="en-US"/>
        </w:rPr>
        <w:t>-</w:t>
      </w:r>
      <w:r w:rsidRPr="00203B4D">
        <w:rPr>
          <w:rFonts w:ascii="StoneSansITC-Medium" w:eastAsia="StoneSansITC-Medium" w:hAnsi="StoneSansITC-SemiBold" w:cs="StoneSansITC-Medium"/>
          <w:sz w:val="18"/>
          <w:szCs w:val="18"/>
          <w:lang w:val="en-US"/>
        </w:rPr>
        <w:t>Gl</w:t>
      </w:r>
      <w:r w:rsidR="00D14EB8">
        <w:rPr>
          <w:rFonts w:ascii="StoneSansITC-Medium" w:eastAsia="StoneSansITC-Medium" w:hAnsi="StoneSansITC-SemiBold" w:cs="StoneSansITC-Medium"/>
          <w:sz w:val="18"/>
          <w:szCs w:val="18"/>
          <w:lang w:val="en-US"/>
        </w:rPr>
        <w:t>ob</w:t>
      </w:r>
      <w:bookmarkStart w:id="0" w:name="_GoBack"/>
      <w:bookmarkEnd w:id="0"/>
      <w:r w:rsidRPr="00203B4D">
        <w:rPr>
          <w:rFonts w:ascii="StoneSansITC-Medium" w:eastAsia="StoneSansITC-Medium" w:hAnsi="StoneSansITC-SemiBold" w:cs="StoneSansITC-Medium"/>
          <w:sz w:val="18"/>
          <w:szCs w:val="18"/>
          <w:lang w:val="en-US"/>
        </w:rPr>
        <w:t>alDistribution</w:t>
      </w:r>
    </w:p>
    <w:p w:rsidR="00121C7E" w:rsidRDefault="00121C7E" w:rsidP="00203B4D">
      <w:pPr>
        <w:pStyle w:val="ListParagraph"/>
        <w:numPr>
          <w:ilvl w:val="1"/>
          <w:numId w:val="1"/>
        </w:numPr>
        <w:rPr>
          <w:rFonts w:ascii="StoneSansITC-Medium" w:eastAsia="StoneSansITC-Medium" w:hAnsi="StoneSansITC-SemiBold" w:cs="StoneSansITC-Medium"/>
          <w:sz w:val="18"/>
          <w:szCs w:val="18"/>
          <w:lang w:val="en-US"/>
        </w:rPr>
      </w:pPr>
      <w:r>
        <w:rPr>
          <w:rFonts w:ascii="StoneSansITC-Medium" w:eastAsia="StoneSansITC-Medium" w:hAnsi="StoneSansITC-SemiBold" w:cs="StoneSansITC-Medium"/>
          <w:sz w:val="18"/>
          <w:szCs w:val="18"/>
          <w:lang w:val="en-US"/>
        </w:rPr>
        <w:t>Exception would be large data streams such as HR Imagery, NWP or Radar data which should use 2 (</w:t>
      </w:r>
      <w:proofErr w:type="spellStart"/>
      <w:r>
        <w:rPr>
          <w:rFonts w:ascii="StoneSansITC-Medium" w:eastAsia="StoneSansITC-Medium" w:hAnsi="StoneSansITC-SemiBold" w:cs="StoneSansITC-Medium"/>
          <w:sz w:val="18"/>
          <w:szCs w:val="18"/>
          <w:lang w:val="en-US"/>
        </w:rPr>
        <w:t>RegionalExchange</w:t>
      </w:r>
      <w:proofErr w:type="spellEnd"/>
      <w:r>
        <w:rPr>
          <w:rFonts w:ascii="StoneSansITC-Medium" w:eastAsia="StoneSansITC-Medium" w:hAnsi="StoneSansITC-SemiBold" w:cs="StoneSansITC-Medium"/>
          <w:sz w:val="18"/>
          <w:szCs w:val="18"/>
          <w:lang w:val="en-US"/>
        </w:rPr>
        <w:t>) or 3 (</w:t>
      </w:r>
      <w:proofErr w:type="spellStart"/>
      <w:r>
        <w:rPr>
          <w:rFonts w:ascii="StoneSansITC-Medium" w:eastAsia="StoneSansITC-Medium" w:hAnsi="StoneSansITC-SemiBold" w:cs="StoneSansITC-Medium"/>
          <w:sz w:val="18"/>
          <w:szCs w:val="18"/>
          <w:lang w:val="en-US"/>
        </w:rPr>
        <w:t>OriginatingCentre</w:t>
      </w:r>
      <w:proofErr w:type="spellEnd"/>
      <w:r>
        <w:rPr>
          <w:rFonts w:ascii="StoneSansITC-Medium" w:eastAsia="StoneSansITC-Medium" w:hAnsi="StoneSansITC-SemiBold" w:cs="StoneSansITC-Medium"/>
          <w:sz w:val="18"/>
          <w:szCs w:val="18"/>
          <w:lang w:val="en-US"/>
        </w:rPr>
        <w:t>)</w:t>
      </w:r>
    </w:p>
    <w:p w:rsidR="00203B4D" w:rsidRDefault="00203B4D" w:rsidP="00203B4D">
      <w:pPr>
        <w:pStyle w:val="ListParagraph"/>
        <w:numPr>
          <w:ilvl w:val="0"/>
          <w:numId w:val="1"/>
        </w:numPr>
        <w:rPr>
          <w:rFonts w:ascii="StoneSansITC-Medium" w:eastAsia="StoneSansITC-Medium" w:hAnsi="StoneSansITC-SemiBold" w:cs="StoneSansITC-Medium"/>
          <w:sz w:val="18"/>
          <w:szCs w:val="18"/>
          <w:lang w:val="en-US"/>
        </w:rPr>
      </w:pPr>
      <w:r>
        <w:rPr>
          <w:rFonts w:ascii="StoneSansITC-Medium" w:eastAsia="StoneSansITC-Medium" w:hAnsi="StoneSansITC-SemiBold" w:cs="StoneSansITC-Medium"/>
          <w:sz w:val="18"/>
          <w:szCs w:val="18"/>
          <w:lang w:val="en-US"/>
        </w:rPr>
        <w:t>Principal GISC should, at the time of registration, monitor the size in terms of volume and frequency affecting the bandwidth for exchange or impact on cache size, and if suspicious flag this to the provider to see if it is necessary</w:t>
      </w:r>
    </w:p>
    <w:p w:rsidR="00203B4D" w:rsidRDefault="00203B4D" w:rsidP="00203B4D">
      <w:pPr>
        <w:pStyle w:val="ListParagraph"/>
        <w:numPr>
          <w:ilvl w:val="0"/>
          <w:numId w:val="1"/>
        </w:numPr>
        <w:rPr>
          <w:rFonts w:ascii="StoneSansITC-Medium" w:eastAsia="StoneSansITC-Medium" w:hAnsi="StoneSansITC-SemiBold" w:cs="StoneSansITC-Medium"/>
          <w:sz w:val="18"/>
          <w:szCs w:val="18"/>
          <w:lang w:val="en-US"/>
        </w:rPr>
      </w:pPr>
      <w:r>
        <w:rPr>
          <w:rFonts w:ascii="StoneSansITC-Medium" w:eastAsia="StoneSansITC-Medium" w:hAnsi="StoneSansITC-SemiBold" w:cs="StoneSansITC-Medium"/>
          <w:sz w:val="18"/>
          <w:szCs w:val="18"/>
          <w:lang w:val="en-US"/>
        </w:rPr>
        <w:t>If provider insists, or otherwise, the GISC should consult other GISCs as to their view on accepting this new data series</w:t>
      </w:r>
    </w:p>
    <w:p w:rsidR="00DF3808" w:rsidRDefault="00DF3808" w:rsidP="00DF3808">
      <w:pPr>
        <w:pStyle w:val="ListParagraph"/>
        <w:numPr>
          <w:ilvl w:val="1"/>
          <w:numId w:val="1"/>
        </w:numPr>
        <w:rPr>
          <w:rFonts w:ascii="StoneSansITC-Medium" w:eastAsia="StoneSansITC-Medium" w:hAnsi="StoneSansITC-SemiBold" w:cs="StoneSansITC-Medium"/>
          <w:sz w:val="18"/>
          <w:szCs w:val="18"/>
          <w:lang w:val="en-US"/>
        </w:rPr>
      </w:pPr>
      <w:r w:rsidRPr="00121C7E">
        <w:rPr>
          <w:rFonts w:ascii="StoneSansITC-Medium" w:eastAsia="StoneSansITC-Medium" w:hAnsi="StoneSansITC-SemiBold" w:cs="StoneSansITC-Medium"/>
          <w:color w:val="FF0000"/>
          <w:sz w:val="18"/>
          <w:szCs w:val="18"/>
          <w:lang w:val="en-US"/>
        </w:rPr>
        <w:t>Need a form for triggering the review (</w:t>
      </w:r>
      <w:proofErr w:type="spellStart"/>
      <w:r w:rsidRPr="00121C7E">
        <w:rPr>
          <w:rFonts w:ascii="StoneSansITC-Medium" w:eastAsia="StoneSansITC-Medium" w:hAnsi="StoneSansITC-SemiBold" w:cs="StoneSansITC-Medium"/>
          <w:color w:val="FF0000"/>
          <w:sz w:val="18"/>
          <w:szCs w:val="18"/>
          <w:lang w:val="en-US"/>
        </w:rPr>
        <w:t>eg</w:t>
      </w:r>
      <w:proofErr w:type="spellEnd"/>
      <w:r w:rsidRPr="00121C7E">
        <w:rPr>
          <w:rFonts w:ascii="StoneSansITC-Medium" w:eastAsia="StoneSansITC-Medium" w:hAnsi="StoneSansITC-SemiBold" w:cs="StoneSansITC-Medium"/>
          <w:color w:val="FF0000"/>
          <w:sz w:val="18"/>
          <w:szCs w:val="18"/>
          <w:lang w:val="en-US"/>
        </w:rPr>
        <w:t xml:space="preserve"> like coding change voting</w:t>
      </w:r>
      <w:r>
        <w:rPr>
          <w:rFonts w:ascii="StoneSansITC-Medium" w:eastAsia="StoneSansITC-Medium" w:hAnsi="StoneSansITC-SemiBold" w:cs="StoneSansITC-Medium"/>
          <w:sz w:val="18"/>
          <w:szCs w:val="18"/>
          <w:lang w:val="en-US"/>
        </w:rPr>
        <w:t>)</w:t>
      </w:r>
    </w:p>
    <w:p w:rsidR="00DF3808" w:rsidRDefault="00DF3808" w:rsidP="00203B4D">
      <w:pPr>
        <w:pStyle w:val="ListParagraph"/>
        <w:numPr>
          <w:ilvl w:val="0"/>
          <w:numId w:val="1"/>
        </w:numPr>
        <w:rPr>
          <w:rFonts w:ascii="StoneSansITC-Medium" w:eastAsia="StoneSansITC-Medium" w:hAnsi="StoneSansITC-SemiBold" w:cs="StoneSansITC-Medium"/>
          <w:sz w:val="18"/>
          <w:szCs w:val="18"/>
          <w:lang w:val="en-US"/>
        </w:rPr>
      </w:pPr>
      <w:r>
        <w:rPr>
          <w:rFonts w:ascii="StoneSansITC-Medium" w:eastAsia="StoneSansITC-Medium" w:hAnsi="StoneSansITC-SemiBold" w:cs="StoneSansITC-Medium"/>
          <w:sz w:val="18"/>
          <w:szCs w:val="18"/>
          <w:lang w:val="en-US"/>
        </w:rPr>
        <w:t>If the TT-GISC do not object then ok</w:t>
      </w:r>
    </w:p>
    <w:p w:rsidR="00DF3808" w:rsidRDefault="00DF3808" w:rsidP="00203B4D">
      <w:pPr>
        <w:pStyle w:val="ListParagraph"/>
        <w:numPr>
          <w:ilvl w:val="0"/>
          <w:numId w:val="1"/>
        </w:numPr>
        <w:rPr>
          <w:rFonts w:ascii="StoneSansITC-Medium" w:eastAsia="StoneSansITC-Medium" w:hAnsi="StoneSansITC-SemiBold" w:cs="StoneSansITC-Medium"/>
          <w:sz w:val="18"/>
          <w:szCs w:val="18"/>
          <w:lang w:val="en-US"/>
        </w:rPr>
      </w:pPr>
      <w:r>
        <w:rPr>
          <w:rFonts w:ascii="StoneSansITC-Medium" w:eastAsia="StoneSansITC-Medium" w:hAnsi="StoneSansITC-SemiBold" w:cs="StoneSansITC-Medium"/>
          <w:sz w:val="18"/>
          <w:szCs w:val="18"/>
          <w:lang w:val="en-US"/>
        </w:rPr>
        <w:t>If TT-GISC raise concerns or do not provide satisfactory answer for the data provider (no consensus, Then it goes to ICTT-WIS (Through chair ICT-ISS)</w:t>
      </w:r>
    </w:p>
    <w:p w:rsidR="00203B4D" w:rsidRPr="00203B4D" w:rsidRDefault="00203B4D" w:rsidP="00203B4D">
      <w:pPr>
        <w:pStyle w:val="ListParagraph"/>
        <w:numPr>
          <w:ilvl w:val="0"/>
          <w:numId w:val="1"/>
        </w:numPr>
        <w:rPr>
          <w:rFonts w:ascii="StoneSansITC-Medium" w:eastAsia="StoneSansITC-Medium" w:hAnsi="StoneSansITC-SemiBold" w:cs="StoneSansITC-Medium"/>
          <w:sz w:val="18"/>
          <w:szCs w:val="18"/>
          <w:lang w:val="en-US"/>
        </w:rPr>
      </w:pPr>
      <w:r>
        <w:rPr>
          <w:rFonts w:ascii="StoneSansITC-Medium" w:eastAsia="StoneSansITC-Medium" w:hAnsi="StoneSansITC-SemiBold" w:cs="StoneSansITC-Medium"/>
          <w:sz w:val="18"/>
          <w:szCs w:val="18"/>
          <w:lang w:val="en-US"/>
        </w:rPr>
        <w:t>If a GISC notices or complains of the new stream, then they can trigger a TT-GISC review</w:t>
      </w:r>
    </w:p>
    <w:p w:rsidR="00203B4D" w:rsidRPr="00916735" w:rsidRDefault="00203B4D" w:rsidP="00203B4D"/>
    <w:sectPr w:rsidR="00203B4D" w:rsidRPr="00916735" w:rsidSect="002C2244">
      <w:pgSz w:w="11907" w:h="16839"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3B4D" w:rsidRDefault="00203B4D" w:rsidP="003E2ED3">
      <w:pPr>
        <w:spacing w:after="0" w:line="240" w:lineRule="auto"/>
      </w:pPr>
      <w:r>
        <w:separator/>
      </w:r>
    </w:p>
  </w:endnote>
  <w:endnote w:type="continuationSeparator" w:id="0">
    <w:p w:rsidR="00203B4D" w:rsidRDefault="00203B4D" w:rsidP="003E2E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StoneSansITC-SemiBold">
    <w:panose1 w:val="00000000000000000000"/>
    <w:charset w:val="00"/>
    <w:family w:val="swiss"/>
    <w:notTrueType/>
    <w:pitch w:val="default"/>
    <w:sig w:usb0="00000003" w:usb1="00000000" w:usb2="00000000" w:usb3="00000000" w:csb0="00000001" w:csb1="00000000"/>
  </w:font>
  <w:font w:name="StoneSansITC-MediumItalic">
    <w:panose1 w:val="00000000000000000000"/>
    <w:charset w:val="00"/>
    <w:family w:val="swiss"/>
    <w:notTrueType/>
    <w:pitch w:val="default"/>
    <w:sig w:usb0="00000003" w:usb1="00000000" w:usb2="00000000" w:usb3="00000000" w:csb0="00000001" w:csb1="00000000"/>
  </w:font>
  <w:font w:name="StoneSansITC-Medium">
    <w:altName w:val="MS Gothic"/>
    <w:panose1 w:val="00000000000000000000"/>
    <w:charset w:val="80"/>
    <w:family w:val="swiss"/>
    <w:notTrueType/>
    <w:pitch w:val="default"/>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3B4D" w:rsidRDefault="00203B4D" w:rsidP="003E2ED3">
      <w:pPr>
        <w:spacing w:after="0" w:line="240" w:lineRule="auto"/>
      </w:pPr>
      <w:r>
        <w:separator/>
      </w:r>
    </w:p>
  </w:footnote>
  <w:footnote w:type="continuationSeparator" w:id="0">
    <w:p w:rsidR="00203B4D" w:rsidRDefault="00203B4D" w:rsidP="003E2ED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330E13"/>
    <w:multiLevelType w:val="hybridMultilevel"/>
    <w:tmpl w:val="204426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20"/>
  <w:doNotDisplayPageBoundaries/>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3B4D"/>
    <w:rsid w:val="000779FA"/>
    <w:rsid w:val="00121C7E"/>
    <w:rsid w:val="00203B4D"/>
    <w:rsid w:val="00275557"/>
    <w:rsid w:val="002C2244"/>
    <w:rsid w:val="003B6850"/>
    <w:rsid w:val="003E2ED3"/>
    <w:rsid w:val="005C1961"/>
    <w:rsid w:val="0061201D"/>
    <w:rsid w:val="00916735"/>
    <w:rsid w:val="00D14EB8"/>
    <w:rsid w:val="00DE1CF9"/>
    <w:rsid w:val="00DF3808"/>
    <w:rsid w:val="00F9363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2ED3"/>
    <w:rPr>
      <w:rFonts w:ascii="Verdana" w:hAnsi="Verdana"/>
      <w:sz w:val="20"/>
      <w:lang w:val="en-GB"/>
    </w:rPr>
  </w:style>
  <w:style w:type="paragraph" w:styleId="Heading1">
    <w:name w:val="heading 1"/>
    <w:basedOn w:val="Normal"/>
    <w:next w:val="Normal"/>
    <w:link w:val="Heading1Char"/>
    <w:uiPriority w:val="9"/>
    <w:qFormat/>
    <w:rsid w:val="003B6850"/>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B6850"/>
    <w:pPr>
      <w:keepNext/>
      <w:keepLines/>
      <w:spacing w:before="200" w:after="0"/>
      <w:outlineLvl w:val="1"/>
    </w:pPr>
    <w:rPr>
      <w:rFonts w:eastAsiaTheme="majorEastAsia"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2E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2ED3"/>
  </w:style>
  <w:style w:type="paragraph" w:styleId="Footer">
    <w:name w:val="footer"/>
    <w:basedOn w:val="Normal"/>
    <w:link w:val="FooterChar"/>
    <w:uiPriority w:val="99"/>
    <w:unhideWhenUsed/>
    <w:rsid w:val="003E2E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2ED3"/>
  </w:style>
  <w:style w:type="character" w:customStyle="1" w:styleId="Heading1Char">
    <w:name w:val="Heading 1 Char"/>
    <w:basedOn w:val="DefaultParagraphFont"/>
    <w:link w:val="Heading1"/>
    <w:uiPriority w:val="9"/>
    <w:rsid w:val="003B6850"/>
    <w:rPr>
      <w:rFonts w:ascii="Verdana" w:eastAsiaTheme="majorEastAsia" w:hAnsi="Verdana"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3B6850"/>
    <w:rPr>
      <w:rFonts w:ascii="Verdana" w:eastAsiaTheme="majorEastAsia" w:hAnsi="Verdana" w:cstheme="majorBidi"/>
      <w:b/>
      <w:bCs/>
      <w:color w:val="4F81BD" w:themeColor="accent1"/>
      <w:sz w:val="26"/>
      <w:szCs w:val="26"/>
    </w:rPr>
  </w:style>
  <w:style w:type="paragraph" w:styleId="Title">
    <w:name w:val="Title"/>
    <w:basedOn w:val="Normal"/>
    <w:next w:val="Normal"/>
    <w:link w:val="TitleChar"/>
    <w:uiPriority w:val="10"/>
    <w:qFormat/>
    <w:rsid w:val="003B6850"/>
    <w:pPr>
      <w:pBdr>
        <w:bottom w:val="single" w:sz="8" w:space="4" w:color="4F81BD" w:themeColor="accent1"/>
      </w:pBdr>
      <w:spacing w:after="300" w:line="240" w:lineRule="auto"/>
      <w:contextualSpacing/>
    </w:pPr>
    <w:rPr>
      <w:rFonts w:eastAsiaTheme="majorEastAsia"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B6850"/>
    <w:rPr>
      <w:rFonts w:ascii="Verdana" w:eastAsiaTheme="majorEastAsia" w:hAnsi="Verdan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3B6850"/>
    <w:pPr>
      <w:numPr>
        <w:ilvl w:val="1"/>
      </w:numPr>
    </w:pPr>
    <w:rPr>
      <w:rFonts w:eastAsiaTheme="majorEastAsia"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3B6850"/>
    <w:rPr>
      <w:rFonts w:ascii="Verdana" w:eastAsiaTheme="majorEastAsia" w:hAnsi="Verdana" w:cstheme="majorBidi"/>
      <w:i/>
      <w:iCs/>
      <w:color w:val="4F81BD" w:themeColor="accent1"/>
      <w:spacing w:val="15"/>
      <w:sz w:val="24"/>
      <w:szCs w:val="24"/>
    </w:rPr>
  </w:style>
  <w:style w:type="paragraph" w:styleId="ListParagraph">
    <w:name w:val="List Paragraph"/>
    <w:basedOn w:val="Normal"/>
    <w:uiPriority w:val="34"/>
    <w:qFormat/>
    <w:rsid w:val="00203B4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2ED3"/>
    <w:rPr>
      <w:rFonts w:ascii="Verdana" w:hAnsi="Verdana"/>
      <w:sz w:val="20"/>
      <w:lang w:val="en-GB"/>
    </w:rPr>
  </w:style>
  <w:style w:type="paragraph" w:styleId="Heading1">
    <w:name w:val="heading 1"/>
    <w:basedOn w:val="Normal"/>
    <w:next w:val="Normal"/>
    <w:link w:val="Heading1Char"/>
    <w:uiPriority w:val="9"/>
    <w:qFormat/>
    <w:rsid w:val="003B6850"/>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B6850"/>
    <w:pPr>
      <w:keepNext/>
      <w:keepLines/>
      <w:spacing w:before="200" w:after="0"/>
      <w:outlineLvl w:val="1"/>
    </w:pPr>
    <w:rPr>
      <w:rFonts w:eastAsiaTheme="majorEastAsia"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2E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2ED3"/>
  </w:style>
  <w:style w:type="paragraph" w:styleId="Footer">
    <w:name w:val="footer"/>
    <w:basedOn w:val="Normal"/>
    <w:link w:val="FooterChar"/>
    <w:uiPriority w:val="99"/>
    <w:unhideWhenUsed/>
    <w:rsid w:val="003E2E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2ED3"/>
  </w:style>
  <w:style w:type="character" w:customStyle="1" w:styleId="Heading1Char">
    <w:name w:val="Heading 1 Char"/>
    <w:basedOn w:val="DefaultParagraphFont"/>
    <w:link w:val="Heading1"/>
    <w:uiPriority w:val="9"/>
    <w:rsid w:val="003B6850"/>
    <w:rPr>
      <w:rFonts w:ascii="Verdana" w:eastAsiaTheme="majorEastAsia" w:hAnsi="Verdana"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3B6850"/>
    <w:rPr>
      <w:rFonts w:ascii="Verdana" w:eastAsiaTheme="majorEastAsia" w:hAnsi="Verdana" w:cstheme="majorBidi"/>
      <w:b/>
      <w:bCs/>
      <w:color w:val="4F81BD" w:themeColor="accent1"/>
      <w:sz w:val="26"/>
      <w:szCs w:val="26"/>
    </w:rPr>
  </w:style>
  <w:style w:type="paragraph" w:styleId="Title">
    <w:name w:val="Title"/>
    <w:basedOn w:val="Normal"/>
    <w:next w:val="Normal"/>
    <w:link w:val="TitleChar"/>
    <w:uiPriority w:val="10"/>
    <w:qFormat/>
    <w:rsid w:val="003B6850"/>
    <w:pPr>
      <w:pBdr>
        <w:bottom w:val="single" w:sz="8" w:space="4" w:color="4F81BD" w:themeColor="accent1"/>
      </w:pBdr>
      <w:spacing w:after="300" w:line="240" w:lineRule="auto"/>
      <w:contextualSpacing/>
    </w:pPr>
    <w:rPr>
      <w:rFonts w:eastAsiaTheme="majorEastAsia"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B6850"/>
    <w:rPr>
      <w:rFonts w:ascii="Verdana" w:eastAsiaTheme="majorEastAsia" w:hAnsi="Verdan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3B6850"/>
    <w:pPr>
      <w:numPr>
        <w:ilvl w:val="1"/>
      </w:numPr>
    </w:pPr>
    <w:rPr>
      <w:rFonts w:eastAsiaTheme="majorEastAsia"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3B6850"/>
    <w:rPr>
      <w:rFonts w:ascii="Verdana" w:eastAsiaTheme="majorEastAsia" w:hAnsi="Verdana" w:cstheme="majorBidi"/>
      <w:i/>
      <w:iCs/>
      <w:color w:val="4F81BD" w:themeColor="accent1"/>
      <w:spacing w:val="15"/>
      <w:sz w:val="24"/>
      <w:szCs w:val="24"/>
    </w:rPr>
  </w:style>
  <w:style w:type="paragraph" w:styleId="ListParagraph">
    <w:name w:val="List Paragraph"/>
    <w:basedOn w:val="Normal"/>
    <w:uiPriority w:val="34"/>
    <w:qFormat/>
    <w:rsid w:val="00203B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FB3698-5082-4CC0-BAEB-EE7305608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212</Words>
  <Characters>1210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World Meteorological Organization</Company>
  <LinksUpToDate>false</LinksUpToDate>
  <CharactersWithSpaces>1420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Meeting 06</dc:creator>
  <cp:lastModifiedBy>Meeting 06</cp:lastModifiedBy>
  <cp:revision>3</cp:revision>
  <dcterms:created xsi:type="dcterms:W3CDTF">2017-11-13T15:24:00Z</dcterms:created>
  <dcterms:modified xsi:type="dcterms:W3CDTF">2017-11-13T15:50:00Z</dcterms:modified>
</cp:coreProperties>
</file>