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3F79D5" w:rsidRDefault="006E5286" w:rsidP="00AE198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Pr>
                <w:rFonts w:cstheme="minorBidi"/>
                <w:b/>
                <w:snapToGrid w:val="0"/>
                <w:color w:val="365F91" w:themeColor="accent1" w:themeShade="BF"/>
                <w:szCs w:val="22"/>
                <w:lang w:val="en-US"/>
              </w:rPr>
              <w:t xml:space="preserve">on </w:t>
            </w:r>
            <w:r w:rsidR="00AE1984">
              <w:rPr>
                <w:rFonts w:cstheme="minorBidi"/>
                <w:b/>
                <w:snapToGrid w:val="0"/>
                <w:color w:val="365F91" w:themeColor="accent1" w:themeShade="BF"/>
                <w:szCs w:val="22"/>
                <w:lang w:val="en-US"/>
              </w:rPr>
              <w:t>Communication Techniques and Systems</w:t>
            </w:r>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rsidR="00B74B70" w:rsidRPr="003F79D5" w:rsidRDefault="006E5286" w:rsidP="00AA33D3">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E</w:t>
            </w:r>
            <w:r w:rsidR="003F79D5" w:rsidRPr="003F79D5">
              <w:rPr>
                <w:rFonts w:cs="Tahoma"/>
                <w:b/>
                <w:bCs/>
                <w:color w:val="365F91" w:themeColor="accent1" w:themeShade="BF"/>
                <w:szCs w:val="22"/>
                <w:lang w:val="en-US"/>
              </w:rPr>
              <w:t>T-</w:t>
            </w:r>
            <w:r w:rsidR="00AE1984">
              <w:rPr>
                <w:rFonts w:cs="Tahoma"/>
                <w:b/>
                <w:bCs/>
                <w:color w:val="365F91" w:themeColor="accent1" w:themeShade="BF"/>
                <w:szCs w:val="22"/>
                <w:lang w:val="en-US"/>
              </w:rPr>
              <w:t>CTS</w:t>
            </w:r>
            <w:r w:rsidR="00E81D1F" w:rsidRPr="003F79D5">
              <w:rPr>
                <w:rFonts w:cs="Tahoma"/>
                <w:b/>
                <w:bCs/>
                <w:color w:val="365F91" w:themeColor="accent1" w:themeShade="BF"/>
                <w:szCs w:val="22"/>
                <w:lang w:val="en-US"/>
              </w:rPr>
              <w:t>2017</w:t>
            </w:r>
            <w:r w:rsidR="00B74B70" w:rsidRPr="003F79D5">
              <w:rPr>
                <w:rFonts w:cs="Tahoma"/>
                <w:b/>
                <w:bCs/>
                <w:color w:val="365F91" w:themeColor="accent1" w:themeShade="BF"/>
                <w:szCs w:val="22"/>
                <w:lang w:val="en-US"/>
              </w:rPr>
              <w:t>/</w:t>
            </w:r>
            <w:r w:rsidR="00E81D1F" w:rsidRPr="00AA33D3">
              <w:rPr>
                <w:rFonts w:cs="Tahoma"/>
                <w:b/>
                <w:bCs/>
                <w:color w:val="365F91" w:themeColor="accent1" w:themeShade="BF"/>
                <w:szCs w:val="22"/>
                <w:lang w:val="en-US"/>
              </w:rPr>
              <w:t>Doc</w:t>
            </w:r>
            <w:r w:rsidR="003316D9" w:rsidRPr="00AA33D3">
              <w:rPr>
                <w:rFonts w:cs="Tahoma"/>
                <w:b/>
                <w:bCs/>
                <w:color w:val="365F91" w:themeColor="accent1" w:themeShade="BF"/>
                <w:szCs w:val="22"/>
                <w:lang w:val="en-US"/>
              </w:rPr>
              <w:t xml:space="preserve"> </w:t>
            </w:r>
            <w:r w:rsidR="00E81D1F" w:rsidRPr="003F79D5">
              <w:rPr>
                <w:rFonts w:cs="Tahoma"/>
                <w:b/>
                <w:bCs/>
                <w:color w:val="365F91" w:themeColor="accent1" w:themeShade="BF"/>
                <w:szCs w:val="22"/>
                <w:lang w:val="en-US"/>
              </w:rPr>
              <w:t>-</w:t>
            </w:r>
            <w:r w:rsidR="00AA33D3">
              <w:rPr>
                <w:rFonts w:cs="Tahoma"/>
                <w:b/>
                <w:bCs/>
                <w:color w:val="365F91" w:themeColor="accent1" w:themeShade="BF"/>
                <w:szCs w:val="22"/>
                <w:lang w:val="en-US"/>
              </w:rPr>
              <w:t>3(1)</w:t>
            </w:r>
            <w:bookmarkStart w:id="0" w:name="_GoBack"/>
            <w:bookmarkEnd w:id="0"/>
          </w:p>
        </w:tc>
      </w:tr>
      <w:tr w:rsidR="00B74B70" w:rsidRPr="005D666D" w:rsidTr="00313D16">
        <w:trPr>
          <w:trHeight w:val="730"/>
        </w:trPr>
        <w:tc>
          <w:tcPr>
            <w:tcW w:w="6912" w:type="dxa"/>
            <w:vMerge/>
          </w:tcPr>
          <w:p w:rsidR="00B74B70" w:rsidRPr="003F79D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B74B70" w:rsidRPr="005D666D" w:rsidRDefault="00B74B70" w:rsidP="00C46A8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C46A86">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C46A86" w:rsidP="00E81D1F">
            <w:pPr>
              <w:spacing w:after="60"/>
              <w:ind w:right="-108"/>
              <w:jc w:val="right"/>
              <w:rPr>
                <w:rFonts w:cs="Tahoma"/>
                <w:color w:val="365F91" w:themeColor="accent1" w:themeShade="BF"/>
                <w:szCs w:val="22"/>
              </w:rPr>
            </w:pPr>
            <w:r w:rsidRPr="00C46A86">
              <w:rPr>
                <w:rFonts w:cs="Tahoma"/>
                <w:color w:val="365F91" w:themeColor="accent1" w:themeShade="BF"/>
                <w:szCs w:val="22"/>
              </w:rPr>
              <w:t>01</w:t>
            </w:r>
            <w:r w:rsidR="00B74B70" w:rsidRPr="00C46A86">
              <w:rPr>
                <w:rFonts w:cs="Tahoma"/>
                <w:color w:val="365F91" w:themeColor="accent1" w:themeShade="BF"/>
                <w:szCs w:val="22"/>
              </w:rPr>
              <w:t>.</w:t>
            </w:r>
            <w:r w:rsidR="003F79D5">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F35F35" w:rsidRDefault="00C46A86" w:rsidP="00B57573">
      <w:pPr>
        <w:pStyle w:val="Heading1"/>
        <w:jc w:val="center"/>
      </w:pPr>
      <w:r>
        <w:t>ET-CTS Report to ET-WISC, 2016</w:t>
      </w:r>
    </w:p>
    <w:p w:rsidR="00C46A86" w:rsidRPr="00C46A86" w:rsidRDefault="00C46A86" w:rsidP="00C46A86">
      <w:r>
        <w:t xml:space="preserve">Excerpt from </w:t>
      </w:r>
      <w:hyperlink r:id="rId10" w:history="1">
        <w:r w:rsidRPr="00C46A86">
          <w:rPr>
            <w:rStyle w:val="Hyperlink"/>
          </w:rPr>
          <w:t>final report of Joint ET-WISC/TT-GISC 2016</w:t>
        </w:r>
      </w:hyperlink>
      <w:r>
        <w:t>, para 64-70 (pp11)</w:t>
      </w:r>
    </w:p>
    <w:p w:rsidR="001C16A8" w:rsidRDefault="00C46A86" w:rsidP="000E3612">
      <w:pPr>
        <w:pStyle w:val="Heading2"/>
      </w:pPr>
      <w:r w:rsidRPr="00C46A86">
        <w:t>Cache management, including Cache in the cloud</w:t>
      </w:r>
    </w:p>
    <w:p w:rsidR="00C46A86" w:rsidRDefault="00C46A86" w:rsidP="00C46A86">
      <w:pPr>
        <w:pStyle w:val="BodyTextNumbered"/>
      </w:pPr>
      <w:r>
        <w:t xml:space="preserve">The meeting thanked Mr Giraud for his </w:t>
      </w:r>
      <w:hyperlink r:id="rId11" w:history="1">
        <w:r w:rsidRPr="00C46A86">
          <w:rPr>
            <w:rStyle w:val="Hyperlink"/>
          </w:rPr>
          <w:t>presentation</w:t>
        </w:r>
      </w:hyperlink>
      <w:r>
        <w:t xml:space="preserve"> (</w:t>
      </w:r>
      <w:hyperlink r:id="rId12" w:history="1">
        <w:r w:rsidRPr="00C46A86">
          <w:rPr>
            <w:rStyle w:val="Hyperlink"/>
          </w:rPr>
          <w:t>TT-GISC Doc12</w:t>
        </w:r>
      </w:hyperlink>
      <w:r>
        <w:t xml:space="preserve">) via </w:t>
      </w:r>
      <w:proofErr w:type="spellStart"/>
      <w:r>
        <w:t>Webex</w:t>
      </w:r>
      <w:proofErr w:type="spellEnd"/>
      <w:r>
        <w:t xml:space="preserve"> of documents </w:t>
      </w:r>
      <w:hyperlink r:id="rId13" w:history="1">
        <w:r w:rsidRPr="00C46A86">
          <w:rPr>
            <w:rStyle w:val="Hyperlink"/>
          </w:rPr>
          <w:t>14</w:t>
        </w:r>
      </w:hyperlink>
      <w:r>
        <w:t xml:space="preserve">, </w:t>
      </w:r>
      <w:hyperlink r:id="rId14" w:history="1">
        <w:r w:rsidRPr="00C46A86">
          <w:rPr>
            <w:rStyle w:val="Hyperlink"/>
          </w:rPr>
          <w:t>15</w:t>
        </w:r>
      </w:hyperlink>
      <w:r>
        <w:t xml:space="preserve">, </w:t>
      </w:r>
      <w:hyperlink r:id="rId15" w:history="1">
        <w:r w:rsidRPr="00C46A86">
          <w:rPr>
            <w:rStyle w:val="Hyperlink"/>
          </w:rPr>
          <w:t>16</w:t>
        </w:r>
      </w:hyperlink>
      <w:r>
        <w:t xml:space="preserve"> and </w:t>
      </w:r>
      <w:hyperlink r:id="rId16" w:history="1">
        <w:r w:rsidRPr="00C46A86">
          <w:rPr>
            <w:rStyle w:val="Hyperlink"/>
          </w:rPr>
          <w:t>17</w:t>
        </w:r>
      </w:hyperlink>
      <w:r>
        <w:t xml:space="preserve"> from the </w:t>
      </w:r>
      <w:hyperlink r:id="rId17" w:history="1">
        <w:r w:rsidRPr="00C46A86">
          <w:rPr>
            <w:rStyle w:val="Hyperlink"/>
          </w:rPr>
          <w:t>ET-CTS/2016</w:t>
        </w:r>
      </w:hyperlink>
      <w:r>
        <w:t xml:space="preserve"> on the cache in and through the cloud pilot activity. It expressed its appreciation to those involved in the pilot on Cache in or through the Cloud. ET-WISC, including TT-GISC, noted the success of the pilot and the results of the survey. </w:t>
      </w:r>
    </w:p>
    <w:p w:rsidR="00C46A86" w:rsidRDefault="00C46A86" w:rsidP="00C46A86">
      <w:pPr>
        <w:pStyle w:val="BodyTextNumbered"/>
      </w:pPr>
      <w:r>
        <w:t>TT-GISC thanked ECMWF, the participating GISCs and the technical team in charge of the project. It recommended to keep the pilot up and running for the time being, recognizing that the “cache in the cloud” was a very promising solution to facilitate the exchange of data for the 24h cache between all the GISCs (noting that some GISCs are presently restricted to uploading only Res40 essential)</w:t>
      </w:r>
    </w:p>
    <w:p w:rsidR="00C46A86" w:rsidRDefault="00C46A86" w:rsidP="00C46A86">
      <w:pPr>
        <w:pStyle w:val="BodyTextNumbered"/>
      </w:pPr>
      <w:r>
        <w:t>The meeting considered that the pilot was successful and had proved that such a solution was technically very appropriate. It welcomed the result of the questionnaire as a majority of answers considered the “cache in and through the cloud” an acceptable solution in terms of data policy, in particular for Essential Data from Resolution 40. Furthermore, the meeting considered that the answers to the questionnaire along with the free comments showed that there was no identified show stopper against this solution</w:t>
      </w:r>
    </w:p>
    <w:p w:rsidR="00C46A86" w:rsidRDefault="00C46A86" w:rsidP="00C46A86">
      <w:pPr>
        <w:pStyle w:val="BodyTextNumbered"/>
      </w:pPr>
      <w:r>
        <w:t>The meeting noted that the pilot nevertheless posed some very fundamental questions (such as funding, management) that will require further investigation.</w:t>
      </w:r>
    </w:p>
    <w:p w:rsidR="00C46A86" w:rsidRDefault="00C46A86" w:rsidP="00C46A86">
      <w:pPr>
        <w:pStyle w:val="BodyTextNumbered"/>
      </w:pPr>
      <w:r>
        <w:t>The chair of ET-WISC asked the Chair of ET-CTS to present the findings to the upcoming ICT-ISS meeting with the view that the “cache in and through the cloud” (including the required additional redundancy aspects) would be a viable solution (technically) to ensure the required 24h cache function.</w:t>
      </w:r>
    </w:p>
    <w:p w:rsidR="00C46A86" w:rsidRDefault="00C46A86" w:rsidP="00C46A86">
      <w:pPr>
        <w:pStyle w:val="BodyTextNumbered"/>
      </w:pPr>
      <w:r>
        <w:t>The meeting noted that Target solution should be scalable and should not rely on one host. Should be based on technical functionality and reliability. It should address security and other related risks such as denial of service attacks</w:t>
      </w:r>
    </w:p>
    <w:p w:rsidR="00C46A86" w:rsidRPr="00C46A86" w:rsidRDefault="00C46A86" w:rsidP="00C46A86">
      <w:pPr>
        <w:pStyle w:val="BodyTextNumbered"/>
        <w:rPr>
          <w:rFonts w:hint="eastAsia"/>
        </w:rPr>
      </w:pPr>
      <w:r>
        <w:t xml:space="preserve">TT-GISC decided, as a consequence, to establish a working group </w:t>
      </w:r>
      <w:proofErr w:type="spellStart"/>
      <w:r>
        <w:t>lead</w:t>
      </w:r>
      <w:proofErr w:type="spellEnd"/>
      <w:r>
        <w:t xml:space="preserve"> by </w:t>
      </w:r>
      <w:proofErr w:type="spellStart"/>
      <w:r>
        <w:t>Meteo</w:t>
      </w:r>
      <w:proofErr w:type="spellEnd"/>
      <w:r>
        <w:t xml:space="preserve"> France and including the following experts UK, Republic of Korea, Japan, China, (Others can join later) tasked to prepare the requirements, to define the potential architecture, to prepare a workable financial and manageable solution, and to establish the required elements for the implementation of an operational service starting in mid-2018 at the latest. The conclusions of this working group are expected in 2017. (Extension of action item 14/1-12)</w:t>
      </w:r>
    </w:p>
    <w:p w:rsidR="003F79D5" w:rsidRDefault="003F79D5" w:rsidP="003F79D5">
      <w:pPr>
        <w:pStyle w:val="BodyText"/>
        <w:jc w:val="center"/>
      </w:pPr>
      <w:r w:rsidRPr="00FF65B9">
        <w:t>____________</w:t>
      </w:r>
    </w:p>
    <w:p w:rsidR="00B57573" w:rsidRPr="00FF65B9" w:rsidRDefault="00B57573" w:rsidP="00B97253"/>
    <w:sectPr w:rsidR="00B57573" w:rsidRPr="00FF65B9" w:rsidSect="001C16A8">
      <w:headerReference w:type="first" r:id="rId18"/>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A86" w:rsidRDefault="00C46A86">
      <w:r>
        <w:separator/>
      </w:r>
    </w:p>
    <w:p w:rsidR="00C46A86" w:rsidRDefault="00C46A86"/>
  </w:endnote>
  <w:endnote w:type="continuationSeparator" w:id="0">
    <w:p w:rsidR="00C46A86" w:rsidRDefault="00C46A86">
      <w:r>
        <w:continuationSeparator/>
      </w:r>
    </w:p>
    <w:p w:rsidR="00C46A86" w:rsidRDefault="00C46A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A86" w:rsidRDefault="00C46A86">
      <w:r>
        <w:separator/>
      </w:r>
    </w:p>
    <w:p w:rsidR="00C46A86" w:rsidRDefault="00C46A86"/>
  </w:footnote>
  <w:footnote w:type="continuationSeparator" w:id="0">
    <w:p w:rsidR="00C46A86" w:rsidRDefault="00C46A86">
      <w:r>
        <w:continuationSeparator/>
      </w:r>
    </w:p>
    <w:p w:rsidR="00C46A86" w:rsidRDefault="00C46A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7DBC2510"/>
    <w:lvl w:ilvl="0">
      <w:start w:val="64"/>
      <w:numFmt w:val="decimal"/>
      <w:pStyle w:val="BodyTextNumbered"/>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 w:numId="45">
    <w:abstractNumId w:val="36"/>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A86"/>
    <w:rsid w:val="00002465"/>
    <w:rsid w:val="000048B5"/>
    <w:rsid w:val="000104BD"/>
    <w:rsid w:val="0001212F"/>
    <w:rsid w:val="000135F6"/>
    <w:rsid w:val="0001708F"/>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069A6"/>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3F79D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E5286"/>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A33D3"/>
    <w:rsid w:val="00AB119C"/>
    <w:rsid w:val="00AB564C"/>
    <w:rsid w:val="00AB7157"/>
    <w:rsid w:val="00AC551F"/>
    <w:rsid w:val="00AD3B62"/>
    <w:rsid w:val="00AD49F1"/>
    <w:rsid w:val="00AE1984"/>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7573"/>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6A86"/>
    <w:rsid w:val="00C47922"/>
    <w:rsid w:val="00C61349"/>
    <w:rsid w:val="00C615EF"/>
    <w:rsid w:val="00C628FD"/>
    <w:rsid w:val="00C7132E"/>
    <w:rsid w:val="00C729BB"/>
    <w:rsid w:val="00C739BA"/>
    <w:rsid w:val="00C75290"/>
    <w:rsid w:val="00C77223"/>
    <w:rsid w:val="00C8640B"/>
    <w:rsid w:val="00C86575"/>
    <w:rsid w:val="00C90640"/>
    <w:rsid w:val="00C91C67"/>
    <w:rsid w:val="00C96AE6"/>
    <w:rsid w:val="00C974A5"/>
    <w:rsid w:val="00CA0423"/>
    <w:rsid w:val="00CB6DF9"/>
    <w:rsid w:val="00CC23C9"/>
    <w:rsid w:val="00CD47BE"/>
    <w:rsid w:val="00D01387"/>
    <w:rsid w:val="00D02FA8"/>
    <w:rsid w:val="00D17948"/>
    <w:rsid w:val="00D22E8A"/>
    <w:rsid w:val="00D35ABB"/>
    <w:rsid w:val="00D35E7B"/>
    <w:rsid w:val="00D37E35"/>
    <w:rsid w:val="00D70B08"/>
    <w:rsid w:val="00D733B4"/>
    <w:rsid w:val="00D9579B"/>
    <w:rsid w:val="00DB1BA5"/>
    <w:rsid w:val="00DB3060"/>
    <w:rsid w:val="00DD1C37"/>
    <w:rsid w:val="00DD4013"/>
    <w:rsid w:val="00DF04C7"/>
    <w:rsid w:val="00E106FE"/>
    <w:rsid w:val="00E40C83"/>
    <w:rsid w:val="00E43CAF"/>
    <w:rsid w:val="00E6623A"/>
    <w:rsid w:val="00E81D1F"/>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file=2491"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is.wmo.int/file=2587" TargetMode="External"/><Relationship Id="rId17" Type="http://schemas.openxmlformats.org/officeDocument/2006/relationships/hyperlink" Target="http://wis.wmo.int/page=et-cts-2016-m1" TargetMode="External"/><Relationship Id="rId2" Type="http://schemas.openxmlformats.org/officeDocument/2006/relationships/numbering" Target="numbering.xml"/><Relationship Id="rId16" Type="http://schemas.openxmlformats.org/officeDocument/2006/relationships/hyperlink" Target="http://wis.wmo.int/file=249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file=2625" TargetMode="External"/><Relationship Id="rId5" Type="http://schemas.openxmlformats.org/officeDocument/2006/relationships/settings" Target="settings.xml"/><Relationship Id="rId15" Type="http://schemas.openxmlformats.org/officeDocument/2006/relationships/hyperlink" Target="http://wis.wmo.int/file=2497" TargetMode="External"/><Relationship Id="rId10" Type="http://schemas.openxmlformats.org/officeDocument/2006/relationships/hyperlink" Target="http://wis.wmo.int/file=2987"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is.wmo.int/file=249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wmo.int\UserData\Redirected\jtandy\Downloads\ET-CTS2017-doc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88494-83CA-41D4-BC23-A8E5E5C78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ET-CTS2017-docXX-template</Template>
  <TotalTime>26</TotalTime>
  <Pages>1</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3247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Tandy</dc:creator>
  <cp:lastModifiedBy>Jeremy Tandy</cp:lastModifiedBy>
  <cp:revision>1</cp:revision>
  <cp:lastPrinted>2012-03-15T15:21:00Z</cp:lastPrinted>
  <dcterms:created xsi:type="dcterms:W3CDTF">2017-11-01T09:54:00Z</dcterms:created>
  <dcterms:modified xsi:type="dcterms:W3CDTF">2017-11-01T10:41:00Z</dcterms:modified>
</cp:coreProperties>
</file>