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912"/>
        <w:gridCol w:w="2977"/>
      </w:tblGrid>
      <w:tr w:rsidR="00B74B70" w:rsidRPr="00636B90" w:rsidTr="00313D16">
        <w:trPr>
          <w:trHeight w:val="282"/>
        </w:trPr>
        <w:tc>
          <w:tcPr>
            <w:tcW w:w="6912" w:type="dxa"/>
            <w:vMerge w:val="restart"/>
          </w:tcPr>
          <w:p w:rsidR="00B74B70" w:rsidRPr="005D666D" w:rsidRDefault="00B74B70" w:rsidP="00313D16">
            <w:pPr>
              <w:tabs>
                <w:tab w:val="left" w:pos="6946"/>
              </w:tabs>
              <w:suppressAutoHyphens/>
              <w:spacing w:after="120" w:line="252" w:lineRule="auto"/>
              <w:ind w:left="1134"/>
              <w:rPr>
                <w:rFonts w:cs="Tahoma"/>
                <w:b/>
                <w:bCs/>
                <w:color w:val="365F91" w:themeColor="accent1" w:themeShade="BF"/>
                <w:szCs w:val="22"/>
              </w:rPr>
            </w:pPr>
            <w:r w:rsidRPr="005D666D">
              <w:rPr>
                <w:noProof/>
                <w:color w:val="365F91" w:themeColor="accent1" w:themeShade="BF"/>
                <w:szCs w:val="22"/>
                <w:lang w:eastAsia="zh-CN"/>
              </w:rPr>
              <w:drawing>
                <wp:anchor distT="0" distB="0" distL="114300" distR="114300" simplePos="0" relativeHeight="251659264" behindDoc="1" locked="1" layoutInCell="1" allowOverlap="1" wp14:anchorId="13C0F637" wp14:editId="6CB24C4F">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ahoma"/>
                <w:b/>
                <w:bCs/>
                <w:color w:val="365F91" w:themeColor="accent1" w:themeShade="BF"/>
                <w:szCs w:val="22"/>
              </w:rPr>
              <w:t>World Meteorological Organization</w:t>
            </w:r>
          </w:p>
          <w:p w:rsidR="00B74B70" w:rsidRPr="005D666D" w:rsidRDefault="00B74B70" w:rsidP="00313D16">
            <w:pPr>
              <w:tabs>
                <w:tab w:val="left" w:pos="6946"/>
              </w:tabs>
              <w:suppressAutoHyphens/>
              <w:spacing w:after="120" w:line="252" w:lineRule="auto"/>
              <w:ind w:left="1134"/>
              <w:rPr>
                <w:rFonts w:cs="Tahoma"/>
                <w:b/>
                <w:color w:val="365F91" w:themeColor="accent1" w:themeShade="BF"/>
                <w:spacing w:val="-2"/>
                <w:szCs w:val="22"/>
              </w:rPr>
            </w:pPr>
            <w:r>
              <w:rPr>
                <w:rFonts w:cs="Tahoma"/>
                <w:b/>
                <w:color w:val="365F91" w:themeColor="accent1" w:themeShade="BF"/>
                <w:spacing w:val="-2"/>
                <w:szCs w:val="22"/>
              </w:rPr>
              <w:t>COMMISSION FOR BASIC SYSTEMS</w:t>
            </w:r>
          </w:p>
          <w:p w:rsidR="00B74B70" w:rsidRPr="000727DC" w:rsidRDefault="000727DC" w:rsidP="00313D16">
            <w:pPr>
              <w:tabs>
                <w:tab w:val="left" w:pos="6946"/>
              </w:tabs>
              <w:suppressAutoHyphens/>
              <w:spacing w:after="120" w:line="252" w:lineRule="auto"/>
              <w:ind w:left="1134"/>
              <w:rPr>
                <w:rFonts w:cstheme="minorBidi"/>
                <w:b/>
                <w:snapToGrid w:val="0"/>
                <w:color w:val="365F91" w:themeColor="accent1" w:themeShade="BF"/>
                <w:szCs w:val="22"/>
              </w:rPr>
            </w:pPr>
            <w:r w:rsidRPr="000727DC">
              <w:rPr>
                <w:rFonts w:cstheme="minorBidi"/>
                <w:b/>
                <w:snapToGrid w:val="0"/>
                <w:color w:val="365F91" w:themeColor="accent1" w:themeShade="BF"/>
                <w:szCs w:val="22"/>
              </w:rPr>
              <w:t>Task Team on Aviation XML</w:t>
            </w:r>
          </w:p>
          <w:p w:rsidR="00B74B70" w:rsidRPr="005D666D" w:rsidRDefault="000727DC" w:rsidP="000727DC">
            <w:pPr>
              <w:tabs>
                <w:tab w:val="left" w:pos="6946"/>
              </w:tabs>
              <w:suppressAutoHyphens/>
              <w:spacing w:after="120" w:line="252" w:lineRule="auto"/>
              <w:ind w:left="1134"/>
              <w:rPr>
                <w:rFonts w:cs="Tahoma"/>
                <w:b/>
                <w:bCs/>
                <w:color w:val="365F91" w:themeColor="accent1" w:themeShade="BF"/>
                <w:szCs w:val="22"/>
              </w:rPr>
            </w:pPr>
            <w:r w:rsidRPr="000727DC">
              <w:rPr>
                <w:rFonts w:cstheme="minorBidi"/>
                <w:b/>
                <w:snapToGrid w:val="0"/>
                <w:color w:val="365F91" w:themeColor="accent1" w:themeShade="BF"/>
                <w:szCs w:val="22"/>
              </w:rPr>
              <w:t>TT-AvXML-6</w:t>
            </w:r>
            <w:r w:rsidR="00B74B70" w:rsidRPr="000727DC">
              <w:rPr>
                <w:rFonts w:cstheme="minorBidi"/>
                <w:b/>
                <w:snapToGrid w:val="0"/>
                <w:color w:val="365F91" w:themeColor="accent1" w:themeShade="BF"/>
                <w:szCs w:val="22"/>
              </w:rPr>
              <w:br/>
            </w:r>
            <w:r w:rsidRPr="000727DC">
              <w:rPr>
                <w:snapToGrid w:val="0"/>
                <w:color w:val="365F91" w:themeColor="accent1" w:themeShade="BF"/>
                <w:szCs w:val="22"/>
              </w:rPr>
              <w:t>Hong Kong, China</w:t>
            </w:r>
            <w:r w:rsidR="00B74B70" w:rsidRPr="000727DC">
              <w:rPr>
                <w:snapToGrid w:val="0"/>
                <w:color w:val="365F91" w:themeColor="accent1" w:themeShade="BF"/>
                <w:szCs w:val="22"/>
              </w:rPr>
              <w:t xml:space="preserve">, </w:t>
            </w:r>
            <w:r w:rsidRPr="000727DC">
              <w:rPr>
                <w:snapToGrid w:val="0"/>
                <w:color w:val="365F91" w:themeColor="accent1" w:themeShade="BF"/>
                <w:szCs w:val="22"/>
              </w:rPr>
              <w:t>13-15 October 2017</w:t>
            </w:r>
          </w:p>
        </w:tc>
        <w:tc>
          <w:tcPr>
            <w:tcW w:w="2977" w:type="dxa"/>
          </w:tcPr>
          <w:p w:rsidR="00B74B70" w:rsidRPr="00F61675" w:rsidRDefault="000727DC" w:rsidP="00D31B88">
            <w:pPr>
              <w:spacing w:after="60"/>
              <w:ind w:right="-108"/>
              <w:jc w:val="right"/>
              <w:rPr>
                <w:rFonts w:cs="Tahoma"/>
                <w:b/>
                <w:bCs/>
                <w:color w:val="365F91" w:themeColor="accent1" w:themeShade="BF"/>
                <w:szCs w:val="22"/>
                <w:lang w:val="fr-CH"/>
              </w:rPr>
            </w:pPr>
            <w:r w:rsidRPr="000727DC">
              <w:rPr>
                <w:rFonts w:cs="Tahoma"/>
                <w:b/>
                <w:bCs/>
                <w:color w:val="365F91" w:themeColor="accent1" w:themeShade="BF"/>
                <w:szCs w:val="22"/>
                <w:lang w:val="fr-CH"/>
              </w:rPr>
              <w:t>TT-AvAML-6</w:t>
            </w:r>
            <w:r w:rsidR="00B74B70" w:rsidRPr="000727DC">
              <w:rPr>
                <w:rFonts w:cs="Tahoma"/>
                <w:b/>
                <w:bCs/>
                <w:color w:val="365F91" w:themeColor="accent1" w:themeShade="BF"/>
                <w:szCs w:val="22"/>
                <w:lang w:val="fr-CH"/>
              </w:rPr>
              <w:t>/</w:t>
            </w:r>
            <w:r w:rsidR="00D31B88">
              <w:rPr>
                <w:rFonts w:cs="Tahoma"/>
                <w:b/>
                <w:bCs/>
                <w:color w:val="365F91" w:themeColor="accent1" w:themeShade="BF"/>
                <w:szCs w:val="22"/>
                <w:lang w:val="fr-CH"/>
              </w:rPr>
              <w:t>Doc 7.1</w:t>
            </w:r>
          </w:p>
        </w:tc>
      </w:tr>
      <w:tr w:rsidR="00B74B70" w:rsidRPr="005D666D" w:rsidTr="00313D16">
        <w:trPr>
          <w:trHeight w:val="730"/>
        </w:trPr>
        <w:tc>
          <w:tcPr>
            <w:tcW w:w="6912" w:type="dxa"/>
            <w:vMerge/>
          </w:tcPr>
          <w:p w:rsidR="00B74B70" w:rsidRPr="00993581" w:rsidRDefault="00B74B70" w:rsidP="00313D16">
            <w:pPr>
              <w:tabs>
                <w:tab w:val="left" w:pos="6946"/>
              </w:tabs>
              <w:suppressAutoHyphens/>
              <w:spacing w:after="120" w:line="252" w:lineRule="auto"/>
              <w:ind w:left="1134"/>
              <w:rPr>
                <w:noProof/>
                <w:color w:val="365F91" w:themeColor="accent1" w:themeShade="BF"/>
                <w:szCs w:val="22"/>
                <w:lang w:val="fr-CH" w:eastAsia="zh-CN"/>
              </w:rPr>
            </w:pPr>
          </w:p>
        </w:tc>
        <w:tc>
          <w:tcPr>
            <w:tcW w:w="2977" w:type="dxa"/>
          </w:tcPr>
          <w:p w:rsidR="00B74B70" w:rsidRPr="005D666D" w:rsidRDefault="00B74B70" w:rsidP="00D31B88">
            <w:pPr>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r w:rsidR="00D31B88">
              <w:rPr>
                <w:rFonts w:cs="Tahoma"/>
                <w:color w:val="365F91" w:themeColor="accent1" w:themeShade="BF"/>
                <w:szCs w:val="22"/>
              </w:rPr>
              <w:t>Secretariat</w:t>
            </w:r>
            <w:r w:rsidRPr="005D666D">
              <w:rPr>
                <w:rFonts w:cs="Tahoma"/>
                <w:color w:val="365F91" w:themeColor="accent1" w:themeShade="BF"/>
                <w:szCs w:val="22"/>
              </w:rPr>
              <w:t xml:space="preserve"> </w:t>
            </w:r>
          </w:p>
          <w:p w:rsidR="00B74B70" w:rsidRPr="005D666D" w:rsidRDefault="00C13CC1" w:rsidP="00313D16">
            <w:pPr>
              <w:spacing w:after="60"/>
              <w:ind w:right="-108"/>
              <w:jc w:val="right"/>
              <w:rPr>
                <w:rFonts w:cs="Tahoma"/>
                <w:color w:val="365F91" w:themeColor="accent1" w:themeShade="BF"/>
                <w:szCs w:val="22"/>
              </w:rPr>
            </w:pPr>
            <w:r>
              <w:rPr>
                <w:rFonts w:cs="Tahoma"/>
                <w:color w:val="365F91" w:themeColor="accent1" w:themeShade="BF"/>
                <w:szCs w:val="22"/>
              </w:rPr>
              <w:t>14.AUG.2016</w:t>
            </w:r>
          </w:p>
          <w:p w:rsidR="00B74B70" w:rsidRPr="00DF1240" w:rsidRDefault="00B74B70" w:rsidP="00313D16">
            <w:pPr>
              <w:spacing w:after="60"/>
              <w:ind w:right="-108"/>
              <w:jc w:val="right"/>
              <w:rPr>
                <w:rFonts w:cs="Tahoma"/>
                <w:b/>
                <w:bCs/>
                <w:color w:val="365F91" w:themeColor="accent1" w:themeShade="BF"/>
                <w:szCs w:val="22"/>
                <w:lang w:val="en-US"/>
              </w:rPr>
            </w:pPr>
          </w:p>
        </w:tc>
      </w:tr>
    </w:tbl>
    <w:p w:rsidR="00D22E8A" w:rsidRPr="00FF65B9" w:rsidRDefault="00D22E8A" w:rsidP="00415F4C"/>
    <w:p w:rsidR="00480313" w:rsidRPr="00FF65B9" w:rsidRDefault="00D31B88" w:rsidP="00C13CC1">
      <w:pPr>
        <w:pStyle w:val="Heading1"/>
        <w:jc w:val="center"/>
      </w:pPr>
      <w:r>
        <w:t>Governance of IWXX</w:t>
      </w:r>
      <w:r w:rsidR="00C13CC1">
        <w:t>M</w:t>
      </w:r>
    </w:p>
    <w:p w:rsidR="00F35F35" w:rsidRDefault="000727DC" w:rsidP="00D31B88">
      <w:pPr>
        <w:pStyle w:val="Heading2"/>
        <w:rPr>
          <w:rFonts w:hint="eastAsia"/>
        </w:rPr>
      </w:pPr>
      <w:r>
        <w:t>Issue that the decision in the document addresses</w:t>
      </w:r>
    </w:p>
    <w:p w:rsidR="000727DC" w:rsidRDefault="00D31B88" w:rsidP="00D31B88">
      <w:pPr>
        <w:pStyle w:val="BodyTextNumbered"/>
      </w:pPr>
      <w:r>
        <w:t xml:space="preserve">The third meeting of the ICAO </w:t>
      </w:r>
      <w:proofErr w:type="spellStart"/>
      <w:r>
        <w:t>MetP</w:t>
      </w:r>
      <w:proofErr w:type="spellEnd"/>
      <w:r>
        <w:t xml:space="preserve">/WG-MIE (Met Panel Working Group in Meteorological Information Exchange, 10-13 July 2017; WG-MIE-3 </w:t>
      </w:r>
      <w:r>
        <w:fldChar w:fldCharType="begin"/>
      </w:r>
      <w:r>
        <w:instrText xml:space="preserve"> REF Ref1 \h </w:instrText>
      </w:r>
      <w:r>
        <w:fldChar w:fldCharType="separate"/>
      </w:r>
      <w:r>
        <w:t>[1]</w:t>
      </w:r>
      <w:r>
        <w:fldChar w:fldCharType="end"/>
      </w:r>
      <w:r>
        <w:t>) was informed that the aviation industry was not clear on how requirements for IWXXM were set or on the governance process for new versions. This had triggered a proposal for a “change control board” to control IWXXM in the same way as the other exchange models. In contrast to this, the ICAO IMP/WG-G (Information Management Panel Working Group on Governance) was seeking ways to strengthen intergovernmental governance of the exchange models.</w:t>
      </w:r>
    </w:p>
    <w:p w:rsidR="00D31B88" w:rsidRPr="000727DC" w:rsidRDefault="00D31B88" w:rsidP="00D31B88">
      <w:pPr>
        <w:pStyle w:val="BodyTextNumbered"/>
      </w:pPr>
      <w:r>
        <w:t>In order to reconcile these viewpoints, WG-MIE-3 asked TT-</w:t>
      </w:r>
      <w:proofErr w:type="spellStart"/>
      <w:r>
        <w:t>AvXML</w:t>
      </w:r>
      <w:proofErr w:type="spellEnd"/>
      <w:r>
        <w:t xml:space="preserve"> to provide a document on IWXXM governance that could be used to explain the procedures to those unfamiliar with them.</w:t>
      </w:r>
    </w:p>
    <w:p w:rsidR="000727DC" w:rsidRDefault="000727DC" w:rsidP="000727DC">
      <w:pPr>
        <w:pStyle w:val="Heading2"/>
        <w:rPr>
          <w:rFonts w:hint="eastAsia"/>
        </w:rPr>
      </w:pPr>
      <w:r>
        <w:t>Recommended pro</w:t>
      </w:r>
      <w:r w:rsidR="00D31B88">
        <w:t>P</w:t>
      </w:r>
      <w:r>
        <w:t>osal</w:t>
      </w:r>
    </w:p>
    <w:p w:rsidR="000727DC" w:rsidRPr="000727DC" w:rsidRDefault="00D31B88" w:rsidP="000727DC">
      <w:pPr>
        <w:pStyle w:val="Decision"/>
      </w:pPr>
      <w:r>
        <w:t>TT-</w:t>
      </w:r>
      <w:proofErr w:type="spellStart"/>
      <w:r>
        <w:t>AvXML</w:t>
      </w:r>
      <w:proofErr w:type="spellEnd"/>
      <w:r>
        <w:t xml:space="preserve"> recommended to the WMO secretariat that the text in the Annex describing the governance procedures for IWXXM should be offered to WG-MIE and placed on the WIS wiki. </w:t>
      </w:r>
    </w:p>
    <w:p w:rsidR="000727DC" w:rsidRDefault="000727DC" w:rsidP="000727DC">
      <w:pPr>
        <w:pStyle w:val="BodyText"/>
        <w:rPr>
          <w:lang w:eastAsia="ja-JP"/>
        </w:rPr>
      </w:pPr>
    </w:p>
    <w:p w:rsidR="000727DC" w:rsidRDefault="000727DC" w:rsidP="00D31B88">
      <w:pPr>
        <w:pStyle w:val="BodyText"/>
        <w:rPr>
          <w:lang w:eastAsia="ja-JP"/>
        </w:rPr>
      </w:pPr>
      <w:r>
        <w:rPr>
          <w:lang w:eastAsia="ja-JP"/>
        </w:rPr>
        <w:t xml:space="preserve">Annexes: </w:t>
      </w:r>
      <w:r w:rsidR="00D31B88">
        <w:rPr>
          <w:lang w:eastAsia="ja-JP"/>
        </w:rPr>
        <w:t>1</w:t>
      </w:r>
    </w:p>
    <w:p w:rsidR="00E131E1" w:rsidRDefault="00E131E1" w:rsidP="00E131E1">
      <w:pPr>
        <w:pStyle w:val="Heading2"/>
        <w:rPr>
          <w:rFonts w:hint="eastAsia"/>
        </w:rPr>
      </w:pPr>
      <w:r>
        <w:t>References</w:t>
      </w:r>
    </w:p>
    <w:p w:rsidR="00E131E1" w:rsidRDefault="00E131E1" w:rsidP="00D31B88">
      <w:pPr>
        <w:pStyle w:val="BodyText"/>
      </w:pPr>
      <w:bookmarkStart w:id="0" w:name="Ref1"/>
      <w:r>
        <w:t>[</w:t>
      </w:r>
      <w:r w:rsidR="00D31B88">
        <w:t>1</w:t>
      </w:r>
      <w:r>
        <w:t>]</w:t>
      </w:r>
      <w:bookmarkEnd w:id="0"/>
      <w:r>
        <w:tab/>
      </w:r>
      <w:r w:rsidR="00D31B88">
        <w:t>Minutes of ICAO WG-MIE-3.</w:t>
      </w:r>
    </w:p>
    <w:p w:rsidR="00E131E1" w:rsidRDefault="00E131E1" w:rsidP="00E131E1"/>
    <w:p w:rsidR="00E131E1" w:rsidRDefault="00E131E1" w:rsidP="00D31B88">
      <w:pPr>
        <w:pStyle w:val="Heading2"/>
        <w:rPr>
          <w:rFonts w:hint="eastAsia"/>
        </w:rPr>
      </w:pPr>
      <w:r>
        <w:t>________</w:t>
      </w:r>
      <w:r w:rsidR="000727DC">
        <w:br w:type="page"/>
      </w:r>
      <w:r>
        <w:lastRenderedPageBreak/>
        <w:t xml:space="preserve">Annex </w:t>
      </w:r>
      <w:r w:rsidR="00D31B88">
        <w:t>1: Governance of IWXXM</w:t>
      </w:r>
    </w:p>
    <w:p w:rsidR="00C13CC1" w:rsidRDefault="00C13CC1" w:rsidP="002751FD">
      <w:pPr>
        <w:pStyle w:val="Heading3"/>
      </w:pPr>
      <w:r>
        <w:t>Summary</w:t>
      </w:r>
    </w:p>
    <w:p w:rsidR="00C13CC1" w:rsidRDefault="00C13CC1" w:rsidP="00C13CC1">
      <w:pPr>
        <w:pStyle w:val="BodyText"/>
      </w:pPr>
      <w:r>
        <w:t>There are three sources of requirements to represent information that might need an amendment to the definition of IWXXM:</w:t>
      </w:r>
    </w:p>
    <w:p w:rsidR="00C13CC1" w:rsidRDefault="00C13CC1" w:rsidP="00C13CC1">
      <w:pPr>
        <w:pStyle w:val="WMOResList1"/>
      </w:pPr>
      <w:r>
        <w:t>a.</w:t>
      </w:r>
      <w:r>
        <w:tab/>
      </w:r>
      <w:r>
        <w:t>Changed requirements on data representations built on METCE (such as IWXXM);</w:t>
      </w:r>
    </w:p>
    <w:p w:rsidR="00C13CC1" w:rsidRDefault="00C13CC1" w:rsidP="00C13CC1">
      <w:pPr>
        <w:pStyle w:val="WMOResList1"/>
      </w:pPr>
      <w:r>
        <w:t>b.</w:t>
      </w:r>
      <w:r>
        <w:tab/>
      </w:r>
      <w:r>
        <w:t>New requirements for representations identified by WMO and partner programmes;</w:t>
      </w:r>
    </w:p>
    <w:p w:rsidR="00C13CC1" w:rsidRDefault="00C13CC1" w:rsidP="00C13CC1">
      <w:pPr>
        <w:pStyle w:val="WMOResList1"/>
      </w:pPr>
      <w:r>
        <w:t>c.</w:t>
      </w:r>
      <w:r>
        <w:tab/>
      </w:r>
      <w:r>
        <w:t>Requirements from the user community that are notified through their national Codes and Data Representation Matters focal point (see the list</w:t>
      </w:r>
      <w:r>
        <w:t xml:space="preserve"> of focal points</w:t>
      </w:r>
      <w:r>
        <w:t xml:space="preserve"> at </w:t>
      </w:r>
      <w:hyperlink r:id="rId10" w:history="1">
        <w:r w:rsidRPr="00C13CC1">
          <w:rPr>
            <w:rStyle w:val="Hyperlink"/>
          </w:rPr>
          <w:t>https://wis.wmo.int/FPcdrm</w:t>
        </w:r>
      </w:hyperlink>
      <w:r>
        <w:t>).</w:t>
      </w:r>
    </w:p>
    <w:p w:rsidR="00C13CC1" w:rsidRPr="00C13CC1" w:rsidRDefault="00C13CC1" w:rsidP="00C13CC1">
      <w:pPr>
        <w:pStyle w:val="BodyText"/>
      </w:pPr>
      <w:r>
        <w:t>An expert team designated by the WMO Commission for Basic Systems assesses the requirements and, if appropriate,  proposes amendments to IWXXM to satisfy them. Those proposed amendments are approved using the WMO inter-governmental approvals procedures that involves all governments that have stated their intention to participate in the work of the Commission for Basic Syste</w:t>
      </w:r>
      <w:bookmarkStart w:id="1" w:name="_GoBack"/>
      <w:bookmarkEnd w:id="1"/>
      <w:r>
        <w:t xml:space="preserve">ms. </w:t>
      </w:r>
    </w:p>
    <w:p w:rsidR="00E131E1" w:rsidRDefault="002751FD" w:rsidP="002751FD">
      <w:pPr>
        <w:pStyle w:val="Heading3"/>
      </w:pPr>
      <w:r>
        <w:t>Objective of IWXXM</w:t>
      </w:r>
    </w:p>
    <w:p w:rsidR="002751FD" w:rsidRPr="002751FD" w:rsidRDefault="002751FD" w:rsidP="00907B1B">
      <w:pPr>
        <w:pStyle w:val="BodyTextNumbered"/>
        <w:numPr>
          <w:ilvl w:val="0"/>
          <w:numId w:val="47"/>
        </w:numPr>
      </w:pPr>
      <w:r>
        <w:t xml:space="preserve">IWXXM, the ICAO meteorological information exchange model, is intended to facilitate the exchange of meteorological information in support of international civil aviation. The first two versions, IWXXM 1.2 and IWXXM 2.1, implemented XML </w:t>
      </w:r>
      <w:r w:rsidR="00907B1B">
        <w:t>equivalents to</w:t>
      </w:r>
      <w:r>
        <w:t xml:space="preserve"> “traditional alphanumeric code” representations that </w:t>
      </w:r>
      <w:r w:rsidR="00C13CC1">
        <w:t xml:space="preserve">are </w:t>
      </w:r>
      <w:r>
        <w:t>defined in WMO</w:t>
      </w:r>
      <w:r>
        <w:noBreakHyphen/>
        <w:t xml:space="preserve">No. 306 </w:t>
      </w:r>
      <w:r w:rsidRPr="0068044E">
        <w:rPr>
          <w:i/>
          <w:iCs/>
        </w:rPr>
        <w:t>Manual on Codes</w:t>
      </w:r>
      <w:r>
        <w:t xml:space="preserve"> and whose use is specified </w:t>
      </w:r>
      <w:r w:rsidR="00907B1B">
        <w:t>within</w:t>
      </w:r>
      <w:r>
        <w:t xml:space="preserve"> provisions </w:t>
      </w:r>
      <w:r w:rsidR="00907B1B">
        <w:t>of</w:t>
      </w:r>
      <w:r>
        <w:t xml:space="preserve"> Annex 3 to </w:t>
      </w:r>
      <w:r w:rsidRPr="0068044E">
        <w:rPr>
          <w:i/>
          <w:iCs/>
        </w:rPr>
        <w:t>the Convention on International Civil Aviation</w:t>
      </w:r>
      <w:r>
        <w:t xml:space="preserve">. At the request of ICAO, these versions of IWXXM enforced compliance with the provisions through the XML schemas and </w:t>
      </w:r>
      <w:proofErr w:type="spellStart"/>
      <w:r>
        <w:t>schematrons</w:t>
      </w:r>
      <w:proofErr w:type="spellEnd"/>
      <w:r>
        <w:t xml:space="preserve"> and were limited to representing information that was specified in Annex 3.</w:t>
      </w:r>
    </w:p>
    <w:p w:rsidR="00E131E1" w:rsidRDefault="00907B1B" w:rsidP="00907B1B">
      <w:pPr>
        <w:pStyle w:val="Heading3"/>
      </w:pPr>
      <w:r>
        <w:t>Arrangement between ICAO and WMO</w:t>
      </w:r>
    </w:p>
    <w:p w:rsidR="0068044E" w:rsidRDefault="0068044E" w:rsidP="0068044E">
      <w:pPr>
        <w:pStyle w:val="BodyTextNumbered"/>
      </w:pPr>
      <w:r>
        <w:t>Since 1963 there has been a working arrangement between ICAO and WMO through which ICAO specifies the meteorological information that is required to support international civil aviation and WMO specifies how that information will be provided and represented.</w:t>
      </w:r>
    </w:p>
    <w:p w:rsidR="0068044E" w:rsidRDefault="0068044E" w:rsidP="0068044E">
      <w:pPr>
        <w:pStyle w:val="BodyTextNumbered"/>
      </w:pPr>
      <w:r>
        <w:t xml:space="preserve">ICAO is responsible for Annex 3 to the </w:t>
      </w:r>
      <w:r w:rsidRPr="0068044E">
        <w:rPr>
          <w:i/>
          <w:iCs/>
        </w:rPr>
        <w:t>Convention on International Civil Aviation</w:t>
      </w:r>
      <w:r>
        <w:t xml:space="preserve"> that is also published as Volume II of WMO</w:t>
      </w:r>
      <w:r>
        <w:noBreakHyphen/>
        <w:t xml:space="preserve">No 49 </w:t>
      </w:r>
      <w:r w:rsidRPr="0068044E">
        <w:rPr>
          <w:i/>
          <w:iCs/>
        </w:rPr>
        <w:t>Technical Regulations</w:t>
      </w:r>
      <w:r>
        <w:rPr>
          <w:i/>
          <w:iCs/>
        </w:rPr>
        <w:t>.</w:t>
      </w:r>
      <w:r>
        <w:t xml:space="preserve"> That volume specifies the meteorological information that is required to support international civil aviation. Annex 3 is maintained using ICAO governance procedures.</w:t>
      </w:r>
    </w:p>
    <w:p w:rsidR="00907B1B" w:rsidRDefault="0068044E" w:rsidP="00C13CC1">
      <w:pPr>
        <w:pStyle w:val="BodyTextNumbered"/>
      </w:pPr>
      <w:r>
        <w:t>WMO is responsible for WMO</w:t>
      </w:r>
      <w:r>
        <w:noBreakHyphen/>
        <w:t xml:space="preserve">No. 8 </w:t>
      </w:r>
      <w:r w:rsidRPr="0068044E">
        <w:rPr>
          <w:i/>
          <w:iCs/>
        </w:rPr>
        <w:t>Guide to Meteorological Instruments and Methods of Observation</w:t>
      </w:r>
      <w:r>
        <w:rPr>
          <w:i/>
          <w:iCs/>
        </w:rPr>
        <w:t xml:space="preserve"> </w:t>
      </w:r>
      <w:r>
        <w:t>that specifies practices for making weather observations, WMO</w:t>
      </w:r>
      <w:r>
        <w:noBreakHyphen/>
        <w:t xml:space="preserve">No. 306 </w:t>
      </w:r>
      <w:r w:rsidRPr="0068044E">
        <w:rPr>
          <w:i/>
          <w:iCs/>
        </w:rPr>
        <w:t>Manual on Codes</w:t>
      </w:r>
      <w:r>
        <w:t xml:space="preserve"> that specifies how meteorological information should be represented for international exchange, and WMO</w:t>
      </w:r>
      <w:r>
        <w:noBreakHyphen/>
        <w:t xml:space="preserve">No. 386 </w:t>
      </w:r>
      <w:r>
        <w:rPr>
          <w:i/>
          <w:iCs/>
        </w:rPr>
        <w:t>Manual on the Global Telecommunications System</w:t>
      </w:r>
      <w:r>
        <w:t xml:space="preserve"> that includes specifications on identification of files and messages containing meteorological information for international exchange. The Guide and Manuals are maintained using WMO Governance procedures, guided by the requirements set by ICAO </w:t>
      </w:r>
      <w:r w:rsidR="00C13CC1">
        <w:t>in</w:t>
      </w:r>
      <w:r>
        <w:t xml:space="preserve"> Annex 3.</w:t>
      </w:r>
    </w:p>
    <w:p w:rsidR="0068044E" w:rsidRDefault="009034ED" w:rsidP="000A7051">
      <w:pPr>
        <w:pStyle w:val="Heading3"/>
      </w:pPr>
      <w:r>
        <w:t>WMO governance procedure</w:t>
      </w:r>
    </w:p>
    <w:p w:rsidR="007D4904" w:rsidRDefault="000A7051" w:rsidP="000A7051">
      <w:pPr>
        <w:pStyle w:val="BodyTextNumbered"/>
      </w:pPr>
      <w:r>
        <w:t>Article 8 of the Convention of the World Meteorological Organization (WMO</w:t>
      </w:r>
      <w:r>
        <w:noBreakHyphen/>
        <w:t xml:space="preserve">No. 15 </w:t>
      </w:r>
      <w:r w:rsidRPr="000A7051">
        <w:rPr>
          <w:i/>
          <w:iCs/>
        </w:rPr>
        <w:t>Basic Documents No. 1</w:t>
      </w:r>
      <w:r>
        <w:t xml:space="preserve">) requires the World Meteorological Congress to determine the Technical Regulations </w:t>
      </w:r>
      <w:r w:rsidR="007D4904">
        <w:t>of WMO.</w:t>
      </w:r>
    </w:p>
    <w:p w:rsidR="007D4904" w:rsidRDefault="007D4904" w:rsidP="00563124">
      <w:pPr>
        <w:pStyle w:val="BodyTextNumbered"/>
      </w:pPr>
      <w:r>
        <w:t>The World Meteorological Congress is an intergovernmental</w:t>
      </w:r>
      <w:r w:rsidR="00563124">
        <w:t xml:space="preserve"> decision making body consisting of delegates from all Members (state or territories) of WMO. Each WMO member nominates a Permanent Representative to represent it between sessions of Congress.</w:t>
      </w:r>
    </w:p>
    <w:p w:rsidR="00563124" w:rsidRDefault="00563124" w:rsidP="00563124">
      <w:pPr>
        <w:pStyle w:val="BodyTextNumbered"/>
      </w:pPr>
      <w:r>
        <w:t>Congress meets every four years. Executive Council, whose members are elected by Congress from among the Permanent Representatives, make decisions on behalf of Congress in those years that Congress does not meet.</w:t>
      </w:r>
    </w:p>
    <w:p w:rsidR="00563124" w:rsidRDefault="00563124" w:rsidP="00563124">
      <w:pPr>
        <w:pStyle w:val="BodyTextNumbered"/>
      </w:pPr>
      <w:r>
        <w:t>Executive Council and Congress are advised by technical commissions on technical aspects of regulations. Technical commissions meet in inter-governmental sessions every four years. The two technical commissions of most direct relevance to ICAO are the Commission for Aeronautical Meteorology and the Commission for Basic Systems</w:t>
      </w:r>
      <w:r w:rsidR="00452DAF">
        <w:t xml:space="preserve"> (CBS)</w:t>
      </w:r>
      <w:r>
        <w:t xml:space="preserve">. </w:t>
      </w:r>
    </w:p>
    <w:p w:rsidR="009034ED" w:rsidRDefault="00563124" w:rsidP="00C13CC1">
      <w:pPr>
        <w:pStyle w:val="BodyTextNumbered"/>
      </w:pPr>
      <w:r>
        <w:t xml:space="preserve">The </w:t>
      </w:r>
      <w:r w:rsidR="009034ED">
        <w:t>governance for</w:t>
      </w:r>
      <w:r>
        <w:t xml:space="preserve"> amending WMO Technical Regulations and Guides </w:t>
      </w:r>
      <w:r w:rsidR="00C13CC1">
        <w:t>starts with the designated team of</w:t>
      </w:r>
      <w:r>
        <w:t xml:space="preserve"> experts </w:t>
      </w:r>
      <w:r w:rsidR="00C13CC1">
        <w:t>that</w:t>
      </w:r>
      <w:r>
        <w:t xml:space="preserve"> develop</w:t>
      </w:r>
      <w:r w:rsidR="00C13CC1">
        <w:t>s</w:t>
      </w:r>
      <w:r>
        <w:t xml:space="preserve"> solutions to stated requirements. These solutions are then scr</w:t>
      </w:r>
      <w:r w:rsidR="00EA61B4">
        <w:t>u</w:t>
      </w:r>
      <w:r>
        <w:t xml:space="preserve">tinized by </w:t>
      </w:r>
      <w:r w:rsidR="00EA61B4">
        <w:t>the appropriate technical commission in intergovernmental session and, if accepted, passed to Executive Council or Congress for approval.</w:t>
      </w:r>
    </w:p>
    <w:p w:rsidR="009034ED" w:rsidRDefault="00452DAF" w:rsidP="00452DAF">
      <w:pPr>
        <w:pStyle w:val="BodyTextNumbered"/>
      </w:pPr>
      <w:r>
        <w:t>CBS</w:t>
      </w:r>
      <w:r w:rsidR="009034ED">
        <w:t xml:space="preserve"> is responsible for maintaining the Manual on Codes that contains the definition of IWXXM. In order to implement changes to the technical systems that support the work of </w:t>
      </w:r>
      <w:r w:rsidR="009034ED">
        <w:lastRenderedPageBreak/>
        <w:t xml:space="preserve">WMO in a timely manner, Congress has authorized </w:t>
      </w:r>
      <w:r>
        <w:t>CBS</w:t>
      </w:r>
      <w:r w:rsidR="009034ED">
        <w:t xml:space="preserve"> to use additional approval mechanisms. The approval mechanism to be used depends on the impact on WMO Members of the proposed amendment.</w:t>
      </w:r>
    </w:p>
    <w:p w:rsidR="009034ED" w:rsidRDefault="009034ED" w:rsidP="009034ED">
      <w:pPr>
        <w:pStyle w:val="BodyTextNumbered"/>
        <w:numPr>
          <w:ilvl w:val="1"/>
          <w:numId w:val="41"/>
        </w:numPr>
      </w:pPr>
      <w:r>
        <w:t>Fast track (simple) may be  used for amendments that have small impact on users. It was initially introduced to add entries into code lists that support the Table Driven Code Forms.</w:t>
      </w:r>
    </w:p>
    <w:p w:rsidR="009034ED" w:rsidRDefault="009034ED" w:rsidP="009034ED">
      <w:pPr>
        <w:pStyle w:val="BodyTextNumbered"/>
        <w:numPr>
          <w:ilvl w:val="1"/>
          <w:numId w:val="41"/>
        </w:numPr>
      </w:pPr>
      <w:r>
        <w:t>Between sessions (standard) may be used for amendments with moderate impact on Members.</w:t>
      </w:r>
    </w:p>
    <w:p w:rsidR="00FF4410" w:rsidRDefault="00FF4410" w:rsidP="009034ED">
      <w:pPr>
        <w:pStyle w:val="BodyTextNumbered"/>
        <w:numPr>
          <w:ilvl w:val="1"/>
          <w:numId w:val="41"/>
        </w:numPr>
      </w:pPr>
      <w:r>
        <w:t>Vote by correspondence among Permanent Representatives may be used for any decision or recommendation of CBS, but at least 50% must respond in order for the vote to be quorate.</w:t>
      </w:r>
    </w:p>
    <w:p w:rsidR="009034ED" w:rsidRDefault="009034ED" w:rsidP="009034ED">
      <w:pPr>
        <w:pStyle w:val="BodyTextNumbered"/>
        <w:numPr>
          <w:ilvl w:val="1"/>
          <w:numId w:val="41"/>
        </w:numPr>
      </w:pPr>
      <w:r>
        <w:t>At sessions (complex) is used for any amendments for which the fast track and between sessions approaches are not suitable.</w:t>
      </w:r>
    </w:p>
    <w:p w:rsidR="009034ED" w:rsidRDefault="00452DAF" w:rsidP="009034ED">
      <w:pPr>
        <w:pStyle w:val="BodyTextNumbered"/>
      </w:pPr>
      <w:r>
        <w:t>Fast track approvals follow the sequence:</w:t>
      </w:r>
    </w:p>
    <w:p w:rsidR="00452DAF" w:rsidRDefault="00452DAF" w:rsidP="00452DAF">
      <w:pPr>
        <w:pStyle w:val="BodyTextNumbered"/>
        <w:numPr>
          <w:ilvl w:val="1"/>
          <w:numId w:val="41"/>
        </w:numPr>
      </w:pPr>
      <w:r>
        <w:t>A designated expert team prepares the proposed amendment;</w:t>
      </w:r>
    </w:p>
    <w:p w:rsidR="00452DAF" w:rsidRDefault="00452DAF" w:rsidP="00452DAF">
      <w:pPr>
        <w:pStyle w:val="BodyTextNumbered"/>
        <w:numPr>
          <w:ilvl w:val="1"/>
          <w:numId w:val="41"/>
        </w:numPr>
      </w:pPr>
      <w:r>
        <w:t>Chair of the management team for the Open Area Programme Group (OPAG) responsible for that team and the President of CBS confirm that the amendment is ready for consulting with Members;</w:t>
      </w:r>
    </w:p>
    <w:p w:rsidR="00452DAF" w:rsidRDefault="00452DAF" w:rsidP="00452DAF">
      <w:pPr>
        <w:pStyle w:val="BodyTextNumbered"/>
        <w:numPr>
          <w:ilvl w:val="1"/>
          <w:numId w:val="41"/>
        </w:numPr>
      </w:pPr>
      <w:r>
        <w:t>The proposed amendment is passed to national focal points nominated by the Permanent Representatives for scrutiny;</w:t>
      </w:r>
    </w:p>
    <w:p w:rsidR="0041406A" w:rsidRDefault="00452DAF" w:rsidP="00452DAF">
      <w:pPr>
        <w:pStyle w:val="BodyTextNumbered"/>
        <w:numPr>
          <w:ilvl w:val="1"/>
          <w:numId w:val="41"/>
        </w:numPr>
      </w:pPr>
      <w:r>
        <w:t xml:space="preserve">Unless there are adverse comments from focal points that cannot be reconciled (in which case the “ in session” procedure would need to be followed), </w:t>
      </w:r>
      <w:r w:rsidR="00FF4410">
        <w:t>the expert team recommends the amendment to the chair of the OPAG and President of CBS who consults with the Presidents of impacted technical commissions. When the President of CBS is satisfied with the amendment, it is passed to the President of WMO for approval</w:t>
      </w:r>
      <w:r w:rsidR="0041406A">
        <w:t>;</w:t>
      </w:r>
    </w:p>
    <w:p w:rsidR="00452DAF" w:rsidRDefault="0041406A" w:rsidP="00452DAF">
      <w:pPr>
        <w:pStyle w:val="BodyTextNumbered"/>
        <w:numPr>
          <w:ilvl w:val="1"/>
          <w:numId w:val="41"/>
        </w:numPr>
      </w:pPr>
      <w:r>
        <w:t>This process can take place twice a year</w:t>
      </w:r>
      <w:r w:rsidR="00FF4410">
        <w:t>.</w:t>
      </w:r>
    </w:p>
    <w:p w:rsidR="00CE3FDA" w:rsidRDefault="00CE3FDA" w:rsidP="00CE3FDA">
      <w:pPr>
        <w:pStyle w:val="BodyTextNumbered"/>
      </w:pPr>
      <w:r>
        <w:t>Between sessions approvals follow the sequence:</w:t>
      </w:r>
    </w:p>
    <w:p w:rsidR="00CE3FDA" w:rsidRDefault="00CE3FDA" w:rsidP="00CE3FDA">
      <w:pPr>
        <w:pStyle w:val="BodyTextNumbered"/>
        <w:numPr>
          <w:ilvl w:val="1"/>
          <w:numId w:val="41"/>
        </w:numPr>
      </w:pPr>
      <w:r>
        <w:t>A designated expert team prepares the proposed amendment;</w:t>
      </w:r>
    </w:p>
    <w:p w:rsidR="00CE3FDA" w:rsidRDefault="00CE3FDA" w:rsidP="00CE3FDA">
      <w:pPr>
        <w:pStyle w:val="BodyTextNumbered"/>
        <w:numPr>
          <w:ilvl w:val="1"/>
          <w:numId w:val="41"/>
        </w:numPr>
      </w:pPr>
      <w:r>
        <w:t>Chair of the management team for the Open Area Programme Group (OPAG) responsible for that team and the President of CBS confirm that the amendment is ready for consulting with Members;</w:t>
      </w:r>
    </w:p>
    <w:p w:rsidR="00CE3FDA" w:rsidRDefault="00CE3FDA" w:rsidP="00CE3FDA">
      <w:pPr>
        <w:pStyle w:val="BodyTextNumbered"/>
        <w:numPr>
          <w:ilvl w:val="1"/>
          <w:numId w:val="41"/>
        </w:numPr>
      </w:pPr>
      <w:r>
        <w:t>The proposed amendment is sent to Permanent Representatives for scrutiny and written response;</w:t>
      </w:r>
    </w:p>
    <w:p w:rsidR="0041406A" w:rsidRDefault="00CE3FDA" w:rsidP="00CE3FDA">
      <w:pPr>
        <w:pStyle w:val="BodyTextNumbered"/>
        <w:numPr>
          <w:ilvl w:val="1"/>
          <w:numId w:val="41"/>
        </w:numPr>
      </w:pPr>
      <w:r>
        <w:t>Unless there are adverse comments from Permanent representatives that cannot be reconciled (in which case the “ in session” procedure would need to be followed), the expert team recommends the amendment to the chair of the OPAG and President of CBS who consults with the Presidents of impacted technical commissions. When the President of CBS is satisfied with the amendment, it is passed to the President of WMO for approval</w:t>
      </w:r>
      <w:r w:rsidR="0041406A">
        <w:t>;</w:t>
      </w:r>
    </w:p>
    <w:p w:rsidR="00CE3FDA" w:rsidRPr="00907B1B" w:rsidRDefault="0041406A" w:rsidP="00CE3FDA">
      <w:pPr>
        <w:pStyle w:val="BodyTextNumbered"/>
        <w:numPr>
          <w:ilvl w:val="1"/>
          <w:numId w:val="41"/>
        </w:numPr>
      </w:pPr>
      <w:r>
        <w:t>This process can take place twice a year</w:t>
      </w:r>
      <w:r w:rsidR="00CE3FDA">
        <w:t>.</w:t>
      </w:r>
    </w:p>
    <w:p w:rsidR="00CE3FDA" w:rsidRDefault="00CE3FDA" w:rsidP="00CE3FDA">
      <w:pPr>
        <w:pStyle w:val="BodyTextNumbered"/>
      </w:pPr>
      <w:r>
        <w:t>Vote by correspondences follow the sequence:</w:t>
      </w:r>
    </w:p>
    <w:p w:rsidR="00CE3FDA" w:rsidRDefault="00CE3FDA" w:rsidP="00CE3FDA">
      <w:pPr>
        <w:pStyle w:val="BodyTextNumbered"/>
        <w:numPr>
          <w:ilvl w:val="1"/>
          <w:numId w:val="41"/>
        </w:numPr>
      </w:pPr>
      <w:r>
        <w:t>A designated expert team prepares the proposed amendment;</w:t>
      </w:r>
    </w:p>
    <w:p w:rsidR="00CE3FDA" w:rsidRDefault="00CE3FDA" w:rsidP="00CE3FDA">
      <w:pPr>
        <w:pStyle w:val="BodyTextNumbered"/>
        <w:numPr>
          <w:ilvl w:val="1"/>
          <w:numId w:val="41"/>
        </w:numPr>
      </w:pPr>
      <w:r>
        <w:t>Chair of the management team for the Open Area Programme Group (OPAG) responsible for that team and the President of CBS confirm that the amendment is ready for consulting with Members;</w:t>
      </w:r>
    </w:p>
    <w:p w:rsidR="00CE3FDA" w:rsidRDefault="00CE3FDA" w:rsidP="00CE3FDA">
      <w:pPr>
        <w:pStyle w:val="BodyTextNumbered"/>
        <w:numPr>
          <w:ilvl w:val="1"/>
          <w:numId w:val="41"/>
        </w:numPr>
      </w:pPr>
      <w:r>
        <w:t>A letter from the Secretary-General is sent to all Permanent Representatives of members of the Commission informing them of the vote;</w:t>
      </w:r>
    </w:p>
    <w:p w:rsidR="0041406A" w:rsidRDefault="00CE3FDA" w:rsidP="00452DAF">
      <w:pPr>
        <w:pStyle w:val="BodyTextNumbered"/>
        <w:numPr>
          <w:ilvl w:val="1"/>
          <w:numId w:val="41"/>
        </w:numPr>
      </w:pPr>
      <w:r>
        <w:t>Only if the vote is quorate (more than 50% of members of the Commission vote) and there is a majority in favour of the amendment, is the amendment recommended for adoption. The President of CBS passes the recommended amendment to the President of WMO for adoption</w:t>
      </w:r>
      <w:r w:rsidR="00FC64B9">
        <w:t xml:space="preserve"> (or to Executive Council if time permits)</w:t>
      </w:r>
      <w:r w:rsidR="0041406A">
        <w:t>;</w:t>
      </w:r>
    </w:p>
    <w:p w:rsidR="00CE3FDA" w:rsidRPr="00907B1B" w:rsidRDefault="0041406A" w:rsidP="00452DAF">
      <w:pPr>
        <w:pStyle w:val="BodyTextNumbered"/>
        <w:numPr>
          <w:ilvl w:val="1"/>
          <w:numId w:val="41"/>
        </w:numPr>
      </w:pPr>
      <w:r>
        <w:t>This process can take place at any time</w:t>
      </w:r>
      <w:r w:rsidR="00CE3FDA">
        <w:t>.</w:t>
      </w:r>
    </w:p>
    <w:p w:rsidR="00CE3FDA" w:rsidRDefault="00CE3FDA" w:rsidP="00CE3FDA">
      <w:pPr>
        <w:pStyle w:val="BodyTextNumbered"/>
      </w:pPr>
      <w:r>
        <w:t>In session approvals follow the sequence:</w:t>
      </w:r>
    </w:p>
    <w:p w:rsidR="00FC64B9" w:rsidRDefault="00FC64B9" w:rsidP="00FC64B9">
      <w:pPr>
        <w:pStyle w:val="BodyTextNumbered"/>
        <w:numPr>
          <w:ilvl w:val="1"/>
          <w:numId w:val="41"/>
        </w:numPr>
      </w:pPr>
      <w:r>
        <w:t>A designated expert team prepares the proposed amendment;</w:t>
      </w:r>
    </w:p>
    <w:p w:rsidR="00FC64B9" w:rsidRDefault="00FC64B9" w:rsidP="00FC64B9">
      <w:pPr>
        <w:pStyle w:val="BodyTextNumbered"/>
        <w:numPr>
          <w:ilvl w:val="1"/>
          <w:numId w:val="41"/>
        </w:numPr>
      </w:pPr>
      <w:r>
        <w:t>The management team for the Open Area Programme Group (OPAG) responsible for that team and the Management Group of CBS confirm that the amendment is ready for consideration by Members;</w:t>
      </w:r>
    </w:p>
    <w:p w:rsidR="00FC64B9" w:rsidRDefault="00FC64B9" w:rsidP="00FC64B9">
      <w:pPr>
        <w:pStyle w:val="BodyTextNumbered"/>
        <w:numPr>
          <w:ilvl w:val="1"/>
          <w:numId w:val="41"/>
        </w:numPr>
      </w:pPr>
      <w:r>
        <w:t>The proposed amendment is included as a recommendation in the documents for the next session of CBS;</w:t>
      </w:r>
    </w:p>
    <w:p w:rsidR="00FC64B9" w:rsidRPr="00907B1B" w:rsidRDefault="00FC64B9" w:rsidP="00C21DE2">
      <w:pPr>
        <w:pStyle w:val="BodyTextNumbered"/>
        <w:numPr>
          <w:ilvl w:val="1"/>
          <w:numId w:val="41"/>
        </w:numPr>
      </w:pPr>
      <w:r>
        <w:t>CBS considers the amendment at its intergovernmental session and if suitable recommends it to Executive Council or Congress (depending on which is the next to meet).</w:t>
      </w:r>
    </w:p>
    <w:p w:rsidR="0041406A" w:rsidRDefault="00C21DE2" w:rsidP="00CE3FDA">
      <w:pPr>
        <w:pStyle w:val="BodyTextNumbered"/>
        <w:numPr>
          <w:ilvl w:val="1"/>
          <w:numId w:val="41"/>
        </w:numPr>
      </w:pPr>
      <w:r>
        <w:t>Executive Council or Congress approves the amendment</w:t>
      </w:r>
      <w:r w:rsidR="0041406A">
        <w:t>;</w:t>
      </w:r>
    </w:p>
    <w:p w:rsidR="00CE3FDA" w:rsidRDefault="0041406A" w:rsidP="00CE3FDA">
      <w:pPr>
        <w:pStyle w:val="BodyTextNumbered"/>
        <w:numPr>
          <w:ilvl w:val="1"/>
          <w:numId w:val="41"/>
        </w:numPr>
      </w:pPr>
      <w:r>
        <w:t>This process takes place every four years</w:t>
      </w:r>
      <w:r w:rsidR="00C21DE2">
        <w:t>.</w:t>
      </w:r>
    </w:p>
    <w:p w:rsidR="00C21DE2" w:rsidRDefault="00C21DE2" w:rsidP="00C21DE2">
      <w:pPr>
        <w:pStyle w:val="BodyTextNumbered"/>
      </w:pPr>
      <w:r>
        <w:t>All these procedures involve intergovernmental consultation on the proposed changes.</w:t>
      </w:r>
    </w:p>
    <w:p w:rsidR="00C21DE2" w:rsidRDefault="00C21DE2" w:rsidP="00C21DE2">
      <w:pPr>
        <w:pStyle w:val="Heading3"/>
      </w:pPr>
      <w:r>
        <w:t>IWXXM change management</w:t>
      </w:r>
    </w:p>
    <w:p w:rsidR="00C21DE2" w:rsidRDefault="00880DE1" w:rsidP="00C21DE2">
      <w:pPr>
        <w:pStyle w:val="BodyTextNumbered"/>
      </w:pPr>
      <w:r>
        <w:t>Amendments to IWXXM are managed as amendments to the Manual on Codes.</w:t>
      </w:r>
    </w:p>
    <w:p w:rsidR="00880DE1" w:rsidRDefault="00880DE1" w:rsidP="00880DE1">
      <w:pPr>
        <w:pStyle w:val="BodyTextNumbered"/>
      </w:pPr>
      <w:r>
        <w:t>Until IWXXM 3, requirements for IWXXM were driven solely by amendments to Annex 3. From IWXXM 3 onwards, amendments to IWXXM may include aspects that are not driven directly by amendments to Annex 3.</w:t>
      </w:r>
    </w:p>
    <w:p w:rsidR="00175216" w:rsidRDefault="00175216" w:rsidP="00175216">
      <w:pPr>
        <w:pStyle w:val="BodyTextNumbered"/>
      </w:pPr>
      <w:r>
        <w:t>IWXXM is built on an underpinning data representation called METCE. METCE is intended to contain generic building blocks for representing weather, water and climate information that contribute to representations such as IWXXM that are specific to an area of application.</w:t>
      </w:r>
    </w:p>
    <w:p w:rsidR="00175216" w:rsidRDefault="00175216" w:rsidP="00175216">
      <w:pPr>
        <w:pStyle w:val="BodyTextNumbered"/>
      </w:pPr>
      <w:r>
        <w:t>Requirements for amendments to METCE may come from three sources:</w:t>
      </w:r>
    </w:p>
    <w:p w:rsidR="00175216" w:rsidRDefault="00175216" w:rsidP="00557FBF">
      <w:pPr>
        <w:pStyle w:val="BodyTextNumbered"/>
        <w:numPr>
          <w:ilvl w:val="1"/>
          <w:numId w:val="41"/>
        </w:numPr>
      </w:pPr>
      <w:r>
        <w:t>Change</w:t>
      </w:r>
      <w:r w:rsidR="00BA4BEE">
        <w:t>d requirements on</w:t>
      </w:r>
      <w:r>
        <w:t xml:space="preserve"> data representations built on METCE (such as IWXXM);</w:t>
      </w:r>
    </w:p>
    <w:p w:rsidR="00175216" w:rsidRDefault="00BA4BEE" w:rsidP="00557FBF">
      <w:pPr>
        <w:pStyle w:val="BodyTextNumbered"/>
        <w:numPr>
          <w:ilvl w:val="1"/>
          <w:numId w:val="41"/>
        </w:numPr>
      </w:pPr>
      <w:r>
        <w:t>New requirements for representations identified by WMO and partner programmes;</w:t>
      </w:r>
    </w:p>
    <w:p w:rsidR="00BA4BEE" w:rsidRDefault="00BA4BEE" w:rsidP="00557FBF">
      <w:pPr>
        <w:pStyle w:val="BodyTextNumbered"/>
        <w:numPr>
          <w:ilvl w:val="1"/>
          <w:numId w:val="41"/>
        </w:numPr>
      </w:pPr>
      <w:r>
        <w:t>Requirements from the user community that are notified through their national Codes and Data Representation Matters focal point (see the list</w:t>
      </w:r>
      <w:r w:rsidR="00C13CC1">
        <w:t xml:space="preserve"> of focal points</w:t>
      </w:r>
      <w:r>
        <w:t xml:space="preserve"> at </w:t>
      </w:r>
      <w:hyperlink r:id="rId11" w:history="1">
        <w:r w:rsidRPr="0041406A">
          <w:rPr>
            <w:rStyle w:val="Hyperlink"/>
          </w:rPr>
          <w:t>http</w:t>
        </w:r>
        <w:r w:rsidR="0041406A" w:rsidRPr="0041406A">
          <w:rPr>
            <w:rStyle w:val="Hyperlink"/>
          </w:rPr>
          <w:t>s</w:t>
        </w:r>
        <w:r w:rsidRPr="0041406A">
          <w:rPr>
            <w:rStyle w:val="Hyperlink"/>
          </w:rPr>
          <w:t>://wis.wmo.int/FPcdrm</w:t>
        </w:r>
      </w:hyperlink>
      <w:r>
        <w:t>).</w:t>
      </w:r>
    </w:p>
    <w:p w:rsidR="0041406A" w:rsidRDefault="0041406A" w:rsidP="00C13CC1">
      <w:pPr>
        <w:pStyle w:val="BodyTextNumbered"/>
      </w:pPr>
      <w:r>
        <w:t>CBS has designated an expert team to maintain IWXXM and METCE (the sub-team specializing on changes to IWXXM is known as TT-</w:t>
      </w:r>
      <w:proofErr w:type="spellStart"/>
      <w:r>
        <w:t>AvXML</w:t>
      </w:r>
      <w:proofErr w:type="spellEnd"/>
      <w:r>
        <w:t xml:space="preserve">). That team assesses the requirements and proposes amendments to IWXXM (and METCE). These are made publicly available as “release candidate” versions, identified by the </w:t>
      </w:r>
      <w:r w:rsidR="00C13CC1">
        <w:t>“</w:t>
      </w:r>
      <w:r>
        <w:t>RC#</w:t>
      </w:r>
      <w:r w:rsidR="00C13CC1">
        <w:t>”</w:t>
      </w:r>
      <w:r>
        <w:t xml:space="preserve"> post-pended to the version number</w:t>
      </w:r>
      <w:r w:rsidR="00C13CC1">
        <w:t xml:space="preserve"> (# is the sequence number of the release candidate)</w:t>
      </w:r>
      <w:r>
        <w:t>. Feedback from users testing the versions is welcomed.</w:t>
      </w:r>
    </w:p>
    <w:p w:rsidR="0041406A" w:rsidRDefault="0041406A" w:rsidP="005665EB">
      <w:pPr>
        <w:pStyle w:val="BodyTextNumbered"/>
      </w:pPr>
      <w:r>
        <w:t>When versions are considered ready for use, they are passed through the WMO governance procedure.</w:t>
      </w:r>
    </w:p>
    <w:p w:rsidR="00880DE1" w:rsidRDefault="00880DE1" w:rsidP="0041406A">
      <w:pPr>
        <w:pStyle w:val="BodyTextNumbered"/>
      </w:pPr>
      <w:r>
        <w:t xml:space="preserve">For amendments to IWXXM that are driven solely by amendments to Annex 3, the fast track or between sessions procedures may be used (depending on the complexity of the change to IWXXM). </w:t>
      </w:r>
      <w:r w:rsidR="0041406A">
        <w:t>Only if a proposed amendment is controversial, or if it creates significant cost to WMO Members that was not anticipated when the amendment to Annex 3 was approved by the Air Navigation Commission, is it necessary for t</w:t>
      </w:r>
      <w:r>
        <w:t>he in-session procedure</w:t>
      </w:r>
      <w:r w:rsidR="0041406A">
        <w:t xml:space="preserve"> to be used.</w:t>
      </w:r>
    </w:p>
    <w:p w:rsidR="00175216" w:rsidRDefault="007973CD" w:rsidP="007973CD">
      <w:pPr>
        <w:pStyle w:val="BodyTextNumbered"/>
      </w:pPr>
      <w:r>
        <w:t xml:space="preserve">Other types of amendment to IWXXM and METCE use the amendment procedure appropriate to the impact of the proposed amendment. </w:t>
      </w:r>
    </w:p>
    <w:p w:rsidR="007973CD" w:rsidRDefault="007973CD" w:rsidP="007973CD">
      <w:pPr>
        <w:pStyle w:val="BodyTextNumbered"/>
      </w:pPr>
      <w:r>
        <w:t>The approvals process is summarized in the process diagram in Figure 1.</w:t>
      </w:r>
    </w:p>
    <w:p w:rsidR="007973CD" w:rsidRDefault="007973CD" w:rsidP="007973CD">
      <w:pPr>
        <w:pStyle w:val="BodyText"/>
        <w:keepNext/>
      </w:pPr>
      <w:r w:rsidRPr="007973CD">
        <w:rPr>
          <w:noProof/>
          <w:lang w:eastAsia="zh-CN"/>
        </w:rPr>
        <w:drawing>
          <wp:inline distT="0" distB="0" distL="0" distR="0" wp14:anchorId="1BD2D235" wp14:editId="01D6F208">
            <wp:extent cx="6120765" cy="846763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20765" cy="8467637"/>
                    </a:xfrm>
                    <a:prstGeom prst="rect">
                      <a:avLst/>
                    </a:prstGeom>
                    <a:noFill/>
                    <a:ln>
                      <a:noFill/>
                    </a:ln>
                  </pic:spPr>
                </pic:pic>
              </a:graphicData>
            </a:graphic>
          </wp:inline>
        </w:drawing>
      </w:r>
    </w:p>
    <w:p w:rsidR="007973CD" w:rsidRPr="00C21DE2" w:rsidRDefault="007973CD" w:rsidP="007973CD">
      <w:pPr>
        <w:pStyle w:val="Caption"/>
      </w:pPr>
      <w:r>
        <w:t xml:space="preserve">Figure </w:t>
      </w:r>
      <w:r w:rsidR="00C13CC1">
        <w:fldChar w:fldCharType="begin"/>
      </w:r>
      <w:r w:rsidR="00C13CC1">
        <w:instrText xml:space="preserve"> SEQ Figure \* ARABIC </w:instrText>
      </w:r>
      <w:r w:rsidR="00C13CC1">
        <w:fldChar w:fldCharType="separate"/>
      </w:r>
      <w:r>
        <w:rPr>
          <w:noProof/>
        </w:rPr>
        <w:t>1</w:t>
      </w:r>
      <w:r w:rsidR="00C13CC1">
        <w:rPr>
          <w:noProof/>
        </w:rPr>
        <w:fldChar w:fldCharType="end"/>
      </w:r>
      <w:r>
        <w:t>. Process diagram for amendments to IWXXM</w:t>
      </w:r>
    </w:p>
    <w:p w:rsidR="00E131E1" w:rsidRPr="00E131E1" w:rsidRDefault="00E131E1" w:rsidP="00E131E1">
      <w:pPr>
        <w:pStyle w:val="BodyText"/>
        <w:jc w:val="center"/>
      </w:pPr>
      <w:r>
        <w:t>________</w:t>
      </w:r>
    </w:p>
    <w:sectPr w:rsidR="00E131E1" w:rsidRPr="00E131E1" w:rsidSect="00880DE1">
      <w:headerReference w:type="first" r:id="rId13"/>
      <w:pgSz w:w="11907" w:h="16840" w:code="9"/>
      <w:pgMar w:top="1134" w:right="1134" w:bottom="1134" w:left="1134" w:header="1134" w:footer="1134"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27DC" w:rsidRDefault="000727DC">
      <w:r>
        <w:separator/>
      </w:r>
    </w:p>
    <w:p w:rsidR="000727DC" w:rsidRDefault="000727DC"/>
  </w:endnote>
  <w:endnote w:type="continuationSeparator" w:id="0">
    <w:p w:rsidR="000727DC" w:rsidRDefault="000727DC">
      <w:r>
        <w:continuationSeparator/>
      </w:r>
    </w:p>
    <w:p w:rsidR="000727DC" w:rsidRDefault="000727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27DC" w:rsidRDefault="000727DC">
      <w:r>
        <w:separator/>
      </w:r>
    </w:p>
    <w:p w:rsidR="000727DC" w:rsidRDefault="000727DC"/>
  </w:footnote>
  <w:footnote w:type="continuationSeparator" w:id="0">
    <w:p w:rsidR="000727DC" w:rsidRDefault="000727DC">
      <w:r>
        <w:continuationSeparator/>
      </w:r>
    </w:p>
    <w:p w:rsidR="000727DC" w:rsidRDefault="000727D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9E9" w:rsidRPr="00C10690" w:rsidRDefault="006125D7" w:rsidP="00251C3F">
    <w:pPr>
      <w:pStyle w:val="Header"/>
      <w:rPr>
        <w:lang w:val="en-GB"/>
      </w:rPr>
    </w:pPr>
    <w:r w:rsidRPr="00C10690">
      <w:rPr>
        <w:lang w:val="en-GB"/>
      </w:rPr>
      <w:t>ICT- ISS-2012</w:t>
    </w:r>
    <w:r w:rsidR="005359E9" w:rsidRPr="00C10690">
      <w:rPr>
        <w:lang w:val="en-GB"/>
      </w:rPr>
      <w:t>/Doc. X.X, DRAFT 1, APPENDIX C</w:t>
    </w:r>
  </w:p>
  <w:p w:rsidR="005359E9" w:rsidRPr="00C10690" w:rsidRDefault="005359E9" w:rsidP="00251C3F">
    <w:pPr>
      <w:pStyle w:val="Header"/>
      <w:rPr>
        <w:lang w:val="en-GB"/>
      </w:rPr>
    </w:pPr>
  </w:p>
  <w:p w:rsidR="005359E9" w:rsidRPr="00C10690" w:rsidRDefault="005359E9"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660B864"/>
    <w:lvl w:ilvl="0">
      <w:start w:val="1"/>
      <w:numFmt w:val="decimal"/>
      <w:lvlText w:val="%1."/>
      <w:lvlJc w:val="left"/>
      <w:pPr>
        <w:tabs>
          <w:tab w:val="num" w:pos="1492"/>
        </w:tabs>
        <w:ind w:left="1492" w:hanging="360"/>
      </w:pPr>
    </w:lvl>
  </w:abstractNum>
  <w:abstractNum w:abstractNumId="1">
    <w:nsid w:val="FFFFFF7D"/>
    <w:multiLevelType w:val="singleLevel"/>
    <w:tmpl w:val="11949BB2"/>
    <w:lvl w:ilvl="0">
      <w:start w:val="1"/>
      <w:numFmt w:val="decimal"/>
      <w:lvlText w:val="%1."/>
      <w:lvlJc w:val="left"/>
      <w:pPr>
        <w:tabs>
          <w:tab w:val="num" w:pos="1209"/>
        </w:tabs>
        <w:ind w:left="1209" w:hanging="360"/>
      </w:pPr>
    </w:lvl>
  </w:abstractNum>
  <w:abstractNum w:abstractNumId="2">
    <w:nsid w:val="FFFFFF7E"/>
    <w:multiLevelType w:val="singleLevel"/>
    <w:tmpl w:val="F87E892E"/>
    <w:lvl w:ilvl="0">
      <w:start w:val="1"/>
      <w:numFmt w:val="decimal"/>
      <w:lvlText w:val="%1."/>
      <w:lvlJc w:val="left"/>
      <w:pPr>
        <w:tabs>
          <w:tab w:val="num" w:pos="926"/>
        </w:tabs>
        <w:ind w:left="926" w:hanging="360"/>
      </w:pPr>
    </w:lvl>
  </w:abstractNum>
  <w:abstractNum w:abstractNumId="3">
    <w:nsid w:val="FFFFFF7F"/>
    <w:multiLevelType w:val="singleLevel"/>
    <w:tmpl w:val="10DE79F2"/>
    <w:lvl w:ilvl="0">
      <w:start w:val="1"/>
      <w:numFmt w:val="decimal"/>
      <w:lvlText w:val="%1."/>
      <w:lvlJc w:val="left"/>
      <w:pPr>
        <w:tabs>
          <w:tab w:val="num" w:pos="643"/>
        </w:tabs>
        <w:ind w:left="643" w:hanging="360"/>
      </w:pPr>
    </w:lvl>
  </w:abstractNum>
  <w:abstractNum w:abstractNumId="4">
    <w:nsid w:val="FFFFFF80"/>
    <w:multiLevelType w:val="singleLevel"/>
    <w:tmpl w:val="3BD6D3D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6062B9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5706A9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4BC64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D88636E"/>
    <w:lvl w:ilvl="0">
      <w:start w:val="1"/>
      <w:numFmt w:val="decimal"/>
      <w:lvlText w:val="%1."/>
      <w:lvlJc w:val="left"/>
      <w:pPr>
        <w:tabs>
          <w:tab w:val="num" w:pos="360"/>
        </w:tabs>
        <w:ind w:left="360" w:hanging="360"/>
      </w:pPr>
    </w:lvl>
  </w:abstractNum>
  <w:abstractNum w:abstractNumId="9">
    <w:nsid w:val="FFFFFF89"/>
    <w:multiLevelType w:val="singleLevel"/>
    <w:tmpl w:val="5636EBD0"/>
    <w:lvl w:ilvl="0">
      <w:start w:val="1"/>
      <w:numFmt w:val="bullet"/>
      <w:lvlText w:val=""/>
      <w:lvlJc w:val="left"/>
      <w:pPr>
        <w:tabs>
          <w:tab w:val="num" w:pos="360"/>
        </w:tabs>
        <w:ind w:left="360" w:hanging="360"/>
      </w:pPr>
      <w:rPr>
        <w:rFonts w:ascii="Symbol" w:hAnsi="Symbol" w:hint="default"/>
      </w:rPr>
    </w:lvl>
  </w:abstractNum>
  <w:abstractNum w:abstractNumId="10">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44331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2">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3">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4">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18">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288E132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1">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Courier New"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Courier New"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Courier New"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2">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27">
    <w:nsid w:val="51AD1C0C"/>
    <w:multiLevelType w:val="multilevel"/>
    <w:tmpl w:val="CE263A6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8">
    <w:nsid w:val="54422C5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9">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30">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684A348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3">
    <w:nsid w:val="685D7B4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4">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6">
    <w:nsid w:val="7DB31E2E"/>
    <w:multiLevelType w:val="multilevel"/>
    <w:tmpl w:val="199CD200"/>
    <w:lvl w:ilvl="0">
      <w:start w:val="1"/>
      <w:numFmt w:val="decimal"/>
      <w:pStyle w:val="BodyTextNumbered"/>
      <w:lvlText w:val="%1."/>
      <w:lvlJc w:val="left"/>
      <w:pPr>
        <w:tabs>
          <w:tab w:val="num" w:pos="720"/>
        </w:tabs>
        <w:ind w:left="360" w:hanging="360"/>
      </w:pPr>
      <w:rPr>
        <w:rFonts w:hint="default"/>
      </w:rPr>
    </w:lvl>
    <w:lvl w:ilvl="1">
      <w:start w:val="1"/>
      <w:numFmt w:val="decimal"/>
      <w:lvlText w:val="%1.%2."/>
      <w:lvlJc w:val="left"/>
      <w:pPr>
        <w:tabs>
          <w:tab w:val="num" w:pos="1440"/>
        </w:tabs>
        <w:ind w:left="792" w:hanging="432"/>
      </w:pPr>
      <w:rPr>
        <w:rFonts w:hint="default"/>
      </w:rPr>
    </w:lvl>
    <w:lvl w:ilvl="2">
      <w:start w:val="1"/>
      <w:numFmt w:val="decimal"/>
      <w:lvlText w:val="%1.%2.%3."/>
      <w:lvlJc w:val="left"/>
      <w:pPr>
        <w:tabs>
          <w:tab w:val="num" w:pos="2160"/>
        </w:tabs>
        <w:ind w:left="1224" w:hanging="504"/>
      </w:pPr>
      <w:rPr>
        <w:rFonts w:hint="default"/>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37">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4"/>
  </w:num>
  <w:num w:numId="2">
    <w:abstractNumId w:val="37"/>
  </w:num>
  <w:num w:numId="3">
    <w:abstractNumId w:val="23"/>
  </w:num>
  <w:num w:numId="4">
    <w:abstractNumId w:val="30"/>
  </w:num>
  <w:num w:numId="5">
    <w:abstractNumId w:val="14"/>
  </w:num>
  <w:num w:numId="6">
    <w:abstractNumId w:val="21"/>
  </w:num>
  <w:num w:numId="7">
    <w:abstractNumId w:val="15"/>
  </w:num>
  <w:num w:numId="8">
    <w:abstractNumId w:val="25"/>
  </w:num>
  <w:num w:numId="9">
    <w:abstractNumId w:val="19"/>
  </w:num>
  <w:num w:numId="10">
    <w:abstractNumId w:val="17"/>
  </w:num>
  <w:num w:numId="11">
    <w:abstractNumId w:val="29"/>
  </w:num>
  <w:num w:numId="12">
    <w:abstractNumId w:val="10"/>
  </w:num>
  <w:num w:numId="13">
    <w:abstractNumId w:val="22"/>
  </w:num>
  <w:num w:numId="14">
    <w:abstractNumId w:val="34"/>
  </w:num>
  <w:num w:numId="15">
    <w:abstractNumId w:val="16"/>
  </w:num>
  <w:num w:numId="16">
    <w:abstractNumId w:val="20"/>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28"/>
  </w:num>
  <w:num w:numId="28">
    <w:abstractNumId w:val="11"/>
  </w:num>
  <w:num w:numId="29">
    <w:abstractNumId w:val="33"/>
  </w:num>
  <w:num w:numId="30">
    <w:abstractNumId w:val="32"/>
  </w:num>
  <w:num w:numId="31">
    <w:abstractNumId w:val="12"/>
  </w:num>
  <w:num w:numId="32">
    <w:abstractNumId w:val="31"/>
  </w:num>
  <w:num w:numId="33">
    <w:abstractNumId w:val="36"/>
  </w:num>
  <w:num w:numId="34">
    <w:abstractNumId w:val="13"/>
  </w:num>
  <w:num w:numId="35">
    <w:abstractNumId w:val="26"/>
  </w:num>
  <w:num w:numId="36">
    <w:abstractNumId w:val="27"/>
  </w:num>
  <w:num w:numId="37">
    <w:abstractNumId w:val="35"/>
  </w:num>
  <w:num w:numId="38">
    <w:abstractNumId w:val="18"/>
  </w:num>
  <w:num w:numId="39">
    <w:abstractNumId w:val="12"/>
  </w:num>
  <w:num w:numId="40">
    <w:abstractNumId w:val="31"/>
  </w:num>
  <w:num w:numId="41">
    <w:abstractNumId w:val="36"/>
  </w:num>
  <w:num w:numId="42">
    <w:abstractNumId w:val="13"/>
  </w:num>
  <w:num w:numId="43">
    <w:abstractNumId w:val="26"/>
  </w:num>
  <w:num w:numId="44">
    <w:abstractNumId w:val="18"/>
  </w:num>
  <w:num w:numId="45">
    <w:abstractNumId w:val="36"/>
  </w:num>
  <w:num w:numId="4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27DC"/>
    <w:rsid w:val="00002465"/>
    <w:rsid w:val="000048B5"/>
    <w:rsid w:val="000104BD"/>
    <w:rsid w:val="0001212F"/>
    <w:rsid w:val="000135F6"/>
    <w:rsid w:val="00032134"/>
    <w:rsid w:val="00033326"/>
    <w:rsid w:val="00037813"/>
    <w:rsid w:val="00047952"/>
    <w:rsid w:val="00051ED5"/>
    <w:rsid w:val="000522FD"/>
    <w:rsid w:val="000531BD"/>
    <w:rsid w:val="00055CB6"/>
    <w:rsid w:val="00062C21"/>
    <w:rsid w:val="000700C3"/>
    <w:rsid w:val="000727DC"/>
    <w:rsid w:val="00073C93"/>
    <w:rsid w:val="000874E4"/>
    <w:rsid w:val="00095554"/>
    <w:rsid w:val="000A64C1"/>
    <w:rsid w:val="000A7051"/>
    <w:rsid w:val="000A7240"/>
    <w:rsid w:val="000B5E64"/>
    <w:rsid w:val="000C3C25"/>
    <w:rsid w:val="000C6ECA"/>
    <w:rsid w:val="000D4A00"/>
    <w:rsid w:val="000D6C2E"/>
    <w:rsid w:val="000D7DA5"/>
    <w:rsid w:val="000E3612"/>
    <w:rsid w:val="0010269C"/>
    <w:rsid w:val="001112B8"/>
    <w:rsid w:val="001350C6"/>
    <w:rsid w:val="00141491"/>
    <w:rsid w:val="001446A7"/>
    <w:rsid w:val="001575A8"/>
    <w:rsid w:val="001638D5"/>
    <w:rsid w:val="00163C9F"/>
    <w:rsid w:val="00175216"/>
    <w:rsid w:val="00183776"/>
    <w:rsid w:val="00187554"/>
    <w:rsid w:val="0019137E"/>
    <w:rsid w:val="001A5CB4"/>
    <w:rsid w:val="001B18E2"/>
    <w:rsid w:val="001B34F3"/>
    <w:rsid w:val="001B54D4"/>
    <w:rsid w:val="001C16A8"/>
    <w:rsid w:val="001C21AE"/>
    <w:rsid w:val="001C4164"/>
    <w:rsid w:val="001C74C3"/>
    <w:rsid w:val="001D17E1"/>
    <w:rsid w:val="001F317B"/>
    <w:rsid w:val="001F5B91"/>
    <w:rsid w:val="00207EE3"/>
    <w:rsid w:val="002250BE"/>
    <w:rsid w:val="00245849"/>
    <w:rsid w:val="00245D75"/>
    <w:rsid w:val="00251C3F"/>
    <w:rsid w:val="002751FD"/>
    <w:rsid w:val="0027569D"/>
    <w:rsid w:val="0028043D"/>
    <w:rsid w:val="002810FD"/>
    <w:rsid w:val="00281257"/>
    <w:rsid w:val="0028485E"/>
    <w:rsid w:val="002914FD"/>
    <w:rsid w:val="002921E5"/>
    <w:rsid w:val="00293B76"/>
    <w:rsid w:val="002949DD"/>
    <w:rsid w:val="00294BA3"/>
    <w:rsid w:val="00295E01"/>
    <w:rsid w:val="002A7617"/>
    <w:rsid w:val="002A7ED7"/>
    <w:rsid w:val="002A7FA1"/>
    <w:rsid w:val="002C499A"/>
    <w:rsid w:val="002C738A"/>
    <w:rsid w:val="002D5529"/>
    <w:rsid w:val="002D7217"/>
    <w:rsid w:val="002E1642"/>
    <w:rsid w:val="002E5A73"/>
    <w:rsid w:val="002F1B0A"/>
    <w:rsid w:val="00310DDF"/>
    <w:rsid w:val="00314A52"/>
    <w:rsid w:val="00320A0D"/>
    <w:rsid w:val="00324304"/>
    <w:rsid w:val="00347DB6"/>
    <w:rsid w:val="003601B2"/>
    <w:rsid w:val="00362A7D"/>
    <w:rsid w:val="00376493"/>
    <w:rsid w:val="003768C5"/>
    <w:rsid w:val="0038012C"/>
    <w:rsid w:val="003823FD"/>
    <w:rsid w:val="003903EE"/>
    <w:rsid w:val="00391EFC"/>
    <w:rsid w:val="003926C6"/>
    <w:rsid w:val="00393CBC"/>
    <w:rsid w:val="00396154"/>
    <w:rsid w:val="003B0A83"/>
    <w:rsid w:val="003B7252"/>
    <w:rsid w:val="003C6D9A"/>
    <w:rsid w:val="003E3693"/>
    <w:rsid w:val="003F4325"/>
    <w:rsid w:val="00403F24"/>
    <w:rsid w:val="00413EDA"/>
    <w:rsid w:val="0041406A"/>
    <w:rsid w:val="00415F4C"/>
    <w:rsid w:val="0042519D"/>
    <w:rsid w:val="00426C67"/>
    <w:rsid w:val="00430A5B"/>
    <w:rsid w:val="004342FA"/>
    <w:rsid w:val="00437572"/>
    <w:rsid w:val="00437B4C"/>
    <w:rsid w:val="004437D4"/>
    <w:rsid w:val="004447EF"/>
    <w:rsid w:val="00452DAF"/>
    <w:rsid w:val="00460847"/>
    <w:rsid w:val="004668E7"/>
    <w:rsid w:val="00472482"/>
    <w:rsid w:val="00480313"/>
    <w:rsid w:val="004938CC"/>
    <w:rsid w:val="00495EEF"/>
    <w:rsid w:val="004A77F1"/>
    <w:rsid w:val="004C1599"/>
    <w:rsid w:val="004D3BAA"/>
    <w:rsid w:val="004D77E1"/>
    <w:rsid w:val="004E577D"/>
    <w:rsid w:val="004F3BA0"/>
    <w:rsid w:val="004F6651"/>
    <w:rsid w:val="00525FDE"/>
    <w:rsid w:val="00526C7D"/>
    <w:rsid w:val="005359E9"/>
    <w:rsid w:val="00540C17"/>
    <w:rsid w:val="0055792B"/>
    <w:rsid w:val="00557FBF"/>
    <w:rsid w:val="00562CED"/>
    <w:rsid w:val="00563124"/>
    <w:rsid w:val="005665EB"/>
    <w:rsid w:val="00566B56"/>
    <w:rsid w:val="00570D7A"/>
    <w:rsid w:val="0058495A"/>
    <w:rsid w:val="00584984"/>
    <w:rsid w:val="005934C3"/>
    <w:rsid w:val="00594308"/>
    <w:rsid w:val="005A6BCE"/>
    <w:rsid w:val="005A7374"/>
    <w:rsid w:val="005B7409"/>
    <w:rsid w:val="005C15CC"/>
    <w:rsid w:val="005D5961"/>
    <w:rsid w:val="005E36A7"/>
    <w:rsid w:val="005F4523"/>
    <w:rsid w:val="005F4C81"/>
    <w:rsid w:val="005F65A1"/>
    <w:rsid w:val="006125D7"/>
    <w:rsid w:val="006160AE"/>
    <w:rsid w:val="006204CC"/>
    <w:rsid w:val="00622808"/>
    <w:rsid w:val="0062450A"/>
    <w:rsid w:val="00624976"/>
    <w:rsid w:val="00631715"/>
    <w:rsid w:val="00634A60"/>
    <w:rsid w:val="00637340"/>
    <w:rsid w:val="00650516"/>
    <w:rsid w:val="0065730F"/>
    <w:rsid w:val="0066094F"/>
    <w:rsid w:val="00663CB8"/>
    <w:rsid w:val="006657CC"/>
    <w:rsid w:val="006677D0"/>
    <w:rsid w:val="00677566"/>
    <w:rsid w:val="00677FB7"/>
    <w:rsid w:val="0068044E"/>
    <w:rsid w:val="00683A7D"/>
    <w:rsid w:val="006A5514"/>
    <w:rsid w:val="006A6EA2"/>
    <w:rsid w:val="006D0835"/>
    <w:rsid w:val="006D5C89"/>
    <w:rsid w:val="006E4155"/>
    <w:rsid w:val="006F2B0C"/>
    <w:rsid w:val="006F7BDF"/>
    <w:rsid w:val="007033AE"/>
    <w:rsid w:val="007115B4"/>
    <w:rsid w:val="007115C5"/>
    <w:rsid w:val="007143CE"/>
    <w:rsid w:val="00717CAB"/>
    <w:rsid w:val="007239FC"/>
    <w:rsid w:val="00724454"/>
    <w:rsid w:val="0073729C"/>
    <w:rsid w:val="0074502C"/>
    <w:rsid w:val="00766EED"/>
    <w:rsid w:val="00773798"/>
    <w:rsid w:val="0078068A"/>
    <w:rsid w:val="00781A8D"/>
    <w:rsid w:val="00782D05"/>
    <w:rsid w:val="007835D4"/>
    <w:rsid w:val="0079169E"/>
    <w:rsid w:val="0079558F"/>
    <w:rsid w:val="00796267"/>
    <w:rsid w:val="00796B82"/>
    <w:rsid w:val="007973CD"/>
    <w:rsid w:val="007B14F2"/>
    <w:rsid w:val="007B3E28"/>
    <w:rsid w:val="007C2038"/>
    <w:rsid w:val="007C49CE"/>
    <w:rsid w:val="007C595D"/>
    <w:rsid w:val="007D4904"/>
    <w:rsid w:val="007F4C01"/>
    <w:rsid w:val="007F6329"/>
    <w:rsid w:val="00801715"/>
    <w:rsid w:val="00802B20"/>
    <w:rsid w:val="00810373"/>
    <w:rsid w:val="008269A2"/>
    <w:rsid w:val="00827511"/>
    <w:rsid w:val="008414B4"/>
    <w:rsid w:val="00843A1D"/>
    <w:rsid w:val="00846779"/>
    <w:rsid w:val="00854846"/>
    <w:rsid w:val="0085547C"/>
    <w:rsid w:val="008621B3"/>
    <w:rsid w:val="008639CA"/>
    <w:rsid w:val="00880DE1"/>
    <w:rsid w:val="00881D8B"/>
    <w:rsid w:val="00881EE7"/>
    <w:rsid w:val="00882666"/>
    <w:rsid w:val="00897AFA"/>
    <w:rsid w:val="008A2780"/>
    <w:rsid w:val="008A5CA7"/>
    <w:rsid w:val="008A71EB"/>
    <w:rsid w:val="008B534D"/>
    <w:rsid w:val="008B798C"/>
    <w:rsid w:val="008C03D1"/>
    <w:rsid w:val="008C255B"/>
    <w:rsid w:val="008C3634"/>
    <w:rsid w:val="008C4B31"/>
    <w:rsid w:val="008C5169"/>
    <w:rsid w:val="008E274F"/>
    <w:rsid w:val="008E4F71"/>
    <w:rsid w:val="008E7CF0"/>
    <w:rsid w:val="008F53F7"/>
    <w:rsid w:val="009034ED"/>
    <w:rsid w:val="0090477D"/>
    <w:rsid w:val="00907B1B"/>
    <w:rsid w:val="00910FF6"/>
    <w:rsid w:val="00911591"/>
    <w:rsid w:val="00913A35"/>
    <w:rsid w:val="00920086"/>
    <w:rsid w:val="00920223"/>
    <w:rsid w:val="00921B88"/>
    <w:rsid w:val="00923438"/>
    <w:rsid w:val="0093348E"/>
    <w:rsid w:val="00934D30"/>
    <w:rsid w:val="00937052"/>
    <w:rsid w:val="00943D07"/>
    <w:rsid w:val="00945DA1"/>
    <w:rsid w:val="00953DE3"/>
    <w:rsid w:val="00982B27"/>
    <w:rsid w:val="009A3F73"/>
    <w:rsid w:val="009A4470"/>
    <w:rsid w:val="009A52D6"/>
    <w:rsid w:val="009B0CA5"/>
    <w:rsid w:val="009B2952"/>
    <w:rsid w:val="009B3463"/>
    <w:rsid w:val="009B58CC"/>
    <w:rsid w:val="009C2528"/>
    <w:rsid w:val="009D6338"/>
    <w:rsid w:val="009E7EA6"/>
    <w:rsid w:val="009F10F4"/>
    <w:rsid w:val="009F332A"/>
    <w:rsid w:val="00A00183"/>
    <w:rsid w:val="00A12112"/>
    <w:rsid w:val="00A414EB"/>
    <w:rsid w:val="00A45F94"/>
    <w:rsid w:val="00A55596"/>
    <w:rsid w:val="00A65A51"/>
    <w:rsid w:val="00A7189B"/>
    <w:rsid w:val="00A71E92"/>
    <w:rsid w:val="00A74081"/>
    <w:rsid w:val="00A83967"/>
    <w:rsid w:val="00AB119C"/>
    <w:rsid w:val="00AB564C"/>
    <w:rsid w:val="00AB7157"/>
    <w:rsid w:val="00AC551F"/>
    <w:rsid w:val="00AD3B62"/>
    <w:rsid w:val="00AD49F1"/>
    <w:rsid w:val="00AE5EDA"/>
    <w:rsid w:val="00B0249F"/>
    <w:rsid w:val="00B04592"/>
    <w:rsid w:val="00B05BBA"/>
    <w:rsid w:val="00B06CE2"/>
    <w:rsid w:val="00B070C6"/>
    <w:rsid w:val="00B2276F"/>
    <w:rsid w:val="00B360C9"/>
    <w:rsid w:val="00B408BC"/>
    <w:rsid w:val="00B42F03"/>
    <w:rsid w:val="00B42F15"/>
    <w:rsid w:val="00B44DB6"/>
    <w:rsid w:val="00B469A6"/>
    <w:rsid w:val="00B521E7"/>
    <w:rsid w:val="00B524CF"/>
    <w:rsid w:val="00B74B70"/>
    <w:rsid w:val="00B830D6"/>
    <w:rsid w:val="00B87205"/>
    <w:rsid w:val="00B87827"/>
    <w:rsid w:val="00B931E7"/>
    <w:rsid w:val="00B96053"/>
    <w:rsid w:val="00B96D40"/>
    <w:rsid w:val="00B97253"/>
    <w:rsid w:val="00BA0164"/>
    <w:rsid w:val="00BA14BE"/>
    <w:rsid w:val="00BA4BEE"/>
    <w:rsid w:val="00BA6288"/>
    <w:rsid w:val="00BB0356"/>
    <w:rsid w:val="00BB663D"/>
    <w:rsid w:val="00BE2074"/>
    <w:rsid w:val="00BE3AF3"/>
    <w:rsid w:val="00BE55C7"/>
    <w:rsid w:val="00BE64FF"/>
    <w:rsid w:val="00BF08E2"/>
    <w:rsid w:val="00C00432"/>
    <w:rsid w:val="00C10690"/>
    <w:rsid w:val="00C1389A"/>
    <w:rsid w:val="00C13CC1"/>
    <w:rsid w:val="00C20DB0"/>
    <w:rsid w:val="00C21DE2"/>
    <w:rsid w:val="00C33C63"/>
    <w:rsid w:val="00C4012A"/>
    <w:rsid w:val="00C40691"/>
    <w:rsid w:val="00C458CF"/>
    <w:rsid w:val="00C47922"/>
    <w:rsid w:val="00C61349"/>
    <w:rsid w:val="00C615EF"/>
    <w:rsid w:val="00C628FD"/>
    <w:rsid w:val="00C7132E"/>
    <w:rsid w:val="00C729BB"/>
    <w:rsid w:val="00C739BA"/>
    <w:rsid w:val="00C75290"/>
    <w:rsid w:val="00C77223"/>
    <w:rsid w:val="00C8640B"/>
    <w:rsid w:val="00C86575"/>
    <w:rsid w:val="00C96AE6"/>
    <w:rsid w:val="00C974A5"/>
    <w:rsid w:val="00CA0423"/>
    <w:rsid w:val="00CB6DF9"/>
    <w:rsid w:val="00CC23C9"/>
    <w:rsid w:val="00CD47BE"/>
    <w:rsid w:val="00CE3FDA"/>
    <w:rsid w:val="00D01387"/>
    <w:rsid w:val="00D02FA8"/>
    <w:rsid w:val="00D17948"/>
    <w:rsid w:val="00D22E8A"/>
    <w:rsid w:val="00D31B88"/>
    <w:rsid w:val="00D35ABB"/>
    <w:rsid w:val="00D37E35"/>
    <w:rsid w:val="00D70B08"/>
    <w:rsid w:val="00D733B4"/>
    <w:rsid w:val="00D9579B"/>
    <w:rsid w:val="00DB1BA5"/>
    <w:rsid w:val="00DB3060"/>
    <w:rsid w:val="00DD1C37"/>
    <w:rsid w:val="00DD4013"/>
    <w:rsid w:val="00DF04C7"/>
    <w:rsid w:val="00E106FE"/>
    <w:rsid w:val="00E131E1"/>
    <w:rsid w:val="00E40C83"/>
    <w:rsid w:val="00E43CAF"/>
    <w:rsid w:val="00E6623A"/>
    <w:rsid w:val="00E91F0F"/>
    <w:rsid w:val="00E95AB2"/>
    <w:rsid w:val="00EA3D1A"/>
    <w:rsid w:val="00EA4F1E"/>
    <w:rsid w:val="00EA5587"/>
    <w:rsid w:val="00EA61B4"/>
    <w:rsid w:val="00EB6634"/>
    <w:rsid w:val="00EC0AE6"/>
    <w:rsid w:val="00EC16B2"/>
    <w:rsid w:val="00EC3B28"/>
    <w:rsid w:val="00EC7711"/>
    <w:rsid w:val="00EE0CEC"/>
    <w:rsid w:val="00EE1757"/>
    <w:rsid w:val="00EE6F0B"/>
    <w:rsid w:val="00EF1F6E"/>
    <w:rsid w:val="00EF7DF7"/>
    <w:rsid w:val="00F11C19"/>
    <w:rsid w:val="00F345D8"/>
    <w:rsid w:val="00F35F35"/>
    <w:rsid w:val="00F448DD"/>
    <w:rsid w:val="00F617E1"/>
    <w:rsid w:val="00F62267"/>
    <w:rsid w:val="00F6362C"/>
    <w:rsid w:val="00FC2F19"/>
    <w:rsid w:val="00FC3318"/>
    <w:rsid w:val="00FC64B9"/>
    <w:rsid w:val="00FD4CC6"/>
    <w:rsid w:val="00FE66AB"/>
    <w:rsid w:val="00FF3261"/>
    <w:rsid w:val="00FF4410"/>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39"/>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0"/>
      </w:numPr>
    </w:pPr>
  </w:style>
  <w:style w:type="paragraph" w:customStyle="1" w:styleId="BodyTextNumbered">
    <w:name w:val="_Body Text Numbered"/>
    <w:basedOn w:val="BodyText"/>
    <w:rsid w:val="00B74B70"/>
    <w:pPr>
      <w:numPr>
        <w:numId w:val="41"/>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42"/>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43"/>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44"/>
      </w:numPr>
    </w:pPr>
    <w:rPr>
      <w:color w:val="E36C0A" w:themeColor="accent6" w:themeShade="BF"/>
    </w:rPr>
  </w:style>
  <w:style w:type="paragraph" w:styleId="Caption">
    <w:name w:val="caption"/>
    <w:basedOn w:val="Normal"/>
    <w:next w:val="Normal"/>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39"/>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0"/>
      </w:numPr>
    </w:pPr>
  </w:style>
  <w:style w:type="paragraph" w:customStyle="1" w:styleId="BodyTextNumbered">
    <w:name w:val="_Body Text Numbered"/>
    <w:basedOn w:val="BodyText"/>
    <w:rsid w:val="00B74B70"/>
    <w:pPr>
      <w:numPr>
        <w:numId w:val="41"/>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42"/>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43"/>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44"/>
      </w:numPr>
    </w:pPr>
    <w:rPr>
      <w:color w:val="E36C0A" w:themeColor="accent6" w:themeShade="BF"/>
    </w:rPr>
  </w:style>
  <w:style w:type="paragraph" w:styleId="Caption">
    <w:name w:val="caption"/>
    <w:basedOn w:val="Normal"/>
    <w:next w:val="Normal"/>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is.wmo.int/FPcdrm"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is.wmo.int/FPcdrm"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M:\Application\Microsoft\Templates\_ISS_Report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6F3933-395B-4FC2-A071-BE9946F221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_ISS_Report_template.dotx</Template>
  <TotalTime>596</TotalTime>
  <Pages>6</Pages>
  <Words>1780</Words>
  <Characters>10151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11908</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Foreman</dc:creator>
  <cp:lastModifiedBy>Steve Foreman</cp:lastModifiedBy>
  <cp:revision>10</cp:revision>
  <cp:lastPrinted>2012-03-15T15:21:00Z</cp:lastPrinted>
  <dcterms:created xsi:type="dcterms:W3CDTF">2017-08-07T14:36:00Z</dcterms:created>
  <dcterms:modified xsi:type="dcterms:W3CDTF">2017-08-14T08:14:00Z</dcterms:modified>
</cp:coreProperties>
</file>