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FBF" w:rsidRPr="00F15FBF" w:rsidRDefault="00F15FBF" w:rsidP="00F15FBF">
      <w:pPr>
        <w:shd w:val="clear" w:color="auto" w:fill="FFFFFF"/>
        <w:spacing w:after="0" w:line="240" w:lineRule="auto"/>
        <w:rPr>
          <w:rFonts w:asciiTheme="majorHAnsi" w:eastAsiaTheme="majorEastAsia" w:hAnsiTheme="majorHAnsi" w:cstheme="majorBidi"/>
          <w:b/>
          <w:bCs/>
          <w:color w:val="365F91" w:themeColor="accent1" w:themeShade="BF"/>
          <w:sz w:val="28"/>
          <w:szCs w:val="28"/>
        </w:rPr>
      </w:pPr>
      <w:proofErr w:type="spellStart"/>
      <w:r w:rsidRPr="00F15FBF">
        <w:rPr>
          <w:rFonts w:asciiTheme="majorHAnsi" w:eastAsiaTheme="majorEastAsia" w:hAnsiTheme="majorHAnsi" w:cstheme="majorBidi"/>
          <w:b/>
          <w:bCs/>
          <w:color w:val="365F91" w:themeColor="accent1" w:themeShade="BF"/>
          <w:sz w:val="28"/>
          <w:szCs w:val="28"/>
        </w:rPr>
        <w:t>NetCDF</w:t>
      </w:r>
      <w:proofErr w:type="spellEnd"/>
      <w:r w:rsidRPr="00F15FBF">
        <w:rPr>
          <w:rFonts w:asciiTheme="majorHAnsi" w:eastAsiaTheme="majorEastAsia" w:hAnsiTheme="majorHAnsi" w:cstheme="majorBidi"/>
          <w:b/>
          <w:bCs/>
          <w:color w:val="365F91" w:themeColor="accent1" w:themeShade="BF"/>
          <w:sz w:val="28"/>
          <w:szCs w:val="28"/>
        </w:rPr>
        <w:t>/CF in the context of GCW: advantages and bottlenecks</w:t>
      </w:r>
    </w:p>
    <w:p w:rsidR="00F15FBF" w:rsidRPr="00F15FBF" w:rsidRDefault="00F15FBF" w:rsidP="00F15FBF">
      <w:pPr>
        <w:shd w:val="clear" w:color="auto" w:fill="FFFFFF"/>
        <w:spacing w:after="0" w:line="240" w:lineRule="auto"/>
        <w:rPr>
          <w:rFonts w:ascii="Arial" w:eastAsia="Times New Roman" w:hAnsi="Arial" w:cs="Arial"/>
          <w:color w:val="000000"/>
          <w:sz w:val="24"/>
          <w:szCs w:val="24"/>
          <w:lang w:eastAsia="zh-CN"/>
        </w:rPr>
      </w:pPr>
    </w:p>
    <w:p w:rsidR="00F15FBF" w:rsidRDefault="00F15FBF" w:rsidP="00F15FBF">
      <w:pPr>
        <w:shd w:val="clear" w:color="auto" w:fill="FFFFFF"/>
        <w:spacing w:after="0" w:line="240" w:lineRule="auto"/>
        <w:rPr>
          <w:rFonts w:ascii="Arial" w:eastAsia="Times New Roman" w:hAnsi="Arial" w:cs="Arial"/>
          <w:color w:val="000000"/>
          <w:sz w:val="24"/>
          <w:szCs w:val="24"/>
          <w:lang w:eastAsia="zh-CN"/>
        </w:rPr>
      </w:pPr>
      <w:r w:rsidRPr="00F15FBF">
        <w:rPr>
          <w:rFonts w:ascii="Arial" w:eastAsia="Times New Roman" w:hAnsi="Arial" w:cs="Arial"/>
          <w:color w:val="000000"/>
          <w:sz w:val="24"/>
          <w:szCs w:val="24"/>
          <w:lang w:eastAsia="zh-CN"/>
        </w:rPr>
        <w:t xml:space="preserve">In this presentation I will first show the conventions used by international monitoring programs for the compilation and distribution of glaciological data. The submission and sharing of this information, which usually comes from direct field measurements and/or remote sensing techniques, follow a series of guidelines and conventions that help standardize the datasets and facilitate the analyses of the data. </w:t>
      </w:r>
    </w:p>
    <w:p w:rsidR="00F15FBF" w:rsidRDefault="00F15FBF" w:rsidP="00F15FBF">
      <w:pPr>
        <w:shd w:val="clear" w:color="auto" w:fill="FFFFFF"/>
        <w:spacing w:after="0" w:line="240" w:lineRule="auto"/>
        <w:rPr>
          <w:rFonts w:ascii="Arial" w:eastAsia="Times New Roman" w:hAnsi="Arial" w:cs="Arial"/>
          <w:color w:val="000000"/>
          <w:sz w:val="24"/>
          <w:szCs w:val="24"/>
          <w:lang w:eastAsia="zh-CN"/>
        </w:rPr>
      </w:pPr>
    </w:p>
    <w:p w:rsidR="00F15FBF" w:rsidRDefault="00F15FBF" w:rsidP="00F15FBF">
      <w:pPr>
        <w:shd w:val="clear" w:color="auto" w:fill="FFFFFF"/>
        <w:spacing w:after="0" w:line="240" w:lineRule="auto"/>
        <w:rPr>
          <w:rFonts w:ascii="Arial" w:eastAsia="Times New Roman" w:hAnsi="Arial" w:cs="Arial"/>
          <w:color w:val="000000"/>
          <w:sz w:val="24"/>
          <w:szCs w:val="24"/>
          <w:lang w:eastAsia="zh-CN"/>
        </w:rPr>
      </w:pPr>
      <w:r w:rsidRPr="00F15FBF">
        <w:rPr>
          <w:rFonts w:ascii="Arial" w:eastAsia="Times New Roman" w:hAnsi="Arial" w:cs="Arial"/>
          <w:color w:val="000000"/>
          <w:sz w:val="24"/>
          <w:szCs w:val="24"/>
          <w:lang w:eastAsia="zh-CN"/>
        </w:rPr>
        <w:t xml:space="preserve">The World Glacier Monitoring Service (WGMS) maintains and distributes a global dataset that includes glaciological measurements from individual glaciers using specific conventions. The Randolph Glacier Inventory (RGI) and the Global Land Ice Measurements from Space (GLIMS) programs are complementary initiatives that manage global inventories of glacier outlines using another set of conventions. </w:t>
      </w:r>
    </w:p>
    <w:p w:rsidR="00F15FBF" w:rsidRDefault="00F15FBF" w:rsidP="00F15FBF">
      <w:pPr>
        <w:shd w:val="clear" w:color="auto" w:fill="FFFFFF"/>
        <w:spacing w:after="0" w:line="240" w:lineRule="auto"/>
        <w:rPr>
          <w:rFonts w:ascii="Arial" w:eastAsia="Times New Roman" w:hAnsi="Arial" w:cs="Arial"/>
          <w:color w:val="000000"/>
          <w:sz w:val="24"/>
          <w:szCs w:val="24"/>
          <w:lang w:eastAsia="zh-CN"/>
        </w:rPr>
      </w:pPr>
    </w:p>
    <w:p w:rsidR="00F15FBF" w:rsidRPr="00F15FBF" w:rsidRDefault="00F15FBF" w:rsidP="00F15FBF">
      <w:pPr>
        <w:shd w:val="clear" w:color="auto" w:fill="FFFFFF"/>
        <w:spacing w:after="0" w:line="240" w:lineRule="auto"/>
        <w:rPr>
          <w:rFonts w:ascii="Arial" w:eastAsia="Times New Roman" w:hAnsi="Arial" w:cs="Arial"/>
          <w:color w:val="000000"/>
          <w:sz w:val="24"/>
          <w:szCs w:val="24"/>
          <w:lang w:eastAsia="zh-CN"/>
        </w:rPr>
      </w:pPr>
      <w:bookmarkStart w:id="0" w:name="_GoBack"/>
      <w:bookmarkEnd w:id="0"/>
      <w:r w:rsidRPr="00F15FBF">
        <w:rPr>
          <w:rFonts w:ascii="Arial" w:eastAsia="Times New Roman" w:hAnsi="Arial" w:cs="Arial"/>
          <w:color w:val="000000"/>
          <w:sz w:val="24"/>
          <w:szCs w:val="24"/>
          <w:lang w:eastAsia="zh-CN"/>
        </w:rPr>
        <w:t xml:space="preserve">The use of a common standard format such as </w:t>
      </w:r>
      <w:proofErr w:type="spellStart"/>
      <w:r w:rsidRPr="00F15FBF">
        <w:rPr>
          <w:rFonts w:ascii="Arial" w:eastAsia="Times New Roman" w:hAnsi="Arial" w:cs="Arial"/>
          <w:color w:val="000000"/>
          <w:sz w:val="24"/>
          <w:szCs w:val="24"/>
          <w:lang w:eastAsia="zh-CN"/>
        </w:rPr>
        <w:t>NetCDF</w:t>
      </w:r>
      <w:proofErr w:type="spellEnd"/>
      <w:r w:rsidRPr="00F15FBF">
        <w:rPr>
          <w:rFonts w:ascii="Arial" w:eastAsia="Times New Roman" w:hAnsi="Arial" w:cs="Arial"/>
          <w:color w:val="000000"/>
          <w:sz w:val="24"/>
          <w:szCs w:val="24"/>
          <w:lang w:eastAsia="zh-CN"/>
        </w:rPr>
        <w:t>/CF could greatly facilitate the integration, accessibility and use of these large (and growing) glacier datasets. In this sense, the coordination by GCW/WMO could provide a framework for this process, enhancing the visibility and widening the potential applications of this valuable information.</w:t>
      </w:r>
    </w:p>
    <w:p w:rsidR="00F8649F" w:rsidRDefault="00F8649F">
      <w:pPr>
        <w:rPr>
          <w:rFonts w:ascii="Times New Roman" w:hAnsi="Times New Roman" w:cs="Times New Roman"/>
          <w:sz w:val="24"/>
          <w:szCs w:val="24"/>
        </w:rPr>
      </w:pPr>
    </w:p>
    <w:p w:rsidR="00F15FBF" w:rsidRDefault="00F15FBF" w:rsidP="00F8649F">
      <w:pPr>
        <w:jc w:val="cente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FBF" w:rsidRDefault="00F15FBF" w:rsidP="00BA350D">
      <w:pPr>
        <w:spacing w:after="0" w:line="240" w:lineRule="auto"/>
      </w:pPr>
      <w:r>
        <w:separator/>
      </w:r>
    </w:p>
  </w:endnote>
  <w:endnote w:type="continuationSeparator" w:id="0">
    <w:p w:rsidR="00F15FBF" w:rsidRDefault="00F15FB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FBF" w:rsidRDefault="00F15FBF" w:rsidP="00BA350D">
      <w:pPr>
        <w:spacing w:after="0" w:line="240" w:lineRule="auto"/>
      </w:pPr>
      <w:r>
        <w:separator/>
      </w:r>
    </w:p>
  </w:footnote>
  <w:footnote w:type="continuationSeparator" w:id="0">
    <w:p w:rsidR="00F15FBF" w:rsidRDefault="00F15FB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pPr>
      <w:pStyle w:val="Header"/>
      <w:jc w:val="center"/>
    </w:pPr>
    <w:r>
      <w:t>Agenda Item</w:t>
    </w:r>
    <w:r w:rsidR="0067003E">
      <w:t>.</w:t>
    </w:r>
    <w:r w:rsidR="00F8649F">
      <w:t xml:space="preserve"> </w:t>
    </w:r>
    <w:r w:rsidR="00F8649F" w:rsidRPr="00F8649F">
      <w:rPr>
        <w:highlight w:val="yellow"/>
      </w:rPr>
      <w:t>[</w:t>
    </w:r>
    <w:r w:rsidR="0067003E">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F15FBF">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763" w:type="dxa"/>
      <w:tblLayout w:type="fixed"/>
      <w:tblLook w:val="0000" w:firstRow="0" w:lastRow="0" w:firstColumn="0" w:lastColumn="0" w:noHBand="0" w:noVBand="0"/>
    </w:tblPr>
    <w:tblGrid>
      <w:gridCol w:w="4548"/>
      <w:gridCol w:w="2364"/>
      <w:gridCol w:w="3851"/>
    </w:tblGrid>
    <w:tr w:rsidR="00BA350D" w:rsidRPr="00812884" w:rsidTr="00F15FBF">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6215"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629784791" r:id="rId2"/>
            </w:object>
          </w:r>
        </w:p>
      </w:tc>
    </w:tr>
    <w:tr w:rsidR="00BA350D" w:rsidRPr="00812884" w:rsidTr="00F15FBF">
      <w:trPr>
        <w:cantSplit/>
      </w:trPr>
      <w:tc>
        <w:tcPr>
          <w:tcW w:w="6912"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F15FBF">
      <w:trPr>
        <w:cantSplit/>
        <w:trHeight w:val="312"/>
      </w:trPr>
      <w:tc>
        <w:tcPr>
          <w:tcW w:w="6912" w:type="dxa"/>
          <w:gridSpan w:val="2"/>
          <w:vMerge w:val="restart"/>
        </w:tcPr>
        <w:p w:rsidR="001259A1" w:rsidRDefault="008741D4" w:rsidP="005F0C8B">
          <w:pPr>
            <w:shd w:val="solid" w:color="FFFFFF" w:fill="FFFFFF"/>
            <w:spacing w:after="240"/>
            <w:ind w:firstLine="36"/>
            <w:rPr>
              <w:rFonts w:ascii="Times New Roman" w:hAnsi="Times New Roman" w:cs="Times New Roman"/>
              <w:b/>
              <w:sz w:val="28"/>
              <w:szCs w:val="20"/>
            </w:rPr>
          </w:pPr>
          <w:proofErr w:type="spellStart"/>
          <w:r>
            <w:rPr>
              <w:rFonts w:ascii="Times New Roman" w:hAnsi="Times New Roman" w:cs="Times New Roman"/>
              <w:b/>
              <w:sz w:val="28"/>
              <w:szCs w:val="20"/>
            </w:rPr>
            <w:t>netCDF</w:t>
          </w:r>
          <w:proofErr w:type="spellEnd"/>
          <w:r>
            <w:rPr>
              <w:rFonts w:ascii="Times New Roman" w:hAnsi="Times New Roman" w:cs="Times New Roman"/>
              <w:b/>
              <w:sz w:val="28"/>
              <w:szCs w:val="20"/>
            </w:rPr>
            <w:t xml:space="preserve"> </w:t>
          </w:r>
          <w:r w:rsidR="001259A1">
            <w:rPr>
              <w:rFonts w:ascii="Times New Roman" w:hAnsi="Times New Roman" w:cs="Times New Roman"/>
              <w:b/>
              <w:sz w:val="28"/>
              <w:szCs w:val="20"/>
            </w:rPr>
            <w:t>CF conventions for WMO data exchange</w:t>
          </w:r>
        </w:p>
        <w:p w:rsidR="00BA350D" w:rsidRDefault="001259A1" w:rsidP="001259A1">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19-20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w:t>
          </w:r>
          <w:r w:rsidR="005F0C8B">
            <w:rPr>
              <w:rFonts w:ascii="Times New Roman" w:hAnsi="Times New Roman" w:cs="Times New Roman"/>
              <w:b/>
              <w:sz w:val="28"/>
              <w:szCs w:val="20"/>
            </w:rPr>
            <w:t>9</w:t>
          </w:r>
        </w:p>
        <w:p w:rsidR="0013270C" w:rsidRPr="00F15FBF" w:rsidRDefault="0013270C" w:rsidP="00F15FBF">
          <w:pPr>
            <w:shd w:val="solid" w:color="FFFFFF" w:fill="FFFFFF"/>
            <w:spacing w:after="240"/>
            <w:ind w:left="1134" w:hanging="1134"/>
            <w:rPr>
              <w:rFonts w:ascii="Times New Roman" w:hAnsi="Times New Roman" w:cs="Times New Roman"/>
              <w:sz w:val="28"/>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F15FBF">
            <w:rPr>
              <w:rFonts w:ascii="Times New Roman" w:hAnsi="Times New Roman" w:cs="Times New Roman"/>
              <w:sz w:val="28"/>
              <w:szCs w:val="20"/>
            </w:rPr>
            <w:t xml:space="preserve"> Mariano </w:t>
          </w:r>
          <w:proofErr w:type="spellStart"/>
          <w:r w:rsidR="00F15FBF">
            <w:rPr>
              <w:rFonts w:ascii="Times New Roman" w:hAnsi="Times New Roman" w:cs="Times New Roman"/>
              <w:sz w:val="28"/>
              <w:szCs w:val="20"/>
            </w:rPr>
            <w:t>Masiokas</w:t>
          </w:r>
          <w:proofErr w:type="spellEnd"/>
          <w:r w:rsidR="00F15FBF">
            <w:rPr>
              <w:rFonts w:ascii="Times New Roman" w:hAnsi="Times New Roman" w:cs="Times New Roman"/>
              <w:sz w:val="28"/>
              <w:szCs w:val="20"/>
            </w:rPr>
            <w:t xml:space="preserve"> (</w:t>
          </w:r>
          <w:r w:rsidR="00F15FBF" w:rsidRPr="00F15FBF">
            <w:rPr>
              <w:rFonts w:ascii="Times New Roman" w:hAnsi="Times New Roman" w:cs="Times New Roman"/>
              <w:sz w:val="28"/>
              <w:szCs w:val="20"/>
            </w:rPr>
            <w:t>IANIGLA, Argentina</w:t>
          </w:r>
          <w:r w:rsidR="00F15FBF">
            <w:rPr>
              <w:rFonts w:ascii="Times New Roman" w:hAnsi="Times New Roman" w:cs="Times New Roman"/>
              <w:sz w:val="28"/>
              <w:szCs w:val="20"/>
            </w:rPr>
            <w:t>)</w:t>
          </w:r>
        </w:p>
      </w:tc>
      <w:tc>
        <w:tcPr>
          <w:tcW w:w="3851" w:type="dxa"/>
        </w:tcPr>
        <w:p w:rsidR="00BA350D" w:rsidRPr="009D716E" w:rsidRDefault="001259A1"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CF workshop</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C60717">
            <w:rPr>
              <w:rFonts w:ascii="Times New Roman" w:hAnsi="Times New Roman" w:cs="Times New Roman"/>
              <w:b/>
              <w:bCs/>
              <w:sz w:val="28"/>
              <w:szCs w:val="20"/>
              <w:lang w:eastAsia="zh-CN"/>
            </w:rPr>
            <w:t>x</w:t>
          </w:r>
          <w:r w:rsidR="009B722A">
            <w:rPr>
              <w:rFonts w:ascii="Times New Roman" w:hAnsi="Times New Roman" w:cs="Times New Roman"/>
              <w:b/>
              <w:bCs/>
              <w:sz w:val="28"/>
              <w:szCs w:val="20"/>
              <w:lang w:eastAsia="zh-CN"/>
            </w:rPr>
            <w:t>x</w:t>
          </w:r>
          <w:r w:rsidR="00F8649F" w:rsidRPr="009D716E">
            <w:rPr>
              <w:rFonts w:ascii="Times New Roman" w:hAnsi="Times New Roman" w:cs="Times New Roman"/>
              <w:b/>
              <w:bCs/>
              <w:sz w:val="28"/>
              <w:szCs w:val="20"/>
              <w:lang w:eastAsia="zh-CN"/>
            </w:rPr>
            <w:t>]</w:t>
          </w:r>
        </w:p>
      </w:tc>
    </w:tr>
    <w:tr w:rsidR="00BA350D" w:rsidRPr="00812884" w:rsidTr="00F15FBF">
      <w:trPr>
        <w:cantSplit/>
        <w:trHeight w:val="81"/>
      </w:trPr>
      <w:tc>
        <w:tcPr>
          <w:tcW w:w="6912"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13270C" w:rsidP="005F0C8B">
          <w:pPr>
            <w:shd w:val="solid" w:color="FFFFFF" w:fill="FFFFFF"/>
            <w:spacing w:line="240" w:lineRule="atLeast"/>
            <w:rPr>
              <w:rFonts w:ascii="Times New Roman" w:hAnsi="Times New Roman" w:cs="Times New Roman"/>
              <w:sz w:val="28"/>
              <w:szCs w:val="20"/>
              <w:lang w:eastAsia="zh-CN"/>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FBF"/>
    <w:rsid w:val="000E62F7"/>
    <w:rsid w:val="001259A1"/>
    <w:rsid w:val="0013270C"/>
    <w:rsid w:val="001A7EB8"/>
    <w:rsid w:val="00302A95"/>
    <w:rsid w:val="00382768"/>
    <w:rsid w:val="00393854"/>
    <w:rsid w:val="00456F30"/>
    <w:rsid w:val="004C627B"/>
    <w:rsid w:val="00511FE7"/>
    <w:rsid w:val="005F0C8B"/>
    <w:rsid w:val="0067003E"/>
    <w:rsid w:val="00711EBB"/>
    <w:rsid w:val="00785D74"/>
    <w:rsid w:val="008741D4"/>
    <w:rsid w:val="008C157E"/>
    <w:rsid w:val="0094789B"/>
    <w:rsid w:val="009B722A"/>
    <w:rsid w:val="009C3DE0"/>
    <w:rsid w:val="009D716E"/>
    <w:rsid w:val="00A25CFC"/>
    <w:rsid w:val="00A27A48"/>
    <w:rsid w:val="00B36904"/>
    <w:rsid w:val="00B439DE"/>
    <w:rsid w:val="00BA350D"/>
    <w:rsid w:val="00C5333A"/>
    <w:rsid w:val="00C60717"/>
    <w:rsid w:val="00CB6D6D"/>
    <w:rsid w:val="00CF7953"/>
    <w:rsid w:val="00D55749"/>
    <w:rsid w:val="00DE45A1"/>
    <w:rsid w:val="00E212B8"/>
    <w:rsid w:val="00F15FBF"/>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385490861">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internal.wmo.int\UserData\Redirected\efucile\Documents\CF\wiki\CF%20workshop-template-r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5C427A-F2E9-4E77-9E62-5DD14071C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CF workshop-template-r1</Template>
  <TotalTime>3</TotalTime>
  <Pages>1</Pages>
  <Words>185</Words>
  <Characters>1060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Enrico Fucile</cp:lastModifiedBy>
  <cp:revision>1</cp:revision>
  <dcterms:created xsi:type="dcterms:W3CDTF">2019-09-12T07:10:00Z</dcterms:created>
  <dcterms:modified xsi:type="dcterms:W3CDTF">2019-09-12T07:13:00Z</dcterms:modified>
</cp:coreProperties>
</file>