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49F" w:rsidRDefault="007944C0" w:rsidP="00F8649F">
      <w:pPr>
        <w:pStyle w:val="berschrift1"/>
      </w:pPr>
      <w:r>
        <w:t>Operational Information Exchange</w:t>
      </w:r>
    </w:p>
    <w:p w:rsidR="00434A4A" w:rsidRDefault="00434A4A" w:rsidP="00434A4A">
      <w:pPr>
        <w:pStyle w:val="berschrift2"/>
      </w:pPr>
      <w:r>
        <w:t>Background</w:t>
      </w:r>
    </w:p>
    <w:p w:rsidR="00434A4A" w:rsidRDefault="00CF5E73" w:rsidP="00434A4A">
      <w:r>
        <w:t xml:space="preserve">ET-WISC ToR (f) states that ET-WISC is to review, develop and coordinate recommended practices and guidance on access to, and management of, operational information related to exchange of information through the WIS. </w:t>
      </w:r>
      <w:r w:rsidR="00434A4A">
        <w:t xml:space="preserve">As noted by TT GISC 2014 [3] there is no regulation on what information should be send how to whom. One outcome of this meeting was the section on communication on the GISC Ops page [2]. However DC/PCs and NCs are missing so far. </w:t>
      </w:r>
    </w:p>
    <w:p w:rsidR="00434A4A" w:rsidRDefault="00434A4A" w:rsidP="00434A4A">
      <w:r>
        <w:t>Currently there are different communication strategies in actual use but so far no binding regulation has been put in place. At TT GISC 2</w:t>
      </w:r>
      <w:r w:rsidR="00910FF4">
        <w:t>016 GISC Offenbach presented it</w:t>
      </w:r>
      <w:r>
        <w:t>s strategy for outage notification i</w:t>
      </w:r>
      <w:r w:rsidR="00910FF4">
        <w:t>ncluding it</w:t>
      </w:r>
      <w:r>
        <w:t>s communication channel in case of severe network issues which render Email unusable.</w:t>
      </w:r>
    </w:p>
    <w:p w:rsidR="00434A4A" w:rsidRPr="00434A4A" w:rsidRDefault="00434A4A" w:rsidP="00434A4A">
      <w:r>
        <w:t>This document tries to summarize the current practices and identify working areas which should be addressed by a</w:t>
      </w:r>
      <w:r w:rsidR="00910FF4">
        <w:t>n</w:t>
      </w:r>
      <w:r>
        <w:t xml:space="preserve"> Operational Information Exchange Subgroup adding a section on this matter to the Manual on WIS.</w:t>
      </w:r>
    </w:p>
    <w:p w:rsidR="00434A4A" w:rsidRDefault="007944C0" w:rsidP="00434A4A">
      <w:pPr>
        <w:pStyle w:val="berschrift2"/>
      </w:pPr>
      <w:r>
        <w:t>Scope</w:t>
      </w:r>
    </w:p>
    <w:p w:rsidR="00434A4A" w:rsidRDefault="00434A4A" w:rsidP="00434A4A">
      <w:r>
        <w:t>There are various information flows which need to be separated:</w:t>
      </w:r>
    </w:p>
    <w:p w:rsidR="00434A4A" w:rsidRDefault="00434A4A" w:rsidP="00434A4A">
      <w:pPr>
        <w:pStyle w:val="Listenabsatz"/>
        <w:numPr>
          <w:ilvl w:val="0"/>
          <w:numId w:val="4"/>
        </w:numPr>
      </w:pPr>
      <w:r>
        <w:t>NC/DCPC &lt;-&gt; Principal GISC</w:t>
      </w:r>
    </w:p>
    <w:p w:rsidR="00434A4A" w:rsidRDefault="00434A4A" w:rsidP="00434A4A">
      <w:pPr>
        <w:pStyle w:val="Listenabsatz"/>
      </w:pPr>
      <w:r>
        <w:t>Operational Information falling in this category is limited to the AoR of the GISC in question or bidirectio</w:t>
      </w:r>
      <w:r w:rsidR="00910FF4">
        <w:t>nal between a center and it</w:t>
      </w:r>
      <w:r>
        <w:t>s principal GISC. Guidelines in this category should be developed by each GISC for communication in its AoR</w:t>
      </w:r>
      <w:r w:rsidR="000B7BB7">
        <w:t xml:space="preserve"> and are not subject to this document.</w:t>
      </w:r>
    </w:p>
    <w:p w:rsidR="00434A4A" w:rsidRDefault="00434A4A" w:rsidP="00434A4A">
      <w:pPr>
        <w:pStyle w:val="Listenabsatz"/>
        <w:numPr>
          <w:ilvl w:val="0"/>
          <w:numId w:val="4"/>
        </w:numPr>
      </w:pPr>
      <w:r>
        <w:t>GISC 2 GISC</w:t>
      </w:r>
    </w:p>
    <w:p w:rsidR="00434A4A" w:rsidRDefault="00434A4A" w:rsidP="00434A4A">
      <w:pPr>
        <w:pStyle w:val="Listenabsatz"/>
      </w:pPr>
      <w:r>
        <w:t>Operational Information falling in this category is limited to two GISCs and is the standard way to address issues concerning only two GISCs like Problem reports from the GISC on-duty to the GISC affected.</w:t>
      </w:r>
    </w:p>
    <w:p w:rsidR="00434A4A" w:rsidRDefault="00434A4A" w:rsidP="00434A4A">
      <w:pPr>
        <w:pStyle w:val="Listenabsatz"/>
        <w:numPr>
          <w:ilvl w:val="0"/>
          <w:numId w:val="4"/>
        </w:numPr>
      </w:pPr>
      <w:r>
        <w:t>NC/DCPC &lt;-&gt; Principal GISC &lt;-&gt; Principal GISC &lt;-&gt; NC/DCPC</w:t>
      </w:r>
    </w:p>
    <w:p w:rsidR="000B7BB7" w:rsidRDefault="000B7BB7" w:rsidP="000B7BB7">
      <w:pPr>
        <w:pStyle w:val="Listenabsatz"/>
      </w:pPr>
      <w:r>
        <w:lastRenderedPageBreak/>
        <w:t>This category is used, when there is Information exchanged between two NCs/DCPCs. Messages falling into this category are transferred from Center to it’s principal GISC. And from this to the principal GISC of the targeted center. An example for this category are problem reports regarding Upper Air BUFRs</w:t>
      </w:r>
    </w:p>
    <w:p w:rsidR="00434A4A" w:rsidRDefault="00434A4A" w:rsidP="00434A4A">
      <w:pPr>
        <w:pStyle w:val="Listenabsatz"/>
        <w:numPr>
          <w:ilvl w:val="0"/>
          <w:numId w:val="4"/>
        </w:numPr>
      </w:pPr>
      <w:r>
        <w:t>GISC 2 GISC Broadcast</w:t>
      </w:r>
    </w:p>
    <w:p w:rsidR="000B7BB7" w:rsidRDefault="000B7BB7" w:rsidP="000B7BB7">
      <w:pPr>
        <w:pStyle w:val="Listenabsatz"/>
      </w:pPr>
      <w:r>
        <w:t>These are operational informations affecting multiple or all GISCs like GISC Watch handovers, outage information or announcements of planned downtimes.</w:t>
      </w:r>
    </w:p>
    <w:p w:rsidR="00434A4A" w:rsidRDefault="00434A4A" w:rsidP="00434A4A">
      <w:pPr>
        <w:pStyle w:val="Listenabsatz"/>
        <w:numPr>
          <w:ilvl w:val="0"/>
          <w:numId w:val="4"/>
        </w:numPr>
      </w:pPr>
      <w:r>
        <w:t>NC/DCPC &lt;-&gt; Principal GISC Broadcast &lt;-&gt; NC/DCPC</w:t>
      </w:r>
    </w:p>
    <w:p w:rsidR="000B7BB7" w:rsidRPr="00434A4A" w:rsidRDefault="000B7BB7" w:rsidP="000B7BB7">
      <w:pPr>
        <w:pStyle w:val="Listenabsatz"/>
      </w:pPr>
      <w:r>
        <w:t>This is the same as 4. However extended to NCs/DCPCs. In this category messages are sent from NC/DCPC to its principal GISC. This broadcasts the message to all other GISCs which then transmit to affected centers in their respective AoRs.</w:t>
      </w:r>
    </w:p>
    <w:p w:rsidR="007944C0" w:rsidRDefault="007944C0" w:rsidP="007944C0">
      <w:pPr>
        <w:pStyle w:val="berschrift2"/>
      </w:pPr>
      <w:r>
        <w:t>Required Information to communicate</w:t>
      </w:r>
    </w:p>
    <w:p w:rsidR="001A7EB8" w:rsidRDefault="000B7BB7" w:rsidP="000B7BB7">
      <w:pPr>
        <w:pStyle w:val="berschrift3"/>
      </w:pPr>
      <w:r>
        <w:t>Anncouncements</w:t>
      </w:r>
    </w:p>
    <w:p w:rsidR="00E469AE" w:rsidRPr="00E469AE" w:rsidRDefault="00E469AE" w:rsidP="00E469AE">
      <w:r>
        <w:t>Each GISC shall announce changes that are affecting</w:t>
      </w:r>
      <w:r w:rsidR="00910FF4">
        <w:t xml:space="preserve"> one of</w:t>
      </w:r>
      <w:r>
        <w:t xml:space="preserve"> the four GISC functions (data transfer, oai, sru or portal) at least a week in advance. NCs and DCPCs shall inform their principal GISC on changes that affect data transfer or the provision of metadata.</w:t>
      </w:r>
    </w:p>
    <w:p w:rsidR="000B7BB7" w:rsidRDefault="000B7BB7" w:rsidP="000B7BB7">
      <w:pPr>
        <w:pStyle w:val="berschrift3"/>
      </w:pPr>
      <w:r>
        <w:t>Outage Information</w:t>
      </w:r>
    </w:p>
    <w:p w:rsidR="00E469AE" w:rsidRPr="00E469AE" w:rsidRDefault="00E469AE" w:rsidP="00E469AE">
      <w:r>
        <w:t>Every outage in one of the four GISC functions or the data transfer capability as well as delays in the provision of essential data shall be reported.</w:t>
      </w:r>
    </w:p>
    <w:p w:rsidR="000B7BB7" w:rsidRDefault="000B7BB7" w:rsidP="000B7BB7">
      <w:pPr>
        <w:pStyle w:val="berschrift3"/>
      </w:pPr>
      <w:r>
        <w:t>Problem reports</w:t>
      </w:r>
    </w:p>
    <w:p w:rsidR="00E469AE" w:rsidRPr="00E469AE" w:rsidRDefault="00E469AE" w:rsidP="00E469AE">
      <w:r>
        <w:t>Issues noted by other parties for a center shall be reported and cc’ed to the GISC on-duty. In case of NCs or DCPCs communication should be performed via the principal GISCs.</w:t>
      </w:r>
      <w:r w:rsidR="00910FF4">
        <w:t xml:space="preserve"> This is not only limited to WIS issues, but addresses any issue in any WMO Program distributed on the WIS</w:t>
      </w:r>
    </w:p>
    <w:p w:rsidR="000B7BB7" w:rsidRDefault="000B7BB7" w:rsidP="000B7BB7">
      <w:pPr>
        <w:pStyle w:val="berschrift3"/>
      </w:pPr>
      <w:r>
        <w:t>Changes in data feeds / services</w:t>
      </w:r>
    </w:p>
    <w:p w:rsidR="00E469AE" w:rsidRPr="00E469AE" w:rsidRDefault="00E469AE" w:rsidP="00E469AE">
      <w:r>
        <w:t>Changes in data feeds or offered services shall be announced at least a week in advance.</w:t>
      </w:r>
    </w:p>
    <w:p w:rsidR="000B7BB7" w:rsidRPr="000B7BB7" w:rsidRDefault="000B7BB7" w:rsidP="000B7BB7"/>
    <w:p w:rsidR="00F8649F" w:rsidRDefault="007944C0" w:rsidP="00F8649F">
      <w:pPr>
        <w:pStyle w:val="berschrift2"/>
      </w:pPr>
      <w:r>
        <w:t>Communication Channels</w:t>
      </w:r>
    </w:p>
    <w:p w:rsidR="007944C0" w:rsidRDefault="007944C0" w:rsidP="007944C0">
      <w:pPr>
        <w:pStyle w:val="berschrift3"/>
      </w:pPr>
      <w:r>
        <w:t>Standard</w:t>
      </w:r>
    </w:p>
    <w:p w:rsidR="000B7BB7" w:rsidRDefault="000B7BB7" w:rsidP="000B7BB7">
      <w:pPr>
        <w:pStyle w:val="Listenabsatz"/>
        <w:numPr>
          <w:ilvl w:val="0"/>
          <w:numId w:val="5"/>
        </w:numPr>
      </w:pPr>
      <w:r>
        <w:t>Email</w:t>
      </w:r>
    </w:p>
    <w:p w:rsidR="000B7BB7" w:rsidRPr="000B7BB7" w:rsidRDefault="000B7BB7" w:rsidP="000B7BB7">
      <w:pPr>
        <w:pStyle w:val="Listenabsatz"/>
        <w:rPr>
          <w:u w:val="single"/>
        </w:rPr>
      </w:pPr>
      <w:r w:rsidRPr="000B7BB7">
        <w:rPr>
          <w:u w:val="single"/>
        </w:rPr>
        <w:t>Individual Email Ad</w:t>
      </w:r>
      <w:r>
        <w:rPr>
          <w:u w:val="single"/>
        </w:rPr>
        <w:t>d</w:t>
      </w:r>
      <w:r w:rsidRPr="000B7BB7">
        <w:rPr>
          <w:u w:val="single"/>
        </w:rPr>
        <w:t>resses</w:t>
      </w:r>
    </w:p>
    <w:p w:rsidR="000B7BB7" w:rsidRDefault="000B7BB7" w:rsidP="000B7BB7">
      <w:pPr>
        <w:pStyle w:val="Listenabsatz"/>
      </w:pPr>
      <w:r>
        <w:t xml:space="preserve">Each GISC shall provide two generic Email Addresses. One for contacting Administrators </w:t>
      </w:r>
      <w:r w:rsidR="00277D1B">
        <w:t xml:space="preserve">including the WIS Focal Points of </w:t>
      </w:r>
      <w:r>
        <w:t>the GISC node. The other for operational contact</w:t>
      </w:r>
      <w:r w:rsidR="00277D1B">
        <w:t xml:space="preserve"> points (24/7)</w:t>
      </w:r>
      <w:r>
        <w:t xml:space="preserve">. </w:t>
      </w:r>
      <w:r>
        <w:rPr>
          <w:rFonts w:ascii="Verdana" w:hAnsi="Verdana" w:cs="Arial"/>
          <w:sz w:val="18"/>
          <w:szCs w:val="18"/>
          <w:lang w:val="en"/>
        </w:rPr>
        <w:t>Th</w:t>
      </w:r>
      <w:r w:rsidR="00277D1B">
        <w:rPr>
          <w:rFonts w:ascii="Verdana" w:hAnsi="Verdana" w:cs="Arial"/>
          <w:sz w:val="18"/>
          <w:szCs w:val="18"/>
          <w:lang w:val="en"/>
        </w:rPr>
        <w:t>e</w:t>
      </w:r>
      <w:r>
        <w:rPr>
          <w:rFonts w:ascii="Verdana" w:hAnsi="Verdana" w:cs="Arial"/>
          <w:sz w:val="18"/>
          <w:szCs w:val="18"/>
          <w:lang w:val="en"/>
        </w:rPr>
        <w:t xml:space="preserve"> list of generic GISC email addresses is maintained by the chair of TT-GISC who refers to these as the GISCs help desk email, although this is not really the case for all GISCs. Each NC/DCPC should also provide th</w:t>
      </w:r>
      <w:r w:rsidR="00910FF4">
        <w:rPr>
          <w:rFonts w:ascii="Verdana" w:hAnsi="Verdana" w:cs="Arial"/>
          <w:sz w:val="18"/>
          <w:szCs w:val="18"/>
          <w:lang w:val="en"/>
        </w:rPr>
        <w:t>ese two contact addresses to it</w:t>
      </w:r>
      <w:r>
        <w:rPr>
          <w:rFonts w:ascii="Verdana" w:hAnsi="Verdana" w:cs="Arial"/>
          <w:sz w:val="18"/>
          <w:szCs w:val="18"/>
          <w:lang w:val="en"/>
        </w:rPr>
        <w:t>s principal GISC.</w:t>
      </w:r>
    </w:p>
    <w:p w:rsidR="000B7BB7" w:rsidRPr="000B7BB7" w:rsidRDefault="000B7BB7" w:rsidP="000B7BB7">
      <w:pPr>
        <w:pStyle w:val="Listenabsatz"/>
        <w:rPr>
          <w:u w:val="single"/>
        </w:rPr>
      </w:pPr>
      <w:r w:rsidRPr="000B7BB7">
        <w:rPr>
          <w:u w:val="single"/>
          <w:lang w:val="en"/>
        </w:rPr>
        <w:t>TT-GISC discussion and information forum</w:t>
      </w:r>
    </w:p>
    <w:p w:rsidR="000B7BB7" w:rsidRDefault="000B7BB7" w:rsidP="000B7BB7">
      <w:pPr>
        <w:pStyle w:val="Listenabsatz"/>
        <w:rPr>
          <w:rFonts w:ascii="Verdana" w:hAnsi="Verdana" w:cs="Arial"/>
          <w:sz w:val="18"/>
          <w:szCs w:val="18"/>
          <w:lang w:val="en"/>
        </w:rPr>
      </w:pPr>
      <w:r>
        <w:rPr>
          <w:rFonts w:ascii="Verdana" w:hAnsi="Verdana" w:cs="Arial"/>
          <w:sz w:val="18"/>
          <w:szCs w:val="18"/>
          <w:lang w:val="en"/>
        </w:rPr>
        <w:lastRenderedPageBreak/>
        <w:t>The primary email group for TT-GISC is cbs-wisc-tt-gisc@wmo.int. This is an email group for the focal points of WMO Global Information System Centres (GISC), and includes members of the CBS Expert Team on WIS Centres' Task Team on GISCs.</w:t>
      </w:r>
    </w:p>
    <w:p w:rsidR="000B7BB7" w:rsidRPr="000B7BB7" w:rsidRDefault="000B7BB7" w:rsidP="000B7BB7">
      <w:pPr>
        <w:pStyle w:val="Listenabsatz"/>
        <w:rPr>
          <w:rFonts w:ascii="Verdana" w:hAnsi="Verdana" w:cs="Arial"/>
          <w:sz w:val="18"/>
          <w:szCs w:val="18"/>
          <w:u w:val="single"/>
          <w:lang w:val="en"/>
        </w:rPr>
      </w:pPr>
      <w:r w:rsidRPr="000B7BB7">
        <w:rPr>
          <w:u w:val="single"/>
          <w:lang w:val="en"/>
        </w:rPr>
        <w:t>GISC Operations email</w:t>
      </w:r>
    </w:p>
    <w:p w:rsidR="000B7BB7" w:rsidRDefault="000B7BB7" w:rsidP="000B7BB7">
      <w:pPr>
        <w:pStyle w:val="Listenabsatz"/>
      </w:pPr>
      <w:r>
        <w:rPr>
          <w:rFonts w:ascii="Verdana" w:hAnsi="Verdana" w:cs="Arial"/>
          <w:sz w:val="18"/>
          <w:szCs w:val="18"/>
          <w:lang w:val="en"/>
        </w:rPr>
        <w:t>The second TT-GISC email group is gisc-ops@wmo.int. This email group is to exchange information between GISCs relating specifically to GISC Operations, including GISC Watch. This should be the primary email for announcing to other GISCs important planned changes such as new system configuration (e.g. change URL of OAI harvester) or for handing over the GISC Watch duty. The aim is for these messages to get to the operations centre (or help desk) of each GISC and to be monitored by staff on duty</w:t>
      </w:r>
    </w:p>
    <w:p w:rsidR="000B7BB7" w:rsidRDefault="000B7BB7" w:rsidP="000B7BB7">
      <w:pPr>
        <w:pStyle w:val="Listenabsatz"/>
        <w:numPr>
          <w:ilvl w:val="0"/>
          <w:numId w:val="5"/>
        </w:numPr>
      </w:pPr>
      <w:r>
        <w:t>Mantis Ticketing System</w:t>
      </w:r>
    </w:p>
    <w:p w:rsidR="00277D1B" w:rsidRDefault="00277D1B" w:rsidP="00277D1B">
      <w:pPr>
        <w:pStyle w:val="Listenabsatz"/>
      </w:pPr>
      <w:r>
        <w:t>Problem reports shall be recorded in the GISC Ticketing System. In urgent cases the GISC should be also notified via Email to the operational contact address. Problem reports concerning NCs or DCPCs are also recorded in Manits. The principal GISC is responsible for communicating the issues with the NC/DCPC and for updating the information contained in the Ticket System.</w:t>
      </w:r>
    </w:p>
    <w:p w:rsidR="000B7BB7" w:rsidRDefault="000B7BB7" w:rsidP="000B7BB7">
      <w:pPr>
        <w:pStyle w:val="Listenabsatz"/>
        <w:numPr>
          <w:ilvl w:val="0"/>
          <w:numId w:val="5"/>
        </w:numPr>
      </w:pPr>
      <w:r>
        <w:t>RSS Feeds</w:t>
      </w:r>
    </w:p>
    <w:p w:rsidR="00277D1B" w:rsidRDefault="00277D1B" w:rsidP="00277D1B">
      <w:pPr>
        <w:pStyle w:val="Listenabsatz"/>
      </w:pPr>
      <w:r>
        <w:t xml:space="preserve">Each GISC provides an RSS Feed via which changes in Metadata are announced. </w:t>
      </w:r>
      <w:r w:rsidR="007B3A7D">
        <w:t>These f</w:t>
      </w:r>
      <w:r>
        <w:t>eeds can also be used for other announcements like planned downtimes.</w:t>
      </w:r>
    </w:p>
    <w:p w:rsidR="000B7BB7" w:rsidRDefault="000B7BB7" w:rsidP="000B7BB7">
      <w:pPr>
        <w:pStyle w:val="Listenabsatz"/>
        <w:numPr>
          <w:ilvl w:val="0"/>
          <w:numId w:val="5"/>
        </w:numPr>
      </w:pPr>
      <w:r>
        <w:t>JSON-Files</w:t>
      </w:r>
    </w:p>
    <w:p w:rsidR="00277D1B" w:rsidRDefault="00277D1B" w:rsidP="00277D1B">
      <w:pPr>
        <w:pStyle w:val="Listenabsatz"/>
      </w:pPr>
      <w:r>
        <w:t>Monitoring information is provided in JSON-Files. Responsible for guidance on this channel is the Subgroup on WIS Monitoring.</w:t>
      </w:r>
    </w:p>
    <w:p w:rsidR="007944C0" w:rsidRDefault="007944C0" w:rsidP="007944C0">
      <w:pPr>
        <w:pStyle w:val="berschrift3"/>
      </w:pPr>
      <w:r>
        <w:t>Desaster mode</w:t>
      </w:r>
    </w:p>
    <w:p w:rsidR="00CF5E73" w:rsidRDefault="00CF5E73" w:rsidP="00CF5E73">
      <w:r>
        <w:t>Each GISC should prepare communication channels which are available if the primary channel fails and is unavailable. Such events include Network failures or similar technical problems. The minimum requirement for these disaster communication channels is, that the Backup GISC can be notified about the problem which then takes over the communication on behalf of the GISC affected.</w:t>
      </w:r>
    </w:p>
    <w:p w:rsidR="00CF5E73" w:rsidRPr="00CF5E73" w:rsidRDefault="00CF5E73" w:rsidP="00CF5E73">
      <w:r>
        <w:t>One proposal from TT GISC 2016 [1] is to prepare a Gmail account which can be accessed via cellular networks.</w:t>
      </w:r>
    </w:p>
    <w:p w:rsidR="007944C0" w:rsidRDefault="007944C0" w:rsidP="007944C0"/>
    <w:p w:rsidR="007944C0" w:rsidRDefault="007944C0" w:rsidP="007944C0">
      <w:pPr>
        <w:pStyle w:val="berschrift3"/>
      </w:pPr>
      <w:r>
        <w:t>WIS 2.0 messaging</w:t>
      </w:r>
    </w:p>
    <w:p w:rsidR="007B3A7D" w:rsidRPr="007B3A7D" w:rsidRDefault="007B3A7D" w:rsidP="007B3A7D">
      <w:r>
        <w:t>In WIS 2.0 Pub/Sub Messaging Protocols will be used. Using these protocols NCs/DCPCs and GISCs can publish Operational Information directly using Pub/Sub, whereas interested centers can subscribe to notifications they are interested in. Details on these topics should be addressed at TT-eWIS, the Pub/Sub Pilot Project and ET-CTS.</w:t>
      </w:r>
    </w:p>
    <w:p w:rsidR="00F8649F" w:rsidRDefault="00F8649F">
      <w:pPr>
        <w:rPr>
          <w:rFonts w:ascii="Times New Roman" w:hAnsi="Times New Roman" w:cs="Times New Roman"/>
          <w:sz w:val="24"/>
          <w:szCs w:val="24"/>
        </w:rPr>
      </w:pPr>
    </w:p>
    <w:p w:rsidR="00F8649F" w:rsidRDefault="00F8649F" w:rsidP="00F8649F">
      <w:pPr>
        <w:pStyle w:val="berschrift2"/>
      </w:pPr>
      <w:r>
        <w:t>References</w:t>
      </w:r>
    </w:p>
    <w:p w:rsidR="00F8649F" w:rsidRPr="007944C0" w:rsidRDefault="00456F30" w:rsidP="00456F30">
      <w:pPr>
        <w:ind w:left="360"/>
        <w:rPr>
          <w:rFonts w:ascii="Times New Roman" w:hAnsi="Times New Roman" w:cs="Times New Roman"/>
          <w:sz w:val="24"/>
          <w:szCs w:val="24"/>
        </w:rPr>
      </w:pPr>
      <w:r w:rsidRPr="007944C0">
        <w:rPr>
          <w:rFonts w:ascii="Times New Roman" w:hAnsi="Times New Roman" w:cs="Times New Roman"/>
          <w:sz w:val="24"/>
          <w:szCs w:val="24"/>
        </w:rPr>
        <w:t xml:space="preserve">[1] </w:t>
      </w:r>
      <w:r w:rsidR="007944C0" w:rsidRPr="007944C0">
        <w:rPr>
          <w:rFonts w:ascii="Times New Roman" w:hAnsi="Times New Roman" w:cs="Times New Roman"/>
          <w:sz w:val="24"/>
          <w:szCs w:val="24"/>
        </w:rPr>
        <w:t>GISC Ops page on Communication agreed by TT GISC 2015</w:t>
      </w:r>
    </w:p>
    <w:p w:rsidR="007944C0" w:rsidRPr="00456F30" w:rsidRDefault="00AC3137" w:rsidP="00456F30">
      <w:pPr>
        <w:ind w:left="360"/>
        <w:rPr>
          <w:rFonts w:ascii="Times New Roman" w:hAnsi="Times New Roman" w:cs="Times New Roman"/>
          <w:sz w:val="24"/>
          <w:szCs w:val="24"/>
          <w:highlight w:val="yellow"/>
        </w:rPr>
      </w:pPr>
      <w:hyperlink r:id="rId8" w:anchor="GISC_communications:_agreed_by_TT-GISC-2015" w:history="1">
        <w:r w:rsidR="007944C0">
          <w:rPr>
            <w:rStyle w:val="Hyperlink"/>
          </w:rPr>
          <w:t>https://wiswiki.wmo.int/tiki-index.php?page=TT-GISC-ops&amp;pagenum=7#GISC_communications:_agreed_by_TT-GISC-2015</w:t>
        </w:r>
      </w:hyperlink>
    </w:p>
    <w:p w:rsidR="00F8649F" w:rsidRDefault="00456F30" w:rsidP="00456F30">
      <w:pPr>
        <w:ind w:left="360"/>
        <w:rPr>
          <w:rFonts w:ascii="Times New Roman" w:hAnsi="Times New Roman" w:cs="Times New Roman"/>
          <w:sz w:val="24"/>
          <w:szCs w:val="24"/>
        </w:rPr>
      </w:pPr>
      <w:r w:rsidRPr="007944C0">
        <w:rPr>
          <w:rFonts w:ascii="Times New Roman" w:hAnsi="Times New Roman" w:cs="Times New Roman"/>
          <w:sz w:val="24"/>
          <w:szCs w:val="24"/>
        </w:rPr>
        <w:lastRenderedPageBreak/>
        <w:t xml:space="preserve">[2] </w:t>
      </w:r>
      <w:r w:rsidR="007944C0">
        <w:rPr>
          <w:rFonts w:ascii="Times New Roman" w:hAnsi="Times New Roman" w:cs="Times New Roman"/>
          <w:sz w:val="24"/>
          <w:szCs w:val="24"/>
        </w:rPr>
        <w:t>Report on Outage Notification by GISC Offenbach at TT GISC 2016</w:t>
      </w:r>
    </w:p>
    <w:p w:rsidR="007944C0" w:rsidRPr="00456F30" w:rsidRDefault="007944C0" w:rsidP="007944C0">
      <w:pPr>
        <w:ind w:left="360"/>
        <w:rPr>
          <w:rFonts w:ascii="Times New Roman" w:hAnsi="Times New Roman" w:cs="Times New Roman"/>
          <w:sz w:val="24"/>
          <w:szCs w:val="24"/>
        </w:rPr>
      </w:pPr>
      <w:r w:rsidRPr="007944C0">
        <w:rPr>
          <w:rFonts w:ascii="Times New Roman" w:hAnsi="Times New Roman" w:cs="Times New Roman"/>
          <w:sz w:val="24"/>
          <w:szCs w:val="24"/>
        </w:rPr>
        <w:t>[</w:t>
      </w:r>
      <w:r>
        <w:rPr>
          <w:rFonts w:ascii="Times New Roman" w:hAnsi="Times New Roman" w:cs="Times New Roman"/>
          <w:sz w:val="24"/>
          <w:szCs w:val="24"/>
        </w:rPr>
        <w:t>3</w:t>
      </w:r>
      <w:r w:rsidRPr="007944C0">
        <w:rPr>
          <w:rFonts w:ascii="Times New Roman" w:hAnsi="Times New Roman" w:cs="Times New Roman"/>
          <w:sz w:val="24"/>
          <w:szCs w:val="24"/>
        </w:rPr>
        <w:t xml:space="preserve">] </w:t>
      </w:r>
      <w:r>
        <w:rPr>
          <w:rFonts w:ascii="Times New Roman" w:hAnsi="Times New Roman" w:cs="Times New Roman"/>
          <w:sz w:val="24"/>
          <w:szCs w:val="24"/>
        </w:rPr>
        <w:t xml:space="preserve">TT GISC 2014 Operational GISCs Communication </w:t>
      </w:r>
      <w:hyperlink r:id="rId9" w:history="1">
        <w:r>
          <w:rPr>
            <w:rStyle w:val="Hyperlink"/>
          </w:rPr>
          <w:t>http://wis.wmo.int/doc=2879</w:t>
        </w:r>
      </w:hyperlink>
    </w:p>
    <w:p w:rsidR="007944C0" w:rsidRPr="00456F30" w:rsidRDefault="007944C0" w:rsidP="00456F30">
      <w:pPr>
        <w:ind w:left="360"/>
        <w:rPr>
          <w:rFonts w:ascii="Times New Roman" w:hAnsi="Times New Roman" w:cs="Times New Roman"/>
          <w:sz w:val="24"/>
          <w:szCs w:val="24"/>
        </w:rPr>
      </w:pPr>
    </w:p>
    <w:p w:rsidR="00A25CFC" w:rsidRDefault="00A25CFC" w:rsidP="00A25CFC">
      <w:pPr>
        <w:pStyle w:val="berschrift2"/>
      </w:pPr>
      <w:r>
        <w:t xml:space="preserve">Recommended Text </w:t>
      </w:r>
    </w:p>
    <w:p w:rsidR="00A25CFC" w:rsidRDefault="007944C0" w:rsidP="00A25CFC">
      <w:pPr>
        <w:rPr>
          <w:rFonts w:ascii="Times New Roman" w:hAnsi="Times New Roman" w:cs="Times New Roman"/>
          <w:sz w:val="24"/>
          <w:szCs w:val="24"/>
        </w:rPr>
      </w:pPr>
      <w:r>
        <w:rPr>
          <w:rFonts w:ascii="Times New Roman" w:hAnsi="Times New Roman" w:cs="Times New Roman"/>
          <w:sz w:val="24"/>
          <w:szCs w:val="24"/>
        </w:rPr>
        <w:t>ET-WISC discussed the need for regulations regarding Operational Information Exchange. The meeting noted, that there is the requirement to develop guidelines on what information to share and what exchange channels to use. To develop these rules ET-WIS</w:t>
      </w:r>
      <w:r w:rsidR="00D67399">
        <w:rPr>
          <w:rFonts w:ascii="Times New Roman" w:hAnsi="Times New Roman" w:cs="Times New Roman"/>
          <w:sz w:val="24"/>
          <w:szCs w:val="24"/>
        </w:rPr>
        <w:t>C</w:t>
      </w:r>
      <w:r>
        <w:rPr>
          <w:rFonts w:ascii="Times New Roman" w:hAnsi="Times New Roman" w:cs="Times New Roman"/>
          <w:sz w:val="24"/>
          <w:szCs w:val="24"/>
        </w:rPr>
        <w:t xml:space="preserve"> is installing a sub group on developing Guidelines and Regulations for the Exchange of Operational Information. </w:t>
      </w:r>
      <w:r w:rsidR="00434A4A">
        <w:rPr>
          <w:rFonts w:ascii="Times New Roman" w:hAnsi="Times New Roman" w:cs="Times New Roman"/>
          <w:sz w:val="24"/>
          <w:szCs w:val="24"/>
        </w:rPr>
        <w:t>These Guidelines and Regulations shall be included in the Manual on WIS</w:t>
      </w:r>
      <w:r w:rsidR="007B3A7D">
        <w:rPr>
          <w:rFonts w:ascii="Times New Roman" w:hAnsi="Times New Roman" w:cs="Times New Roman"/>
          <w:sz w:val="24"/>
          <w:szCs w:val="24"/>
        </w:rPr>
        <w:t>.</w:t>
      </w:r>
    </w:p>
    <w:p w:rsidR="00F8649F" w:rsidRPr="00F8649F" w:rsidRDefault="007B3A7D" w:rsidP="00E469AE">
      <w:pPr>
        <w:rPr>
          <w:rFonts w:ascii="Times New Roman" w:hAnsi="Times New Roman" w:cs="Times New Roman"/>
          <w:sz w:val="24"/>
          <w:szCs w:val="24"/>
        </w:rPr>
      </w:pPr>
      <w:r>
        <w:rPr>
          <w:rFonts w:ascii="Times New Roman" w:hAnsi="Times New Roman" w:cs="Times New Roman"/>
          <w:sz w:val="24"/>
          <w:szCs w:val="24"/>
        </w:rPr>
        <w:t xml:space="preserve">Using the Pub/Sub Protocols planned for WIS 2.0 for Operational Information Exchange should be addressed and discussed in the responsible expert teams TT-eWIS </w:t>
      </w:r>
      <w:bookmarkStart w:id="0" w:name="_GoBack"/>
      <w:bookmarkEnd w:id="0"/>
      <w:r>
        <w:rPr>
          <w:rFonts w:ascii="Times New Roman" w:hAnsi="Times New Roman" w:cs="Times New Roman"/>
          <w:sz w:val="24"/>
          <w:szCs w:val="24"/>
        </w:rPr>
        <w:t>and ET-CTS.</w:t>
      </w: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37" w:rsidRDefault="00AC3137" w:rsidP="00BA350D">
      <w:pPr>
        <w:spacing w:after="0" w:line="240" w:lineRule="auto"/>
      </w:pPr>
      <w:r>
        <w:separator/>
      </w:r>
    </w:p>
  </w:endnote>
  <w:endnote w:type="continuationSeparator" w:id="0">
    <w:p w:rsidR="00AC3137" w:rsidRDefault="00AC313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37" w:rsidRDefault="00AC3137" w:rsidP="00BA350D">
      <w:pPr>
        <w:spacing w:after="0" w:line="240" w:lineRule="auto"/>
      </w:pPr>
      <w:r>
        <w:separator/>
      </w:r>
    </w:p>
  </w:footnote>
  <w:footnote w:type="continuationSeparator" w:id="0">
    <w:p w:rsidR="00AC3137" w:rsidRDefault="00AC3137"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74" w:rsidRDefault="00467EBD">
    <w:pPr>
      <w:pStyle w:val="Kopfzeile"/>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67399">
          <w:rPr>
            <w:noProof/>
          </w:rPr>
          <w:t>4</w:t>
        </w:r>
        <w:r w:rsidR="00785D74">
          <w:rPr>
            <w:noProof/>
          </w:rPr>
          <w:fldChar w:fldCharType="end"/>
        </w:r>
        <w:r w:rsidR="00CB6D6D">
          <w:rPr>
            <w:noProof/>
          </w:rPr>
          <w:t>)</w:t>
        </w:r>
      </w:sdtContent>
    </w:sdt>
  </w:p>
  <w:p w:rsidR="00785D74" w:rsidRDefault="00785D7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15pt;height:56.25pt">
                <v:imagedata r:id="rId1" o:title=""/>
              </v:shape>
              <o:OLEObject Type="Embed" ProgID="PBrush" ShapeID="_x0000_i1025" DrawAspect="Content" ObjectID="_161380628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944C0" w:rsidTr="00BA350D">
      <w:trPr>
        <w:cantSplit/>
        <w:trHeight w:val="312"/>
      </w:trPr>
      <w:tc>
        <w:tcPr>
          <w:tcW w:w="6228" w:type="dxa"/>
          <w:gridSpan w:val="2"/>
          <w:vMerge w:val="restart"/>
        </w:tcPr>
        <w:p w:rsidR="00BA350D" w:rsidRDefault="008E13DF" w:rsidP="008E13D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Joint meeting of the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r w:rsidR="00C60717">
            <w:rPr>
              <w:rFonts w:ascii="Times New Roman" w:hAnsi="Times New Roman" w:cs="Times New Roman"/>
              <w:b/>
              <w:sz w:val="28"/>
              <w:szCs w:val="20"/>
            </w:rPr>
            <w:t xml:space="preserve">Centres </w:t>
          </w:r>
          <w:r w:rsidR="00BA350D" w:rsidRPr="0013270C">
            <w:rPr>
              <w:rFonts w:ascii="Times New Roman" w:hAnsi="Times New Roman" w:cs="Times New Roman"/>
              <w:b/>
              <w:sz w:val="28"/>
              <w:szCs w:val="20"/>
            </w:rPr>
            <w:t>(ET-</w:t>
          </w:r>
          <w:r>
            <w:rPr>
              <w:rFonts w:ascii="Times New Roman" w:hAnsi="Times New Roman" w:cs="Times New Roman"/>
              <w:b/>
              <w:sz w:val="28"/>
              <w:szCs w:val="20"/>
            </w:rPr>
            <w:t>WISC</w:t>
          </w:r>
          <w:r w:rsidR="00BA350D" w:rsidRPr="0013270C">
            <w:rPr>
              <w:rFonts w:ascii="Times New Roman" w:hAnsi="Times New Roman" w:cs="Times New Roman"/>
              <w:b/>
              <w:sz w:val="28"/>
              <w:szCs w:val="20"/>
            </w:rPr>
            <w:t>)</w:t>
          </w:r>
          <w:r>
            <w:rPr>
              <w:rFonts w:ascii="Times New Roman" w:hAnsi="Times New Roman" w:cs="Times New Roman"/>
              <w:b/>
              <w:sz w:val="28"/>
              <w:szCs w:val="20"/>
            </w:rPr>
            <w:t xml:space="preserve"> and Task Team on Data Centres (TT-DC)</w:t>
          </w:r>
          <w:r w:rsidR="0013270C">
            <w:rPr>
              <w:rFonts w:ascii="Times New Roman" w:hAnsi="Times New Roman" w:cs="Times New Roman"/>
              <w:b/>
              <w:sz w:val="28"/>
              <w:szCs w:val="20"/>
            </w:rPr>
            <w:br/>
          </w:r>
          <w:r w:rsidR="00467EBD" w:rsidRPr="00467EBD">
            <w:rPr>
              <w:rFonts w:ascii="Times New Roman" w:hAnsi="Times New Roman" w:cs="Times New Roman"/>
              <w:b/>
              <w:sz w:val="28"/>
              <w:szCs w:val="20"/>
            </w:rPr>
            <w:t xml:space="preserve"> Beijing, China (12-15 </w:t>
          </w:r>
          <w:r>
            <w:rPr>
              <w:rFonts w:ascii="Times New Roman" w:hAnsi="Times New Roman" w:cs="Times New Roman"/>
              <w:b/>
              <w:sz w:val="28"/>
              <w:szCs w:val="20"/>
            </w:rPr>
            <w:t>Mar 2019</w:t>
          </w:r>
          <w:r w:rsidR="00467EBD" w:rsidRPr="00467EBD">
            <w:rPr>
              <w:rFonts w:ascii="Times New Roman" w:hAnsi="Times New Roman" w:cs="Times New Roman"/>
              <w:b/>
              <w:sz w:val="28"/>
              <w:szCs w:val="20"/>
            </w:rPr>
            <w:t>)</w:t>
          </w:r>
        </w:p>
        <w:p w:rsidR="0013270C" w:rsidRPr="00BA350D" w:rsidRDefault="0013270C" w:rsidP="007944C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7944C0">
            <w:rPr>
              <w:rFonts w:ascii="Times New Roman" w:hAnsi="Times New Roman" w:cs="Times New Roman"/>
              <w:sz w:val="28"/>
              <w:szCs w:val="20"/>
            </w:rPr>
            <w:t>Kai Wirt (DWD)</w:t>
          </w:r>
        </w:p>
      </w:tc>
      <w:tc>
        <w:tcPr>
          <w:tcW w:w="3851" w:type="dxa"/>
        </w:tcPr>
        <w:p w:rsidR="00BA350D" w:rsidRPr="007944C0" w:rsidRDefault="008E13DF" w:rsidP="008E13DF">
          <w:pPr>
            <w:shd w:val="solid" w:color="FFFFFF" w:fill="FFFFFF"/>
            <w:spacing w:line="240" w:lineRule="atLeast"/>
            <w:rPr>
              <w:rFonts w:ascii="Times New Roman" w:hAnsi="Times New Roman" w:cs="Times New Roman"/>
              <w:sz w:val="28"/>
              <w:szCs w:val="20"/>
              <w:lang w:val="de-DE" w:eastAsia="zh-CN"/>
            </w:rPr>
          </w:pPr>
          <w:r w:rsidRPr="007944C0">
            <w:rPr>
              <w:rFonts w:ascii="Times New Roman" w:hAnsi="Times New Roman" w:cs="Times New Roman"/>
              <w:b/>
              <w:bCs/>
              <w:sz w:val="28"/>
              <w:szCs w:val="20"/>
              <w:lang w:val="de-DE" w:eastAsia="zh-CN"/>
            </w:rPr>
            <w:t>ET-WISC-DC/2019</w:t>
          </w:r>
          <w:r w:rsidR="0013270C" w:rsidRPr="007944C0">
            <w:rPr>
              <w:rFonts w:ascii="Times New Roman" w:hAnsi="Times New Roman" w:cs="Times New Roman"/>
              <w:b/>
              <w:bCs/>
              <w:sz w:val="28"/>
              <w:szCs w:val="20"/>
              <w:lang w:val="de-DE" w:eastAsia="zh-CN"/>
            </w:rPr>
            <w:br/>
          </w:r>
          <w:r w:rsidR="007944C0" w:rsidRPr="007944C0">
            <w:rPr>
              <w:rFonts w:ascii="Times New Roman" w:hAnsi="Times New Roman" w:cs="Times New Roman"/>
              <w:b/>
              <w:bCs/>
              <w:sz w:val="28"/>
              <w:szCs w:val="20"/>
              <w:lang w:val="de-DE" w:eastAsia="zh-CN"/>
            </w:rPr>
            <w:t>Agenda Item 12</w:t>
          </w:r>
        </w:p>
      </w:tc>
    </w:tr>
    <w:tr w:rsidR="00BA350D" w:rsidRPr="00812884" w:rsidTr="00BA350D">
      <w:trPr>
        <w:cantSplit/>
        <w:trHeight w:val="81"/>
      </w:trPr>
      <w:tc>
        <w:tcPr>
          <w:tcW w:w="6228" w:type="dxa"/>
          <w:gridSpan w:val="2"/>
          <w:vMerge/>
        </w:tcPr>
        <w:p w:rsidR="00BA350D" w:rsidRPr="007944C0" w:rsidRDefault="00BA350D" w:rsidP="00397DA5">
          <w:pPr>
            <w:shd w:val="solid" w:color="FFFFFF" w:fill="FFFFFF"/>
            <w:spacing w:after="240"/>
            <w:ind w:left="1134" w:hanging="1134"/>
            <w:rPr>
              <w:rFonts w:ascii="Verdana" w:hAnsi="Verdana" w:cs="Verdana"/>
              <w:sz w:val="20"/>
              <w:szCs w:val="20"/>
              <w:lang w:val="de-DE"/>
            </w:rPr>
          </w:pPr>
        </w:p>
      </w:tc>
      <w:tc>
        <w:tcPr>
          <w:tcW w:w="3851" w:type="dxa"/>
        </w:tcPr>
        <w:p w:rsidR="0013270C" w:rsidRPr="0013270C" w:rsidRDefault="00BA350D" w:rsidP="00C60717">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201</w:t>
          </w:r>
          <w:r w:rsidR="007944C0">
            <w:rPr>
              <w:rFonts w:ascii="Times New Roman" w:hAnsi="Times New Roman" w:cs="Times New Roman"/>
              <w:b/>
              <w:bCs/>
              <w:sz w:val="28"/>
              <w:szCs w:val="20"/>
              <w:lang w:eastAsia="zh-CN"/>
            </w:rPr>
            <w:t>9</w:t>
          </w:r>
        </w:p>
      </w:tc>
    </w:tr>
  </w:tbl>
  <w:p w:rsidR="00BA350D" w:rsidRDefault="00BA350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A073D"/>
    <w:multiLevelType w:val="hybridMultilevel"/>
    <w:tmpl w:val="985EE7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A839EF"/>
    <w:multiLevelType w:val="hybridMultilevel"/>
    <w:tmpl w:val="985EE7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de-DE" w:vendorID="64" w:dllVersion="131078" w:nlCheck="1" w:checkStyle="0"/>
  <w:activeWritingStyle w:appName="MSWord" w:lang="en-US" w:vendorID="64" w:dllVersion="131078" w:nlCheck="1" w:checkStyle="1"/>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18D"/>
    <w:rsid w:val="000B7BB7"/>
    <w:rsid w:val="000E62F7"/>
    <w:rsid w:val="0013270C"/>
    <w:rsid w:val="001A7EB8"/>
    <w:rsid w:val="00277D1B"/>
    <w:rsid w:val="002839BD"/>
    <w:rsid w:val="00302A95"/>
    <w:rsid w:val="00382768"/>
    <w:rsid w:val="00393854"/>
    <w:rsid w:val="00434A4A"/>
    <w:rsid w:val="00456F30"/>
    <w:rsid w:val="00467EBD"/>
    <w:rsid w:val="004C627B"/>
    <w:rsid w:val="00511FE7"/>
    <w:rsid w:val="0067003E"/>
    <w:rsid w:val="00711EBB"/>
    <w:rsid w:val="00785D74"/>
    <w:rsid w:val="007944C0"/>
    <w:rsid w:val="007B3A7D"/>
    <w:rsid w:val="008C157E"/>
    <w:rsid w:val="008E13DF"/>
    <w:rsid w:val="00910FF4"/>
    <w:rsid w:val="0094789B"/>
    <w:rsid w:val="009C3DE0"/>
    <w:rsid w:val="009D716E"/>
    <w:rsid w:val="00A25CFC"/>
    <w:rsid w:val="00A27A48"/>
    <w:rsid w:val="00AC3137"/>
    <w:rsid w:val="00B36904"/>
    <w:rsid w:val="00B439DE"/>
    <w:rsid w:val="00BA350D"/>
    <w:rsid w:val="00C5333A"/>
    <w:rsid w:val="00C60717"/>
    <w:rsid w:val="00CB6D6D"/>
    <w:rsid w:val="00CF5E73"/>
    <w:rsid w:val="00CF7953"/>
    <w:rsid w:val="00D55749"/>
    <w:rsid w:val="00D67399"/>
    <w:rsid w:val="00DE45A1"/>
    <w:rsid w:val="00E212B8"/>
    <w:rsid w:val="00E469AE"/>
    <w:rsid w:val="00E50B5C"/>
    <w:rsid w:val="00F6118D"/>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8B2DF"/>
  <w15:docId w15:val="{D9B907EB-F301-439D-9C96-0A181FFA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character" w:styleId="Hyperlink">
    <w:name w:val="Hyperlink"/>
    <w:basedOn w:val="Absatz-Standardschriftart"/>
    <w:uiPriority w:val="99"/>
    <w:semiHidden/>
    <w:unhideWhenUsed/>
    <w:rsid w:val="007944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301007247">
      <w:bodyDiv w:val="1"/>
      <w:marLeft w:val="0"/>
      <w:marRight w:val="0"/>
      <w:marTop w:val="0"/>
      <w:marBottom w:val="0"/>
      <w:divBdr>
        <w:top w:val="none" w:sz="0" w:space="0" w:color="auto"/>
        <w:left w:val="none" w:sz="0" w:space="0" w:color="auto"/>
        <w:bottom w:val="none" w:sz="0" w:space="0" w:color="auto"/>
        <w:right w:val="none" w:sz="0" w:space="0" w:color="auto"/>
      </w:divBdr>
      <w:divsChild>
        <w:div w:id="1449734445">
          <w:marLeft w:val="0"/>
          <w:marRight w:val="0"/>
          <w:marTop w:val="0"/>
          <w:marBottom w:val="0"/>
          <w:divBdr>
            <w:top w:val="none" w:sz="0" w:space="0" w:color="auto"/>
            <w:left w:val="none" w:sz="0" w:space="0" w:color="auto"/>
            <w:bottom w:val="none" w:sz="0" w:space="0" w:color="auto"/>
            <w:right w:val="none" w:sz="0" w:space="0" w:color="auto"/>
          </w:divBdr>
          <w:divsChild>
            <w:div w:id="1131627540">
              <w:marLeft w:val="0"/>
              <w:marRight w:val="0"/>
              <w:marTop w:val="0"/>
              <w:marBottom w:val="0"/>
              <w:divBdr>
                <w:top w:val="none" w:sz="0" w:space="0" w:color="auto"/>
                <w:left w:val="none" w:sz="0" w:space="0" w:color="auto"/>
                <w:bottom w:val="none" w:sz="0" w:space="0" w:color="auto"/>
                <w:right w:val="none" w:sz="0" w:space="0" w:color="auto"/>
              </w:divBdr>
              <w:divsChild>
                <w:div w:id="2115206665">
                  <w:marLeft w:val="0"/>
                  <w:marRight w:val="0"/>
                  <w:marTop w:val="0"/>
                  <w:marBottom w:val="0"/>
                  <w:divBdr>
                    <w:top w:val="none" w:sz="0" w:space="0" w:color="auto"/>
                    <w:left w:val="none" w:sz="0" w:space="0" w:color="auto"/>
                    <w:bottom w:val="none" w:sz="0" w:space="0" w:color="auto"/>
                    <w:right w:val="none" w:sz="0" w:space="0" w:color="auto"/>
                  </w:divBdr>
                  <w:divsChild>
                    <w:div w:id="66073700">
                      <w:marLeft w:val="0"/>
                      <w:marRight w:val="0"/>
                      <w:marTop w:val="0"/>
                      <w:marBottom w:val="0"/>
                      <w:divBdr>
                        <w:top w:val="none" w:sz="0" w:space="0" w:color="auto"/>
                        <w:left w:val="none" w:sz="0" w:space="0" w:color="auto"/>
                        <w:bottom w:val="none" w:sz="0" w:space="0" w:color="auto"/>
                        <w:right w:val="none" w:sz="0" w:space="0" w:color="auto"/>
                      </w:divBdr>
                      <w:divsChild>
                        <w:div w:id="1083138525">
                          <w:marLeft w:val="0"/>
                          <w:marRight w:val="0"/>
                          <w:marTop w:val="0"/>
                          <w:marBottom w:val="0"/>
                          <w:divBdr>
                            <w:top w:val="none" w:sz="0" w:space="0" w:color="auto"/>
                            <w:left w:val="none" w:sz="0" w:space="0" w:color="auto"/>
                            <w:bottom w:val="none" w:sz="0" w:space="0" w:color="auto"/>
                            <w:right w:val="none" w:sz="0" w:space="0" w:color="auto"/>
                          </w:divBdr>
                          <w:divsChild>
                            <w:div w:id="1703902832">
                              <w:marLeft w:val="3600"/>
                              <w:marRight w:val="0"/>
                              <w:marTop w:val="0"/>
                              <w:marBottom w:val="0"/>
                              <w:divBdr>
                                <w:top w:val="none" w:sz="0" w:space="0" w:color="auto"/>
                                <w:left w:val="none" w:sz="0" w:space="0" w:color="auto"/>
                                <w:bottom w:val="none" w:sz="0" w:space="0" w:color="auto"/>
                                <w:right w:val="none" w:sz="0" w:space="0" w:color="auto"/>
                              </w:divBdr>
                              <w:divsChild>
                                <w:div w:id="298848547">
                                  <w:marLeft w:val="300"/>
                                  <w:marRight w:val="300"/>
                                  <w:marTop w:val="0"/>
                                  <w:marBottom w:val="0"/>
                                  <w:divBdr>
                                    <w:top w:val="none" w:sz="0" w:space="0" w:color="auto"/>
                                    <w:left w:val="none" w:sz="0" w:space="0" w:color="auto"/>
                                    <w:bottom w:val="none" w:sz="0" w:space="0" w:color="auto"/>
                                    <w:right w:val="none" w:sz="0" w:space="0" w:color="auto"/>
                                  </w:divBdr>
                                  <w:divsChild>
                                    <w:div w:id="768740900">
                                      <w:marLeft w:val="0"/>
                                      <w:marRight w:val="0"/>
                                      <w:marTop w:val="0"/>
                                      <w:marBottom w:val="0"/>
                                      <w:divBdr>
                                        <w:top w:val="none" w:sz="0" w:space="0" w:color="auto"/>
                                        <w:left w:val="none" w:sz="0" w:space="0" w:color="auto"/>
                                        <w:bottom w:val="none" w:sz="0" w:space="0" w:color="auto"/>
                                        <w:right w:val="none" w:sz="0" w:space="0" w:color="auto"/>
                                      </w:divBdr>
                                      <w:divsChild>
                                        <w:div w:id="117619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6077035">
      <w:bodyDiv w:val="1"/>
      <w:marLeft w:val="0"/>
      <w:marRight w:val="0"/>
      <w:marTop w:val="0"/>
      <w:marBottom w:val="0"/>
      <w:divBdr>
        <w:top w:val="none" w:sz="0" w:space="0" w:color="auto"/>
        <w:left w:val="none" w:sz="0" w:space="0" w:color="auto"/>
        <w:bottom w:val="none" w:sz="0" w:space="0" w:color="auto"/>
        <w:right w:val="none" w:sz="0" w:space="0" w:color="auto"/>
      </w:divBdr>
      <w:divsChild>
        <w:div w:id="244924054">
          <w:marLeft w:val="0"/>
          <w:marRight w:val="0"/>
          <w:marTop w:val="0"/>
          <w:marBottom w:val="0"/>
          <w:divBdr>
            <w:top w:val="none" w:sz="0" w:space="0" w:color="auto"/>
            <w:left w:val="none" w:sz="0" w:space="0" w:color="auto"/>
            <w:bottom w:val="none" w:sz="0" w:space="0" w:color="auto"/>
            <w:right w:val="none" w:sz="0" w:space="0" w:color="auto"/>
          </w:divBdr>
          <w:divsChild>
            <w:div w:id="1792820146">
              <w:marLeft w:val="0"/>
              <w:marRight w:val="0"/>
              <w:marTop w:val="0"/>
              <w:marBottom w:val="0"/>
              <w:divBdr>
                <w:top w:val="none" w:sz="0" w:space="0" w:color="auto"/>
                <w:left w:val="none" w:sz="0" w:space="0" w:color="auto"/>
                <w:bottom w:val="none" w:sz="0" w:space="0" w:color="auto"/>
                <w:right w:val="none" w:sz="0" w:space="0" w:color="auto"/>
              </w:divBdr>
              <w:divsChild>
                <w:div w:id="1425565826">
                  <w:marLeft w:val="0"/>
                  <w:marRight w:val="0"/>
                  <w:marTop w:val="0"/>
                  <w:marBottom w:val="0"/>
                  <w:divBdr>
                    <w:top w:val="none" w:sz="0" w:space="0" w:color="auto"/>
                    <w:left w:val="none" w:sz="0" w:space="0" w:color="auto"/>
                    <w:bottom w:val="none" w:sz="0" w:space="0" w:color="auto"/>
                    <w:right w:val="none" w:sz="0" w:space="0" w:color="auto"/>
                  </w:divBdr>
                  <w:divsChild>
                    <w:div w:id="812790653">
                      <w:marLeft w:val="0"/>
                      <w:marRight w:val="0"/>
                      <w:marTop w:val="0"/>
                      <w:marBottom w:val="0"/>
                      <w:divBdr>
                        <w:top w:val="none" w:sz="0" w:space="0" w:color="auto"/>
                        <w:left w:val="none" w:sz="0" w:space="0" w:color="auto"/>
                        <w:bottom w:val="none" w:sz="0" w:space="0" w:color="auto"/>
                        <w:right w:val="none" w:sz="0" w:space="0" w:color="auto"/>
                      </w:divBdr>
                      <w:divsChild>
                        <w:div w:id="747045199">
                          <w:marLeft w:val="0"/>
                          <w:marRight w:val="0"/>
                          <w:marTop w:val="0"/>
                          <w:marBottom w:val="0"/>
                          <w:divBdr>
                            <w:top w:val="none" w:sz="0" w:space="0" w:color="auto"/>
                            <w:left w:val="none" w:sz="0" w:space="0" w:color="auto"/>
                            <w:bottom w:val="none" w:sz="0" w:space="0" w:color="auto"/>
                            <w:right w:val="none" w:sz="0" w:space="0" w:color="auto"/>
                          </w:divBdr>
                          <w:divsChild>
                            <w:div w:id="962926004">
                              <w:marLeft w:val="3600"/>
                              <w:marRight w:val="0"/>
                              <w:marTop w:val="0"/>
                              <w:marBottom w:val="0"/>
                              <w:divBdr>
                                <w:top w:val="none" w:sz="0" w:space="0" w:color="auto"/>
                                <w:left w:val="none" w:sz="0" w:space="0" w:color="auto"/>
                                <w:bottom w:val="none" w:sz="0" w:space="0" w:color="auto"/>
                                <w:right w:val="none" w:sz="0" w:space="0" w:color="auto"/>
                              </w:divBdr>
                              <w:divsChild>
                                <w:div w:id="687676646">
                                  <w:marLeft w:val="300"/>
                                  <w:marRight w:val="300"/>
                                  <w:marTop w:val="0"/>
                                  <w:marBottom w:val="0"/>
                                  <w:divBdr>
                                    <w:top w:val="none" w:sz="0" w:space="0" w:color="auto"/>
                                    <w:left w:val="none" w:sz="0" w:space="0" w:color="auto"/>
                                    <w:bottom w:val="none" w:sz="0" w:space="0" w:color="auto"/>
                                    <w:right w:val="none" w:sz="0" w:space="0" w:color="auto"/>
                                  </w:divBdr>
                                  <w:divsChild>
                                    <w:div w:id="1887182925">
                                      <w:marLeft w:val="0"/>
                                      <w:marRight w:val="0"/>
                                      <w:marTop w:val="0"/>
                                      <w:marBottom w:val="0"/>
                                      <w:divBdr>
                                        <w:top w:val="none" w:sz="0" w:space="0" w:color="auto"/>
                                        <w:left w:val="none" w:sz="0" w:space="0" w:color="auto"/>
                                        <w:bottom w:val="none" w:sz="0" w:space="0" w:color="auto"/>
                                        <w:right w:val="none" w:sz="0" w:space="0" w:color="auto"/>
                                      </w:divBdr>
                                      <w:divsChild>
                                        <w:div w:id="5447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swiki.wmo.int/tiki-index.php?page=TT-GISC-ops&amp;pagenum=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is.wmo.int/doc=2879"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wirt\Desktop\ETWISC2019\ET-WISC-DC2019-AI(XX)r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1FB84-0D7C-41F1-98FF-607FFF66E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ET-WISC-DC2019-AI(XX)r0-Template.dotx</Template>
  <TotalTime>0</TotalTime>
  <Pages>4</Pages>
  <Words>1003</Words>
  <Characters>6319</Characters>
  <Application>Microsoft Office Word</Application>
  <DocSecurity>0</DocSecurity>
  <Lines>52</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ET-WISC-DC-2109</vt:lpstr>
      <vt:lpstr>ET-WISC-DC-2109</vt:lpstr>
    </vt:vector>
  </TitlesOfParts>
  <Company>WMO</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ET-WISC-DC-2109</dc:title>
  <dc:subject>Template</dc:subject>
  <dc:creator>Wirt Kai-Thorsten</dc:creator>
  <cp:lastModifiedBy>Wirt Kai-Thorsten</cp:lastModifiedBy>
  <cp:revision>9</cp:revision>
  <dcterms:created xsi:type="dcterms:W3CDTF">2019-03-08T11:02:00Z</dcterms:created>
  <dcterms:modified xsi:type="dcterms:W3CDTF">2019-03-11T09:45:00Z</dcterms:modified>
</cp:coreProperties>
</file>