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B67" w:rsidRPr="002C13F8" w:rsidRDefault="00337B67" w:rsidP="00337B67">
      <w:pPr>
        <w:pBdr>
          <w:top w:val="single" w:sz="4" w:space="1" w:color="auto"/>
          <w:left w:val="single" w:sz="4" w:space="4" w:color="auto"/>
          <w:bottom w:val="single" w:sz="4" w:space="1" w:color="auto"/>
          <w:right w:val="single" w:sz="4" w:space="4" w:color="auto"/>
        </w:pBdr>
        <w:jc w:val="left"/>
      </w:pPr>
      <w:r w:rsidRPr="002C13F8">
        <w:rPr>
          <w:b/>
        </w:rPr>
        <w:t>Principle 1</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tab/>
      </w:r>
      <w:r w:rsidRPr="002C13F8">
        <w:t>adopts Web technologies and leverages industry best practices and open standards</w:t>
      </w:r>
      <w:r w:rsidRPr="002C13F8">
        <w:rPr>
          <w:rStyle w:val="FootnoteReference"/>
        </w:rPr>
        <w:footnoteReference w:id="1"/>
      </w:r>
      <w:r w:rsidRPr="002C13F8">
        <w:t xml:space="preserve">. </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BENEFIT: </w:t>
      </w:r>
      <w:r>
        <w:tab/>
      </w:r>
      <w:r w:rsidRPr="002C13F8">
        <w:t>Use of widely adopted practices and open standards will enable a large population of users to conveniently interact with WIS 2.0 to discover, access, and use authoritative weather, water and climate data.</w:t>
      </w:r>
    </w:p>
    <w:p w:rsidR="00337B67" w:rsidRPr="002C13F8" w:rsidRDefault="00337B67" w:rsidP="00337B67">
      <w:pPr>
        <w:jc w:val="left"/>
      </w:pPr>
      <w:r w:rsidRPr="002C13F8">
        <w:rPr>
          <w:i/>
        </w:rPr>
        <w:t xml:space="preserve">Note that many NMHS already embrace Web architecture to meet their business needs. </w:t>
      </w:r>
    </w:p>
    <w:p w:rsidR="00337B67" w:rsidRPr="002C13F8" w:rsidRDefault="00337B67" w:rsidP="00337B67">
      <w:pPr>
        <w:spacing w:after="0"/>
        <w:jc w:val="left"/>
      </w:pPr>
    </w:p>
    <w:p w:rsidR="00337B67" w:rsidRPr="002C13F8" w:rsidRDefault="00337B67" w:rsidP="00337B67">
      <w:pPr>
        <w:pBdr>
          <w:top w:val="single" w:sz="4" w:space="1" w:color="auto"/>
          <w:left w:val="single" w:sz="4" w:space="4" w:color="auto"/>
          <w:bottom w:val="single" w:sz="4" w:space="1" w:color="auto"/>
          <w:right w:val="single" w:sz="4" w:space="4" w:color="auto"/>
        </w:pBdr>
        <w:jc w:val="left"/>
      </w:pPr>
      <w:r w:rsidRPr="002C13F8">
        <w:rPr>
          <w:b/>
        </w:rPr>
        <w:t>Principle 2</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tab/>
      </w:r>
      <w:r w:rsidRPr="002C13F8">
        <w:t>uses Uniform Resource Locators (URL)</w:t>
      </w:r>
      <w:r w:rsidRPr="002C13F8">
        <w:rPr>
          <w:rStyle w:val="FootnoteReference"/>
        </w:rPr>
        <w:footnoteReference w:id="2"/>
      </w:r>
      <w:r w:rsidRPr="002C13F8">
        <w:t xml:space="preserve"> to identify resources (i.e. Web pages, data, metadata, APIs)</w:t>
      </w:r>
      <w:r w:rsidRPr="002C13F8">
        <w:rPr>
          <w:rStyle w:val="FootnoteReference"/>
        </w:rPr>
        <w:footnoteReference w:id="3"/>
      </w:r>
      <w:r w:rsidRPr="002C13F8">
        <w:t>.</w:t>
      </w:r>
    </w:p>
    <w:p w:rsidR="00337B67" w:rsidRDefault="00337B67" w:rsidP="00337B67">
      <w:pPr>
        <w:pBdr>
          <w:top w:val="single" w:sz="4" w:space="1" w:color="auto"/>
          <w:left w:val="single" w:sz="4" w:space="4" w:color="auto"/>
          <w:bottom w:val="single" w:sz="4" w:space="1" w:color="auto"/>
          <w:right w:val="single" w:sz="4" w:space="4" w:color="auto"/>
        </w:pBdr>
        <w:spacing w:after="0"/>
        <w:ind w:left="1134" w:hanging="1134"/>
        <w:jc w:val="left"/>
      </w:pPr>
      <w:r w:rsidRPr="002C13F8">
        <w:t xml:space="preserve">BENEFIT: </w:t>
      </w:r>
      <w:r>
        <w:tab/>
      </w:r>
      <w:r w:rsidRPr="002C13F8">
        <w:t xml:space="preserve">URLs uniquely identify a resource and describe the primary mechanism for retrieving or interacting with it (i.e. the network 'location' and the communications protocol to be used). </w:t>
      </w:r>
    </w:p>
    <w:p w:rsidR="00337B67" w:rsidRPr="002D3D02" w:rsidRDefault="00337B67" w:rsidP="00337B67">
      <w:pPr>
        <w:pStyle w:val="WMOBodyText"/>
        <w:spacing w:before="0" w:after="0"/>
        <w:rPr>
          <w:lang w:eastAsia="en-US"/>
        </w:rPr>
      </w:pPr>
    </w:p>
    <w:p w:rsidR="00337B67" w:rsidRPr="002C13F8" w:rsidRDefault="00337B67" w:rsidP="00337B67">
      <w:pPr>
        <w:pBdr>
          <w:top w:val="single" w:sz="4" w:space="1" w:color="auto"/>
          <w:left w:val="single" w:sz="4" w:space="4" w:color="auto"/>
          <w:bottom w:val="single" w:sz="4" w:space="1" w:color="auto"/>
          <w:right w:val="single" w:sz="4" w:space="4" w:color="auto"/>
        </w:pBdr>
        <w:jc w:val="left"/>
      </w:pPr>
      <w:r w:rsidRPr="002C13F8">
        <w:rPr>
          <w:b/>
        </w:rPr>
        <w:t>Principle 3</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tab/>
      </w:r>
      <w:r w:rsidRPr="002C13F8">
        <w:t>prioritizes use of public telecommunications networks (i.e. Internet) when publishing digital resources</w:t>
      </w:r>
      <w:r w:rsidRPr="002C13F8">
        <w:rPr>
          <w:rStyle w:val="FootnoteReference"/>
        </w:rPr>
        <w:footnoteReference w:id="4"/>
      </w:r>
      <w:r w:rsidRPr="002C13F8">
        <w:t>.</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BENEFIT</w:t>
      </w:r>
      <w:r>
        <w:t>S</w:t>
      </w:r>
      <w:r w:rsidRPr="002C13F8">
        <w:t>:</w:t>
      </w:r>
      <w:r>
        <w:tab/>
      </w:r>
      <w:r w:rsidRPr="002C13F8">
        <w:t>Publishing digital resources on the Internet enables the meteorological community to retrieve or interact with those resources - it is unlikely that most of the community would be permitted to join managed networks such as Area Meteorological Data Communications Networks (AMDCN) employed by NMHS for data exchange with guaranteed service levels.</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tab/>
      </w:r>
      <w:r w:rsidRPr="002C13F8">
        <w:t xml:space="preserve">Internet connections are significantly cheaper than the same bandwidth delivered through a managed networks. </w:t>
      </w:r>
    </w:p>
    <w:p w:rsidR="00337B67" w:rsidRPr="002C13F8" w:rsidRDefault="00337B67" w:rsidP="00337B67">
      <w:pPr>
        <w:pBdr>
          <w:top w:val="single" w:sz="4" w:space="1" w:color="auto"/>
          <w:left w:val="single" w:sz="4" w:space="4" w:color="auto"/>
          <w:bottom w:val="single" w:sz="4" w:space="1" w:color="auto"/>
          <w:right w:val="single" w:sz="4" w:space="4" w:color="auto"/>
        </w:pBdr>
        <w:jc w:val="left"/>
      </w:pPr>
      <w:r w:rsidRPr="002C13F8">
        <w:rPr>
          <w:b/>
        </w:rPr>
        <w:t>Principle 4</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tab/>
      </w:r>
      <w:r w:rsidRPr="002C13F8">
        <w:t xml:space="preserve">requires provision of Web service(s) to access or interact with digital resources (e.g. data, information, products) published using WIS. </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BENEFIT: </w:t>
      </w:r>
      <w:r>
        <w:tab/>
      </w:r>
      <w:r w:rsidRPr="002C13F8">
        <w:t>Web services support 'machine-</w:t>
      </w:r>
      <w:proofErr w:type="spellStart"/>
      <w:r w:rsidRPr="002C13F8">
        <w:t>actionability</w:t>
      </w:r>
      <w:proofErr w:type="spellEnd"/>
      <w:r w:rsidRPr="002C13F8">
        <w:t xml:space="preserve">' (i.e. the capacity of software systems to access, interoperate, and reuse data with little or no human intervention) because humans increasingly rely on computational support to deal with data as a result of increase in volume, complexity and velocity (i.e. creation speed) of data. </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BENEFIT: </w:t>
      </w:r>
      <w:r>
        <w:tab/>
      </w:r>
      <w:r w:rsidRPr="002C13F8">
        <w:t xml:space="preserve">NMHSs develop their capacity to build and operate Web services, allowing them to extract more value from their data holdings through delivery of higher value services to their users. </w:t>
      </w:r>
    </w:p>
    <w:p w:rsidR="00337B67" w:rsidRPr="002C13F8" w:rsidRDefault="00337B67" w:rsidP="00337B67">
      <w:pPr>
        <w:pBdr>
          <w:top w:val="single" w:sz="4" w:space="1" w:color="auto"/>
          <w:left w:val="single" w:sz="4" w:space="4" w:color="auto"/>
          <w:bottom w:val="single" w:sz="4" w:space="1" w:color="auto"/>
          <w:right w:val="single" w:sz="4" w:space="4" w:color="auto"/>
        </w:pBdr>
        <w:jc w:val="left"/>
      </w:pPr>
      <w:r w:rsidRPr="002C13F8">
        <w:rPr>
          <w:b/>
        </w:rPr>
        <w:lastRenderedPageBreak/>
        <w:t>Principle 5</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tab/>
      </w:r>
      <w:r w:rsidRPr="002C13F8">
        <w:t>encourages NCs and DCPCs to provide 'data reduction' services via WIS that process 'big data' to create results or products that are small enough to be conveniently downloaded and used by those with minimal technical infrastructure.</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BENEFIT: </w:t>
      </w:r>
      <w:r>
        <w:tab/>
      </w:r>
      <w:r w:rsidRPr="002C13F8">
        <w:t>Using ‘data reduction’ Web services to process high volume, complex data remotely, Members’ agencies and institutions can deliver high-value, high-quality services to their governments and citizens helping them more effectively meet their national mandates without the need to invest in and operate their own data management infrastructure</w:t>
      </w:r>
      <w:r w:rsidRPr="002C13F8">
        <w:rPr>
          <w:rStyle w:val="FootnoteReference"/>
        </w:rPr>
        <w:footnoteReference w:id="5"/>
      </w:r>
      <w:r w:rsidRPr="002C13F8">
        <w:t xml:space="preserve">. </w:t>
      </w:r>
    </w:p>
    <w:p w:rsidR="00337B67" w:rsidRPr="002C13F8" w:rsidRDefault="00337B67" w:rsidP="00337B67">
      <w:pPr>
        <w:pBdr>
          <w:top w:val="single" w:sz="4" w:space="1" w:color="auto"/>
          <w:left w:val="single" w:sz="4" w:space="4" w:color="auto"/>
          <w:bottom w:val="single" w:sz="4" w:space="1" w:color="auto"/>
          <w:right w:val="single" w:sz="4" w:space="4" w:color="auto"/>
        </w:pBdr>
        <w:jc w:val="left"/>
      </w:pPr>
      <w:r w:rsidRPr="002C13F8">
        <w:rPr>
          <w:b/>
        </w:rPr>
        <w:t>Principle 6</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tab/>
      </w:r>
      <w:r w:rsidRPr="002C13F8">
        <w:t>will add open standard messaging protocols that use the publish-subscribe message pattern to the list of data exchange mechanisms approved for use within WIS and GTS.</w:t>
      </w:r>
    </w:p>
    <w:p w:rsidR="00337B67" w:rsidRDefault="00337B67" w:rsidP="00337B67">
      <w:pPr>
        <w:pBdr>
          <w:top w:val="single" w:sz="4" w:space="1" w:color="auto"/>
          <w:left w:val="single" w:sz="4" w:space="4" w:color="auto"/>
          <w:bottom w:val="single" w:sz="4" w:space="1" w:color="auto"/>
          <w:right w:val="single" w:sz="4" w:space="4" w:color="auto"/>
        </w:pBdr>
        <w:spacing w:after="0"/>
        <w:ind w:left="1134" w:hanging="1134"/>
        <w:jc w:val="left"/>
      </w:pPr>
      <w:r w:rsidRPr="002C13F8">
        <w:t xml:space="preserve">BENEFIT: </w:t>
      </w:r>
      <w:r>
        <w:tab/>
      </w:r>
      <w:r w:rsidRPr="002C13F8">
        <w:t>Low effort for data providers to distribute data in real-time to large numbers of consumers.</w:t>
      </w:r>
    </w:p>
    <w:p w:rsidR="0033533F" w:rsidRDefault="00337B67"/>
    <w:p w:rsidR="00337B67" w:rsidRPr="002C13F8" w:rsidRDefault="00337B67" w:rsidP="00337B67">
      <w:pPr>
        <w:pBdr>
          <w:top w:val="single" w:sz="4" w:space="1" w:color="auto"/>
          <w:left w:val="single" w:sz="4" w:space="4" w:color="auto"/>
          <w:bottom w:val="single" w:sz="4" w:space="1" w:color="auto"/>
          <w:right w:val="single" w:sz="4" w:space="4" w:color="auto"/>
        </w:pBdr>
        <w:jc w:val="left"/>
      </w:pPr>
      <w:r w:rsidRPr="002C13F8">
        <w:rPr>
          <w:b/>
        </w:rPr>
        <w:t>Principle 7</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WIS 2.0:</w:t>
      </w:r>
      <w:r>
        <w:tab/>
      </w:r>
      <w:r w:rsidRPr="002C13F8">
        <w:t xml:space="preserve">will require all services that provide real-time distribution of messages (containing data or notifications about data availability) to cache/store the messages for a minimum of 24-hours, and allow users to request cached messages for download. </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BENEFIT: </w:t>
      </w:r>
      <w:r>
        <w:tab/>
      </w:r>
      <w:r w:rsidRPr="002C13F8">
        <w:t>Software systems that consume real-time data or notifications can recover from failure by requesting delivery of messages that were missed while the system was offline.</w:t>
      </w:r>
    </w:p>
    <w:p w:rsidR="00337B67" w:rsidRDefault="00337B67" w:rsidP="00337B67">
      <w:pPr>
        <w:pStyle w:val="WMOBodyText"/>
        <w:rPr>
          <w:lang w:eastAsia="en-US"/>
        </w:rPr>
      </w:pPr>
    </w:p>
    <w:p w:rsidR="00337B67" w:rsidRPr="002C13F8" w:rsidRDefault="00337B67" w:rsidP="00337B67">
      <w:pPr>
        <w:pBdr>
          <w:top w:val="single" w:sz="4" w:space="1" w:color="auto"/>
          <w:left w:val="single" w:sz="4" w:space="4" w:color="auto"/>
          <w:bottom w:val="single" w:sz="4" w:space="1" w:color="auto"/>
          <w:right w:val="single" w:sz="4" w:space="4" w:color="auto"/>
        </w:pBdr>
        <w:jc w:val="left"/>
      </w:pPr>
      <w:r w:rsidRPr="002C13F8">
        <w:rPr>
          <w:b/>
        </w:rPr>
        <w:t>Principle 8</w:t>
      </w:r>
    </w:p>
    <w:p w:rsidR="00337B67" w:rsidRDefault="00337B67" w:rsidP="00337B67">
      <w:pPr>
        <w:pBdr>
          <w:top w:val="single" w:sz="4" w:space="1" w:color="auto"/>
          <w:left w:val="single" w:sz="4" w:space="4" w:color="auto"/>
          <w:bottom w:val="single" w:sz="4" w:space="1" w:color="auto"/>
          <w:right w:val="single" w:sz="4" w:space="4" w:color="auto"/>
        </w:pBdr>
        <w:jc w:val="left"/>
      </w:pPr>
      <w:r w:rsidRPr="002C13F8">
        <w:t xml:space="preserve">WIS 2.0: will adopt direct data-exchange between provider and consumer. </w:t>
      </w:r>
      <w:r>
        <w:br/>
      </w:r>
      <w:r w:rsidRPr="002C13F8">
        <w:t>BENEFIT: Faster transmission of real-time data by avoiding latency introduced by message switches at intermediate GTS nodes.</w:t>
      </w:r>
    </w:p>
    <w:p w:rsidR="00337B67" w:rsidRDefault="00337B67" w:rsidP="00337B67">
      <w:pPr>
        <w:pStyle w:val="WMOBodyText"/>
        <w:rPr>
          <w:lang w:eastAsia="en-US"/>
        </w:rPr>
      </w:pPr>
    </w:p>
    <w:p w:rsidR="00337B67" w:rsidRPr="002C13F8" w:rsidRDefault="00337B67" w:rsidP="00337B67">
      <w:pPr>
        <w:pBdr>
          <w:top w:val="single" w:sz="4" w:space="1" w:color="auto"/>
          <w:left w:val="single" w:sz="4" w:space="4" w:color="auto"/>
          <w:bottom w:val="single" w:sz="4" w:space="1" w:color="auto"/>
          <w:right w:val="single" w:sz="4" w:space="4" w:color="auto"/>
        </w:pBdr>
        <w:jc w:val="left"/>
      </w:pPr>
      <w:r w:rsidRPr="002C13F8">
        <w:rPr>
          <w:b/>
        </w:rPr>
        <w:t>Principle 9</w:t>
      </w:r>
    </w:p>
    <w:p w:rsidR="00337B67" w:rsidRPr="002C13F8" w:rsidRDefault="00337B67" w:rsidP="00337B67">
      <w:pPr>
        <w:pBdr>
          <w:top w:val="single" w:sz="4" w:space="1" w:color="auto"/>
          <w:left w:val="single" w:sz="4" w:space="4" w:color="auto"/>
          <w:bottom w:val="single" w:sz="4" w:space="1" w:color="auto"/>
          <w:right w:val="single" w:sz="4" w:space="4" w:color="auto"/>
        </w:pBdr>
        <w:jc w:val="left"/>
      </w:pPr>
      <w:r w:rsidRPr="002C13F8">
        <w:t xml:space="preserve">WIS 2.0: </w:t>
      </w:r>
      <w:r>
        <w:tab/>
      </w:r>
      <w:r w:rsidRPr="002C13F8">
        <w:t>will phase out use of routeing tables and bulletin headers.</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BENEFIT</w:t>
      </w:r>
      <w:r>
        <w:t>S:</w:t>
      </w:r>
      <w:r>
        <w:tab/>
      </w:r>
      <w:r w:rsidRPr="002C13F8">
        <w:t>Simplified message switching operations for all Members because routeing table maintenance no longer required.</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tab/>
      </w:r>
      <w:r w:rsidRPr="002C13F8">
        <w:t>Faster setup of new data-sharing arrangements as there is no need to wait for intermediate nodes to update their routeing table configuration.</w:t>
      </w:r>
    </w:p>
    <w:p w:rsidR="00337B67" w:rsidRDefault="00337B67" w:rsidP="00337B67">
      <w:pPr>
        <w:pStyle w:val="WMOBodyText"/>
        <w:rPr>
          <w:lang w:eastAsia="en-US"/>
        </w:rPr>
      </w:pPr>
    </w:p>
    <w:p w:rsidR="00337B67" w:rsidRPr="002C13F8" w:rsidRDefault="00337B67" w:rsidP="00337B67">
      <w:pPr>
        <w:pBdr>
          <w:top w:val="single" w:sz="4" w:space="1" w:color="auto"/>
          <w:left w:val="single" w:sz="4" w:space="4" w:color="auto"/>
          <w:bottom w:val="single" w:sz="4" w:space="1" w:color="auto"/>
          <w:right w:val="single" w:sz="4" w:space="4" w:color="auto"/>
        </w:pBdr>
        <w:jc w:val="left"/>
      </w:pPr>
      <w:r w:rsidRPr="002C13F8">
        <w:rPr>
          <w:b/>
        </w:rPr>
        <w:lastRenderedPageBreak/>
        <w:t>Principle 10</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tab/>
      </w:r>
      <w:r w:rsidRPr="002C13F8">
        <w:t>will provide a Catalogue containing metadata that describes both data and the service(s) provided to access that data.</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BENEFIT: </w:t>
      </w:r>
      <w:r>
        <w:tab/>
      </w:r>
      <w:r w:rsidRPr="002C13F8">
        <w:t>Users will be able to easily find the data in WIS that interests them, locate the most convenient Web service with which to access that data, and determine how to best use that Web service to meet their needs.</w:t>
      </w:r>
    </w:p>
    <w:p w:rsidR="00337B67" w:rsidRDefault="00337B67" w:rsidP="00337B67">
      <w:pPr>
        <w:pStyle w:val="WMOBodyText"/>
        <w:rPr>
          <w:lang w:eastAsia="en-US"/>
        </w:rPr>
      </w:pPr>
    </w:p>
    <w:p w:rsidR="00337B67" w:rsidRPr="002C13F8" w:rsidRDefault="00337B67" w:rsidP="00337B67">
      <w:pPr>
        <w:pBdr>
          <w:top w:val="single" w:sz="4" w:space="1" w:color="auto"/>
          <w:left w:val="single" w:sz="4" w:space="4" w:color="auto"/>
          <w:bottom w:val="single" w:sz="4" w:space="1" w:color="auto"/>
          <w:right w:val="single" w:sz="4" w:space="4" w:color="auto"/>
        </w:pBdr>
        <w:jc w:val="left"/>
      </w:pPr>
      <w:r w:rsidRPr="002C13F8">
        <w:rPr>
          <w:b/>
        </w:rPr>
        <w:t>Principle 11</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tab/>
      </w:r>
      <w:r w:rsidRPr="002C13F8">
        <w:t>encourages data providers to publish metadata describing their data and Web services in a way that can be indexed by commercial search engines.</w:t>
      </w:r>
      <w:r w:rsidRPr="002C13F8" w:rsidDel="00C20A75">
        <w:t xml:space="preserve"> </w:t>
      </w:r>
    </w:p>
    <w:p w:rsidR="00337B67" w:rsidRPr="002C13F8" w:rsidRDefault="00337B67" w:rsidP="00337B67">
      <w:pPr>
        <w:pBdr>
          <w:top w:val="single" w:sz="4" w:space="1" w:color="auto"/>
          <w:left w:val="single" w:sz="4" w:space="4" w:color="auto"/>
          <w:bottom w:val="single" w:sz="4" w:space="1" w:color="auto"/>
          <w:right w:val="single" w:sz="4" w:space="4" w:color="auto"/>
        </w:pBdr>
        <w:ind w:left="1134" w:hanging="1134"/>
        <w:jc w:val="left"/>
      </w:pPr>
      <w:r w:rsidRPr="002C13F8">
        <w:t xml:space="preserve">BENEFIT: </w:t>
      </w:r>
      <w:r>
        <w:tab/>
      </w:r>
      <w:r w:rsidRPr="002C13F8">
        <w:t>Indexing by commercial search engines will help users discover data and associated services using their preferred search engine</w:t>
      </w:r>
      <w:r w:rsidRPr="002C13F8">
        <w:rPr>
          <w:rStyle w:val="FootnoteReference"/>
        </w:rPr>
        <w:footnoteReference w:id="6"/>
      </w:r>
      <w:r w:rsidRPr="002C13F8">
        <w:t xml:space="preserve"> rather than having to find and use a WIS portal.</w:t>
      </w:r>
    </w:p>
    <w:p w:rsidR="00337B67" w:rsidRPr="00337B67" w:rsidRDefault="00337B67" w:rsidP="00337B67">
      <w:pPr>
        <w:pStyle w:val="WMOBodyText"/>
        <w:rPr>
          <w:lang w:eastAsia="en-US"/>
        </w:rPr>
      </w:pPr>
      <w:bookmarkStart w:id="0" w:name="_GoBack"/>
      <w:bookmarkEnd w:id="0"/>
    </w:p>
    <w:sectPr w:rsidR="00337B67" w:rsidRPr="00337B6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B67" w:rsidRDefault="00337B67" w:rsidP="00337B67">
      <w:pPr>
        <w:spacing w:after="0"/>
      </w:pPr>
      <w:r>
        <w:separator/>
      </w:r>
    </w:p>
  </w:endnote>
  <w:endnote w:type="continuationSeparator" w:id="0">
    <w:p w:rsidR="00337B67" w:rsidRDefault="00337B67" w:rsidP="00337B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B67" w:rsidRDefault="00337B67" w:rsidP="00337B67">
      <w:pPr>
        <w:spacing w:after="0"/>
      </w:pPr>
      <w:r>
        <w:separator/>
      </w:r>
    </w:p>
  </w:footnote>
  <w:footnote w:type="continuationSeparator" w:id="0">
    <w:p w:rsidR="00337B67" w:rsidRDefault="00337B67" w:rsidP="00337B67">
      <w:pPr>
        <w:spacing w:after="0"/>
      </w:pPr>
      <w:r>
        <w:continuationSeparator/>
      </w:r>
    </w:p>
  </w:footnote>
  <w:footnote w:id="1">
    <w:p w:rsidR="00337B67" w:rsidRPr="00041718" w:rsidRDefault="00337B67" w:rsidP="00337B67">
      <w:pPr>
        <w:pStyle w:val="FootnoteText"/>
        <w:snapToGrid w:val="0"/>
        <w:spacing w:before="0" w:after="60"/>
        <w:ind w:left="284" w:hanging="284"/>
        <w:rPr>
          <w:sz w:val="18"/>
          <w:szCs w:val="18"/>
        </w:rPr>
      </w:pPr>
      <w:r w:rsidRPr="00041718">
        <w:rPr>
          <w:rStyle w:val="FootnoteReference"/>
          <w:sz w:val="18"/>
          <w:szCs w:val="18"/>
        </w:rPr>
        <w:footnoteRef/>
      </w:r>
      <w:r w:rsidRPr="00041718">
        <w:rPr>
          <w:sz w:val="18"/>
          <w:szCs w:val="18"/>
        </w:rPr>
        <w:t xml:space="preserve"> </w:t>
      </w:r>
      <w:r>
        <w:rPr>
          <w:sz w:val="18"/>
          <w:szCs w:val="18"/>
        </w:rPr>
        <w:tab/>
      </w:r>
      <w:r w:rsidRPr="00041718">
        <w:rPr>
          <w:sz w:val="18"/>
          <w:szCs w:val="18"/>
        </w:rPr>
        <w:t>Particularly open standards from the Internet Engineering Task Force (IETF), World Wide Web Consortium (W3C), the Open Geospatial Consortium (OGC)</w:t>
      </w:r>
    </w:p>
  </w:footnote>
  <w:footnote w:id="2">
    <w:p w:rsidR="00337B67" w:rsidRPr="00041718" w:rsidRDefault="00337B67" w:rsidP="00337B67">
      <w:pPr>
        <w:pStyle w:val="FootnoteText"/>
        <w:snapToGrid w:val="0"/>
        <w:spacing w:before="0" w:after="60"/>
        <w:ind w:left="284" w:hanging="284"/>
        <w:rPr>
          <w:sz w:val="18"/>
          <w:szCs w:val="18"/>
        </w:rPr>
      </w:pPr>
      <w:r w:rsidRPr="00041718">
        <w:rPr>
          <w:rStyle w:val="FootnoteReference"/>
          <w:sz w:val="18"/>
          <w:szCs w:val="18"/>
        </w:rPr>
        <w:footnoteRef/>
      </w:r>
      <w:r w:rsidRPr="00041718">
        <w:rPr>
          <w:sz w:val="18"/>
          <w:szCs w:val="18"/>
        </w:rPr>
        <w:t xml:space="preserve"> </w:t>
      </w:r>
      <w:r>
        <w:rPr>
          <w:sz w:val="18"/>
          <w:szCs w:val="18"/>
        </w:rPr>
        <w:tab/>
      </w:r>
      <w:r w:rsidRPr="00041718">
        <w:rPr>
          <w:sz w:val="18"/>
          <w:szCs w:val="18"/>
        </w:rPr>
        <w:t>URL is a subtype of URI - see RFC 39</w:t>
      </w:r>
      <w:r>
        <w:rPr>
          <w:sz w:val="18"/>
          <w:szCs w:val="18"/>
        </w:rPr>
        <w:t xml:space="preserve">86 URI generic syntax, §1.1.3. </w:t>
      </w:r>
      <w:r w:rsidRPr="00041718">
        <w:rPr>
          <w:sz w:val="18"/>
          <w:szCs w:val="18"/>
        </w:rPr>
        <w:t xml:space="preserve">URI, URL, and URN </w:t>
      </w:r>
      <w:hyperlink r:id="rId1" w:anchor="section-1.1.3" w:history="1">
        <w:r w:rsidRPr="00041718">
          <w:rPr>
            <w:rStyle w:val="Hyperlink"/>
            <w:sz w:val="18"/>
            <w:szCs w:val="18"/>
          </w:rPr>
          <w:t>https://tools.ietf.org/html/rfc3986#section-1.1.3</w:t>
        </w:r>
      </w:hyperlink>
      <w:r w:rsidRPr="00041718">
        <w:rPr>
          <w:sz w:val="18"/>
          <w:szCs w:val="18"/>
        </w:rPr>
        <w:t xml:space="preserve"> </w:t>
      </w:r>
    </w:p>
  </w:footnote>
  <w:footnote w:id="3">
    <w:p w:rsidR="00337B67" w:rsidRPr="00041718" w:rsidRDefault="00337B67" w:rsidP="00337B67">
      <w:pPr>
        <w:pStyle w:val="FootnoteText"/>
        <w:snapToGrid w:val="0"/>
        <w:spacing w:before="0" w:after="60"/>
        <w:ind w:left="284" w:hanging="284"/>
        <w:rPr>
          <w:sz w:val="18"/>
          <w:szCs w:val="18"/>
        </w:rPr>
      </w:pPr>
      <w:r w:rsidRPr="00041718">
        <w:rPr>
          <w:rStyle w:val="FootnoteReference"/>
          <w:sz w:val="18"/>
          <w:szCs w:val="18"/>
        </w:rPr>
        <w:footnoteRef/>
      </w:r>
      <w:r w:rsidRPr="00041718">
        <w:rPr>
          <w:sz w:val="18"/>
          <w:szCs w:val="18"/>
        </w:rPr>
        <w:t xml:space="preserve"> </w:t>
      </w:r>
      <w:r>
        <w:rPr>
          <w:sz w:val="18"/>
          <w:szCs w:val="18"/>
        </w:rPr>
        <w:tab/>
      </w:r>
      <w:r w:rsidRPr="00041718">
        <w:rPr>
          <w:sz w:val="18"/>
          <w:szCs w:val="18"/>
        </w:rPr>
        <w:t xml:space="preserve">For more information on identification of resources, refer to Architecture of the World Wide Web Volume 1, §2. Identification </w:t>
      </w:r>
      <w:hyperlink r:id="rId2" w:anchor="identification" w:history="1">
        <w:r w:rsidRPr="00041718">
          <w:rPr>
            <w:rStyle w:val="Hyperlink"/>
            <w:sz w:val="18"/>
            <w:szCs w:val="18"/>
          </w:rPr>
          <w:t>https://www.w3.org/TR/webarch/#identification</w:t>
        </w:r>
      </w:hyperlink>
      <w:r w:rsidRPr="00041718">
        <w:rPr>
          <w:sz w:val="18"/>
          <w:szCs w:val="18"/>
        </w:rPr>
        <w:t xml:space="preserve"> </w:t>
      </w:r>
    </w:p>
  </w:footnote>
  <w:footnote w:id="4">
    <w:p w:rsidR="00337B67" w:rsidRPr="00041718" w:rsidRDefault="00337B67" w:rsidP="00337B67">
      <w:pPr>
        <w:pStyle w:val="FootnoteText"/>
        <w:snapToGrid w:val="0"/>
        <w:spacing w:before="0" w:after="60"/>
        <w:ind w:left="284" w:hanging="284"/>
        <w:rPr>
          <w:sz w:val="18"/>
          <w:szCs w:val="18"/>
        </w:rPr>
      </w:pPr>
      <w:r w:rsidRPr="00041718">
        <w:rPr>
          <w:rStyle w:val="FootnoteReference"/>
          <w:sz w:val="18"/>
          <w:szCs w:val="18"/>
        </w:rPr>
        <w:footnoteRef/>
      </w:r>
      <w:r w:rsidRPr="00041718">
        <w:rPr>
          <w:sz w:val="18"/>
          <w:szCs w:val="18"/>
        </w:rPr>
        <w:t xml:space="preserve"> </w:t>
      </w:r>
      <w:r>
        <w:rPr>
          <w:sz w:val="18"/>
          <w:szCs w:val="18"/>
        </w:rPr>
        <w:tab/>
      </w:r>
      <w:r w:rsidRPr="00041718">
        <w:rPr>
          <w:sz w:val="18"/>
          <w:szCs w:val="18"/>
        </w:rPr>
        <w:t xml:space="preserve">As stated in the </w:t>
      </w:r>
      <w:r w:rsidRPr="00041718">
        <w:rPr>
          <w:i/>
          <w:iCs/>
          <w:sz w:val="18"/>
          <w:szCs w:val="18"/>
        </w:rPr>
        <w:t>Manual on the GTS</w:t>
      </w:r>
      <w:r w:rsidRPr="00041718">
        <w:rPr>
          <w:sz w:val="18"/>
          <w:szCs w:val="18"/>
        </w:rPr>
        <w:t xml:space="preserve"> (WMO-No. 386) Attachment II-15, Internet connections may already be used within the GTS</w:t>
      </w:r>
    </w:p>
  </w:footnote>
  <w:footnote w:id="5">
    <w:p w:rsidR="00337B67" w:rsidRPr="002D3D02" w:rsidRDefault="00337B67" w:rsidP="00337B67">
      <w:pPr>
        <w:pStyle w:val="FootnoteText"/>
        <w:spacing w:after="0"/>
        <w:ind w:left="284" w:hanging="284"/>
        <w:rPr>
          <w:sz w:val="18"/>
          <w:szCs w:val="18"/>
        </w:rPr>
      </w:pPr>
      <w:r w:rsidRPr="002D3D02">
        <w:rPr>
          <w:rStyle w:val="FootnoteReference"/>
          <w:sz w:val="18"/>
          <w:szCs w:val="18"/>
        </w:rPr>
        <w:footnoteRef/>
      </w:r>
      <w:r w:rsidRPr="002D3D02">
        <w:rPr>
          <w:sz w:val="18"/>
          <w:szCs w:val="18"/>
        </w:rPr>
        <w:t xml:space="preserve"> </w:t>
      </w:r>
      <w:r w:rsidRPr="002D3D02">
        <w:rPr>
          <w:sz w:val="18"/>
          <w:szCs w:val="18"/>
        </w:rPr>
        <w:tab/>
        <w:t>Provision of data processing services in this way supports the WMO mantra the "no Member be left behind" and that "no Member stands alone" - through cooperation, all Members should access to the necessary capability to work with the predicted increase in data volumes</w:t>
      </w:r>
    </w:p>
  </w:footnote>
  <w:footnote w:id="6">
    <w:p w:rsidR="00337B67" w:rsidRDefault="00337B67" w:rsidP="00337B67">
      <w:pPr>
        <w:pStyle w:val="FootnoteText"/>
        <w:ind w:left="284" w:hanging="284"/>
      </w:pPr>
      <w:r>
        <w:rPr>
          <w:rStyle w:val="FootnoteReference"/>
        </w:rPr>
        <w:footnoteRef/>
      </w:r>
      <w:r>
        <w:t xml:space="preserve"> </w:t>
      </w:r>
      <w:r>
        <w:tab/>
      </w:r>
      <w:r w:rsidRPr="006C328F">
        <w:t xml:space="preserve">As an example of how Google use </w:t>
      </w:r>
      <w:hyperlink r:id="rId3" w:history="1">
        <w:r w:rsidRPr="00C51438">
          <w:rPr>
            <w:rStyle w:val="Hyperlink"/>
          </w:rPr>
          <w:t>schema.org</w:t>
        </w:r>
      </w:hyperlink>
      <w:r w:rsidRPr="006C328F">
        <w:t xml:space="preserve"> structured </w:t>
      </w:r>
      <w:proofErr w:type="spellStart"/>
      <w:r w:rsidRPr="006C328F">
        <w:t>markup</w:t>
      </w:r>
      <w:proofErr w:type="spellEnd"/>
      <w:r w:rsidRPr="006C328F">
        <w:t xml:space="preserve"> to enable users to find datasets, please see the following article from Nature: "Google unveils search engine for open data" </w:t>
      </w:r>
      <w:hyperlink r:id="rId4" w:history="1">
        <w:r w:rsidRPr="003449AD">
          <w:rPr>
            <w:rStyle w:val="Hyperlink"/>
          </w:rPr>
          <w:t>https://www.nature.com/articles/d41586-018-06201-x</w:t>
        </w:r>
      </w:hyperlink>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B67"/>
    <w:rsid w:val="00337B67"/>
    <w:rsid w:val="00832E67"/>
    <w:rsid w:val="00C605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WMOBodyText"/>
    <w:qFormat/>
    <w:rsid w:val="00337B67"/>
    <w:pPr>
      <w:tabs>
        <w:tab w:val="left" w:pos="1134"/>
      </w:tabs>
      <w:spacing w:after="120" w:line="240" w:lineRule="auto"/>
      <w:jc w:val="both"/>
    </w:pPr>
    <w:rPr>
      <w:rFonts w:ascii="Verdana" w:eastAsia="Arial" w:hAnsi="Verdana" w:cs="Arial"/>
      <w:sz w:val="20"/>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37B67"/>
    <w:rPr>
      <w:color w:val="0000FF"/>
      <w:u w:val="none"/>
    </w:rPr>
  </w:style>
  <w:style w:type="paragraph" w:customStyle="1" w:styleId="WMOBodyText">
    <w:name w:val="WMO_BodyText"/>
    <w:basedOn w:val="Normal"/>
    <w:link w:val="WMOBodyTextCharChar"/>
    <w:qFormat/>
    <w:rsid w:val="00337B67"/>
    <w:pPr>
      <w:spacing w:before="240"/>
      <w:jc w:val="left"/>
    </w:pPr>
    <w:rPr>
      <w:szCs w:val="22"/>
      <w:lang w:eastAsia="zh-TW"/>
    </w:rPr>
  </w:style>
  <w:style w:type="character" w:styleId="FootnoteReference">
    <w:name w:val="footnote reference"/>
    <w:basedOn w:val="DefaultParagraphFont"/>
    <w:uiPriority w:val="99"/>
    <w:rsid w:val="00337B67"/>
    <w:rPr>
      <w:vertAlign w:val="superscript"/>
    </w:rPr>
  </w:style>
  <w:style w:type="paragraph" w:styleId="FootnoteText">
    <w:name w:val="footnote text"/>
    <w:basedOn w:val="Normal"/>
    <w:link w:val="FootnoteTextChar"/>
    <w:uiPriority w:val="99"/>
    <w:rsid w:val="00337B67"/>
    <w:pPr>
      <w:spacing w:before="120"/>
      <w:ind w:left="360" w:hanging="360"/>
      <w:jc w:val="left"/>
    </w:pPr>
  </w:style>
  <w:style w:type="character" w:customStyle="1" w:styleId="FootnoteTextChar">
    <w:name w:val="Footnote Text Char"/>
    <w:basedOn w:val="DefaultParagraphFont"/>
    <w:link w:val="FootnoteText"/>
    <w:uiPriority w:val="99"/>
    <w:rsid w:val="00337B67"/>
    <w:rPr>
      <w:rFonts w:ascii="Verdana" w:eastAsia="Arial" w:hAnsi="Verdana" w:cs="Arial"/>
      <w:sz w:val="20"/>
      <w:szCs w:val="20"/>
      <w:lang w:val="en-GB" w:eastAsia="en-US"/>
    </w:rPr>
  </w:style>
  <w:style w:type="character" w:customStyle="1" w:styleId="WMOBodyTextCharChar">
    <w:name w:val="WMO_BodyText Char Char"/>
    <w:basedOn w:val="DefaultParagraphFont"/>
    <w:link w:val="WMOBodyText"/>
    <w:rsid w:val="00337B67"/>
    <w:rPr>
      <w:rFonts w:ascii="Verdana" w:eastAsia="Arial" w:hAnsi="Verdana" w:cs="Arial"/>
      <w:sz w:val="20"/>
      <w:lang w:val="en-GB"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WMOBodyText"/>
    <w:qFormat/>
    <w:rsid w:val="00337B67"/>
    <w:pPr>
      <w:tabs>
        <w:tab w:val="left" w:pos="1134"/>
      </w:tabs>
      <w:spacing w:after="120" w:line="240" w:lineRule="auto"/>
      <w:jc w:val="both"/>
    </w:pPr>
    <w:rPr>
      <w:rFonts w:ascii="Verdana" w:eastAsia="Arial" w:hAnsi="Verdana" w:cs="Arial"/>
      <w:sz w:val="20"/>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37B67"/>
    <w:rPr>
      <w:color w:val="0000FF"/>
      <w:u w:val="none"/>
    </w:rPr>
  </w:style>
  <w:style w:type="paragraph" w:customStyle="1" w:styleId="WMOBodyText">
    <w:name w:val="WMO_BodyText"/>
    <w:basedOn w:val="Normal"/>
    <w:link w:val="WMOBodyTextCharChar"/>
    <w:qFormat/>
    <w:rsid w:val="00337B67"/>
    <w:pPr>
      <w:spacing w:before="240"/>
      <w:jc w:val="left"/>
    </w:pPr>
    <w:rPr>
      <w:szCs w:val="22"/>
      <w:lang w:eastAsia="zh-TW"/>
    </w:rPr>
  </w:style>
  <w:style w:type="character" w:styleId="FootnoteReference">
    <w:name w:val="footnote reference"/>
    <w:basedOn w:val="DefaultParagraphFont"/>
    <w:uiPriority w:val="99"/>
    <w:rsid w:val="00337B67"/>
    <w:rPr>
      <w:vertAlign w:val="superscript"/>
    </w:rPr>
  </w:style>
  <w:style w:type="paragraph" w:styleId="FootnoteText">
    <w:name w:val="footnote text"/>
    <w:basedOn w:val="Normal"/>
    <w:link w:val="FootnoteTextChar"/>
    <w:uiPriority w:val="99"/>
    <w:rsid w:val="00337B67"/>
    <w:pPr>
      <w:spacing w:before="120"/>
      <w:ind w:left="360" w:hanging="360"/>
      <w:jc w:val="left"/>
    </w:pPr>
  </w:style>
  <w:style w:type="character" w:customStyle="1" w:styleId="FootnoteTextChar">
    <w:name w:val="Footnote Text Char"/>
    <w:basedOn w:val="DefaultParagraphFont"/>
    <w:link w:val="FootnoteText"/>
    <w:uiPriority w:val="99"/>
    <w:rsid w:val="00337B67"/>
    <w:rPr>
      <w:rFonts w:ascii="Verdana" w:eastAsia="Arial" w:hAnsi="Verdana" w:cs="Arial"/>
      <w:sz w:val="20"/>
      <w:szCs w:val="20"/>
      <w:lang w:val="en-GB" w:eastAsia="en-US"/>
    </w:rPr>
  </w:style>
  <w:style w:type="character" w:customStyle="1" w:styleId="WMOBodyTextCharChar">
    <w:name w:val="WMO_BodyText Char Char"/>
    <w:basedOn w:val="DefaultParagraphFont"/>
    <w:link w:val="WMOBodyText"/>
    <w:rsid w:val="00337B67"/>
    <w:rPr>
      <w:rFonts w:ascii="Verdana" w:eastAsia="Arial" w:hAnsi="Verdana" w:cs="Arial"/>
      <w:sz w:val="20"/>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www.schema.org" TargetMode="External"/><Relationship Id="rId2" Type="http://schemas.openxmlformats.org/officeDocument/2006/relationships/hyperlink" Target="https://www.w3.org/TR/webarch/" TargetMode="External"/><Relationship Id="rId1" Type="http://schemas.openxmlformats.org/officeDocument/2006/relationships/hyperlink" Target="https://tools.ietf.org/html/rfc3986" TargetMode="External"/><Relationship Id="rId4" Type="http://schemas.openxmlformats.org/officeDocument/2006/relationships/hyperlink" Target="https://www.nature.com/articles/d41586-018-06201-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692</Words>
  <Characters>3947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4630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Bryan Hodge</dc:creator>
  <cp:lastModifiedBy>Bryan Hodge</cp:lastModifiedBy>
  <cp:revision>1</cp:revision>
  <dcterms:created xsi:type="dcterms:W3CDTF">2019-02-28T13:33:00Z</dcterms:created>
  <dcterms:modified xsi:type="dcterms:W3CDTF">2019-02-28T13:37:00Z</dcterms:modified>
</cp:coreProperties>
</file>