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embeddings/oleObject2.bin" ContentType="application/vnd.openxmlformats-officedocument.oleObject"/>
  <Override PartName="/word/embeddings/oleObject1.bin" ContentType="application/vnd.openxmlformats-officedocument.oleObject"/>
  <Override PartName="/word/header2.xml" ContentType="application/vnd.openxmlformats-officedocument.wordprocessingml.header+xml"/>
  <Override PartName="/word/media/image2.emf" ContentType="image/x-emf"/>
  <Override PartName="/word/media/image1.emf" ContentType="image/x-emf"/>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before="480" w:after="0"/>
        <w:rPr/>
      </w:pPr>
      <w:r>
        <w:rPr/>
        <w:t xml:space="preserve">Implications for Further Re-Architecting of Encoding Formats </w:t>
      </w:r>
    </w:p>
    <w:p>
      <w:pPr>
        <w:pStyle w:val="Heading2"/>
        <w:rPr/>
      </w:pPr>
      <w:bookmarkStart w:id="0" w:name="_GoBack"/>
      <w:bookmarkEnd w:id="0"/>
      <w:r>
        <w:rPr/>
        <w:t>Retiring Traditional Alpha-numeric Codes</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Significant amounts of activity have taken place over many years providing Encoding Formats that replace Traditional Alpha-numeric Codes (TAC).</w:t>
      </w:r>
    </w:p>
    <w:p>
      <w:pPr>
        <w:pStyle w:val="Heading3"/>
        <w:rPr>
          <w:rFonts w:ascii="Times New Roman" w:hAnsi="Times New Roman" w:cs="Times New Roman"/>
          <w:sz w:val="24"/>
          <w:szCs w:val="24"/>
        </w:rPr>
      </w:pPr>
      <w:r>
        <w:rPr>
          <w:rFonts w:cs="Times New Roman" w:ascii="Times New Roman" w:hAnsi="Times New Roman"/>
          <w:sz w:val="24"/>
          <w:szCs w:val="24"/>
        </w:rPr>
        <w:t>Aviation XML - IWXXM</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Aviation XML is adopting Geographical Markup Language (GML) from the Open Geospatial Consortium (OGC) in partnership with ICAO.</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Adoption of IWXXM is taking a long period of time.  Many WMO Centres and consumers of Aviation products have not started the process of adopting IWXXM.</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IWXXM is being refactored by the task team, in a backwards incompatible fashion.</w:t>
      </w:r>
    </w:p>
    <w:p>
      <w:pPr>
        <w:pStyle w:val="ListParagraph"/>
        <w:numPr>
          <w:ilvl w:val="1"/>
          <w:numId w:val="1"/>
        </w:numPr>
        <w:rPr>
          <w:rFonts w:ascii="Times New Roman" w:hAnsi="Times New Roman" w:cs="Times New Roman"/>
          <w:sz w:val="24"/>
          <w:szCs w:val="24"/>
        </w:rPr>
      </w:pPr>
      <w:r>
        <w:rPr>
          <w:rFonts w:cs="Times New Roman" w:ascii="Times New Roman" w:hAnsi="Times New Roman"/>
          <w:sz w:val="24"/>
          <w:szCs w:val="24"/>
        </w:rPr>
        <w:t>This is causing significant delay in take up of IWXXM.</w:t>
      </w:r>
    </w:p>
    <w:p>
      <w:pPr>
        <w:pStyle w:val="ListParagraph"/>
        <w:numPr>
          <w:ilvl w:val="1"/>
          <w:numId w:val="1"/>
        </w:numPr>
        <w:rPr>
          <w:rFonts w:ascii="Times New Roman" w:hAnsi="Times New Roman" w:cs="Times New Roman"/>
          <w:sz w:val="24"/>
          <w:szCs w:val="24"/>
        </w:rPr>
      </w:pPr>
      <w:r>
        <w:rPr>
          <w:rFonts w:cs="Times New Roman" w:ascii="Times New Roman" w:hAnsi="Times New Roman"/>
          <w:sz w:val="24"/>
          <w:szCs w:val="24"/>
        </w:rPr>
        <w:t xml:space="preserve">A primary driver for this work is to reduce the complexity of IWXXM, for maintainability and to promote adoption in the long term. </w:t>
      </w:r>
    </w:p>
    <w:p>
      <w:pPr>
        <w:pStyle w:val="Heading3"/>
        <w:rPr>
          <w:rFonts w:ascii="Times New Roman" w:hAnsi="Times New Roman" w:cs="Times New Roman"/>
          <w:sz w:val="24"/>
          <w:szCs w:val="24"/>
        </w:rPr>
      </w:pPr>
      <w:r>
        <w:rPr>
          <w:rFonts w:cs="Times New Roman" w:ascii="Times New Roman" w:hAnsi="Times New Roman"/>
          <w:sz w:val="24"/>
          <w:szCs w:val="24"/>
        </w:rPr>
        <w:t>BUFR</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BUFR is the replacement for the majority of TAC in use in meteorology.</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BUFR is at it’s 4</w:t>
      </w:r>
      <w:r>
        <w:rPr>
          <w:rFonts w:cs="Times New Roman" w:ascii="Times New Roman" w:hAnsi="Times New Roman"/>
          <w:sz w:val="24"/>
          <w:szCs w:val="24"/>
          <w:vertAlign w:val="superscript"/>
        </w:rPr>
        <w:t>th</w:t>
      </w:r>
      <w:r>
        <w:rPr>
          <w:rFonts w:cs="Times New Roman" w:ascii="Times New Roman" w:hAnsi="Times New Roman"/>
          <w:sz w:val="24"/>
          <w:szCs w:val="24"/>
        </w:rPr>
        <w:t xml:space="preserve"> edition, and has been in wide use for many years.</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 xml:space="preserve">Many Centres have only partially adopted BUFR.  </w:t>
      </w:r>
    </w:p>
    <w:p>
      <w:pPr>
        <w:pStyle w:val="ListParagraph"/>
        <w:numPr>
          <w:ilvl w:val="1"/>
          <w:numId w:val="1"/>
        </w:numPr>
        <w:rPr>
          <w:rFonts w:ascii="Times New Roman" w:hAnsi="Times New Roman" w:cs="Times New Roman"/>
          <w:sz w:val="24"/>
          <w:szCs w:val="24"/>
        </w:rPr>
      </w:pPr>
      <w:r>
        <w:rPr>
          <w:rFonts w:cs="Times New Roman" w:ascii="Times New Roman" w:hAnsi="Times New Roman"/>
          <w:sz w:val="24"/>
          <w:szCs w:val="24"/>
        </w:rPr>
        <w:t>TAC remains in wide use in data assimilation and data representation.</w:t>
      </w:r>
    </w:p>
    <w:p>
      <w:pPr>
        <w:pStyle w:val="ListParagraph"/>
        <w:numPr>
          <w:ilvl w:val="1"/>
          <w:numId w:val="1"/>
        </w:numPr>
        <w:rPr>
          <w:rFonts w:ascii="Times New Roman" w:hAnsi="Times New Roman" w:cs="Times New Roman"/>
          <w:sz w:val="24"/>
          <w:szCs w:val="24"/>
        </w:rPr>
      </w:pPr>
      <w:r>
        <w:rPr>
          <w:rFonts w:cs="Times New Roman" w:ascii="Times New Roman" w:hAnsi="Times New Roman"/>
          <w:sz w:val="24"/>
          <w:szCs w:val="24"/>
        </w:rPr>
        <w:t>Conversion from BUFR to TAC for targeted use cases is widespread and problematic to maintain.</w:t>
      </w:r>
    </w:p>
    <w:p>
      <w:pPr>
        <w:pStyle w:val="Heading3"/>
        <w:rPr>
          <w:rFonts w:ascii="Times New Roman" w:hAnsi="Times New Roman" w:cs="Times New Roman"/>
          <w:sz w:val="24"/>
          <w:szCs w:val="24"/>
        </w:rPr>
      </w:pPr>
      <w:r>
        <w:rPr>
          <w:rFonts w:cs="Times New Roman" w:ascii="Times New Roman" w:hAnsi="Times New Roman"/>
          <w:sz w:val="24"/>
          <w:szCs w:val="24"/>
        </w:rPr>
        <w:t>WIGOS Identifiers</w:t>
      </w:r>
    </w:p>
    <w:p>
      <w:pPr>
        <w:pStyle w:val="ListParagraph"/>
        <w:numPr>
          <w:ilvl w:val="0"/>
          <w:numId w:val="1"/>
        </w:numPr>
        <w:rPr>
          <w:rFonts w:ascii="Times New Roman" w:hAnsi="Times New Roman" w:cs="Times New Roman"/>
          <w:sz w:val="24"/>
          <w:szCs w:val="24"/>
        </w:rPr>
      </w:pPr>
      <w:r>
        <w:rPr>
          <w:rFonts w:cs="Times New Roman" w:ascii="Times New Roman" w:hAnsi="Times New Roman"/>
          <w:sz w:val="24"/>
          <w:szCs w:val="24"/>
        </w:rPr>
        <w:t>The adoption of WIGOS metadata and the imminent implementation of WIGOS Identifiers within BUFR messages will cause major technology issues for any implementations dependent on targeted BUFR to TAC conversion to support data management.</w:t>
      </w:r>
    </w:p>
    <w:p>
      <w:pPr>
        <w:pStyle w:val="Heading3"/>
        <w:rPr/>
      </w:pPr>
      <w:r>
        <w:rPr/>
      </w:r>
    </w:p>
    <w:p>
      <w:pPr>
        <w:pStyle w:val="Normal"/>
        <w:rPr/>
      </w:pPr>
      <w:r>
        <w:rPr/>
      </w:r>
    </w:p>
    <w:p>
      <w:pPr>
        <w:pStyle w:val="Heading2"/>
        <w:rPr/>
      </w:pPr>
      <w:r>
        <w:rPr/>
        <w:t>Re-Architecting Binary Encodings</w:t>
      </w:r>
    </w:p>
    <w:p>
      <w:pPr>
        <w:pStyle w:val="ListParagraph"/>
        <w:numPr>
          <w:ilvl w:val="0"/>
          <w:numId w:val="1"/>
        </w:numPr>
        <w:rPr/>
      </w:pPr>
      <w:r>
        <w:rPr>
          <w:rFonts w:cs="Times New Roman" w:ascii="Times New Roman" w:hAnsi="Times New Roman"/>
          <w:sz w:val="24"/>
          <w:szCs w:val="24"/>
        </w:rPr>
        <w:t>The Met Office are concerned about activities to re-architect the WMO Binary encoding formats BUFR and GRIB.</w:t>
      </w:r>
    </w:p>
    <w:p>
      <w:pPr>
        <w:pStyle w:val="ListParagraph"/>
        <w:numPr>
          <w:ilvl w:val="1"/>
          <w:numId w:val="1"/>
        </w:numPr>
        <w:rPr/>
      </w:pPr>
      <w:r>
        <w:rPr>
          <w:rFonts w:cs="Times New Roman" w:ascii="Times New Roman" w:hAnsi="Times New Roman"/>
          <w:sz w:val="24"/>
          <w:szCs w:val="24"/>
        </w:rPr>
        <w:t xml:space="preserve">This is a marked change from an incremental approach to developing these capabilities. </w:t>
      </w:r>
    </w:p>
    <w:p>
      <w:pPr>
        <w:pStyle w:val="ListParagraph"/>
        <w:numPr>
          <w:ilvl w:val="1"/>
          <w:numId w:val="1"/>
        </w:numPr>
        <w:rPr/>
      </w:pPr>
      <w:r>
        <w:rPr>
          <w:rFonts w:cs="Times New Roman" w:ascii="Times New Roman" w:hAnsi="Times New Roman"/>
          <w:sz w:val="24"/>
          <w:szCs w:val="24"/>
        </w:rPr>
        <w:t>The IPET-CM II (2018) summarises the discussion on the matter and outlines the intention to 'modernise the code forms design and feature set' and seek to align the new code structure with the wor</w:t>
      </w:r>
      <w:r>
        <w:rPr>
          <w:rFonts w:cs="Times New Roman" w:ascii="Times New Roman" w:hAnsi="Times New Roman"/>
          <w:sz w:val="24"/>
          <w:szCs w:val="24"/>
        </w:rPr>
        <w:t>k</w:t>
      </w:r>
      <w:r>
        <w:rPr>
          <w:rFonts w:cs="Times New Roman" w:ascii="Times New Roman" w:hAnsi="Times New Roman"/>
          <w:sz w:val="24"/>
          <w:szCs w:val="24"/>
        </w:rPr>
        <w:t xml:space="preserve"> already carried out on GRIB Edition 3.  The summary  is in section 2.7 of the meeting report [1].</w:t>
      </w:r>
    </w:p>
    <w:p>
      <w:pPr>
        <w:pStyle w:val="ListParagraph"/>
        <w:numPr>
          <w:ilvl w:val="1"/>
          <w:numId w:val="1"/>
        </w:numPr>
        <w:rPr/>
      </w:pPr>
      <w:r>
        <w:rPr>
          <w:rFonts w:cs="Times New Roman" w:ascii="Times New Roman" w:hAnsi="Times New Roman"/>
          <w:sz w:val="24"/>
          <w:szCs w:val="24"/>
        </w:rPr>
        <w:t>The Terms of Reference for TT-BUFR may be found on the IPET-CM 1 pages under agenda item 10.1 [2].</w:t>
      </w:r>
    </w:p>
    <w:p>
      <w:pPr>
        <w:pStyle w:val="ListParagraph"/>
        <w:numPr>
          <w:ilvl w:val="0"/>
          <w:numId w:val="1"/>
        </w:numPr>
        <w:rPr/>
      </w:pPr>
      <w:r>
        <w:rPr>
          <w:rFonts w:cs="Times New Roman" w:ascii="Times New Roman" w:hAnsi="Times New Roman"/>
          <w:sz w:val="24"/>
          <w:szCs w:val="24"/>
        </w:rPr>
        <w:t>Replacing BUFR and/or GRIB with new encoding architectures has large implications for Met Office Infrastructure and downstream activities.  There are large cost implications.</w:t>
      </w:r>
    </w:p>
    <w:p>
      <w:pPr>
        <w:pStyle w:val="ListParagraph"/>
        <w:numPr>
          <w:ilvl w:val="0"/>
          <w:numId w:val="1"/>
        </w:numPr>
        <w:rPr/>
      </w:pPr>
      <w:r>
        <w:rPr>
          <w:rFonts w:cs="Times New Roman" w:ascii="Times New Roman" w:hAnsi="Times New Roman"/>
          <w:sz w:val="24"/>
          <w:szCs w:val="24"/>
        </w:rPr>
        <w:t>Specific enhancement requirements risk being lost in the focus on a new architecture.</w:t>
      </w:r>
    </w:p>
    <w:p>
      <w:pPr>
        <w:pStyle w:val="ListParagraph"/>
        <w:numPr>
          <w:ilvl w:val="0"/>
          <w:numId w:val="1"/>
        </w:numPr>
        <w:rPr/>
      </w:pPr>
      <w:r>
        <w:rPr>
          <w:rFonts w:cs="Times New Roman" w:ascii="Times New Roman" w:hAnsi="Times New Roman"/>
          <w:sz w:val="24"/>
          <w:szCs w:val="24"/>
        </w:rPr>
        <w:t>The cost of managing a transition to different encodings for BUFR or GRIB could be very large, in re-implementation of software and management of parallel running. Such costs are not being planned for within the Met Office, and potentially other Centres.</w:t>
      </w:r>
    </w:p>
    <w:p>
      <w:pPr>
        <w:pStyle w:val="ListParagraph"/>
        <w:numPr>
          <w:ilvl w:val="0"/>
          <w:numId w:val="1"/>
        </w:numPr>
        <w:rPr/>
      </w:pPr>
      <w:r>
        <w:rPr>
          <w:rFonts w:cs="Times New Roman" w:ascii="Times New Roman" w:hAnsi="Times New Roman"/>
          <w:sz w:val="24"/>
          <w:szCs w:val="24"/>
          <w:lang w:val="en-GB" w:eastAsia="en-US" w:bidi="ar-SA"/>
        </w:rPr>
        <w:t>The volume of change taking place within management of Encodings, with IWXXM and WIGOS, is too large to properly deliver as it is.  Parallel running further major encoding change is too much to ask of Centres.</w:t>
      </w:r>
    </w:p>
    <w:p>
      <w:pPr>
        <w:pStyle w:val="ListParagraph"/>
        <w:numPr>
          <w:ilvl w:val="0"/>
          <w:numId w:val="1"/>
        </w:numPr>
        <w:rPr/>
      </w:pPr>
      <w:r>
        <w:rPr>
          <w:rFonts w:cs="Times New Roman" w:ascii="Times New Roman" w:hAnsi="Times New Roman"/>
          <w:sz w:val="24"/>
          <w:szCs w:val="24"/>
          <w:lang w:val="en-GB" w:eastAsia="en-US" w:bidi="ar-SA"/>
        </w:rPr>
        <w:t>Adoption of netCDF, proposed in a number of contexts also has particular challenges in cumulative management of change.</w:t>
      </w:r>
    </w:p>
    <w:p>
      <w:pPr>
        <w:pStyle w:val="Heading2"/>
        <w:rPr/>
      </w:pPr>
      <w:r>
        <w:rPr>
          <w:rFonts w:cs="Times New Roman" w:ascii="Times New Roman" w:hAnsi="Times New Roman"/>
          <w:sz w:val="24"/>
          <w:szCs w:val="24"/>
        </w:rPr>
        <w:t>Re-Analysis Request</w:t>
      </w:r>
    </w:p>
    <w:p>
      <w:pPr>
        <w:pStyle w:val="ListParagraph"/>
        <w:numPr>
          <w:ilvl w:val="0"/>
          <w:numId w:val="1"/>
        </w:numPr>
        <w:rPr/>
      </w:pPr>
      <w:r>
        <w:rPr>
          <w:rFonts w:cs="Times New Roman" w:ascii="Times New Roman" w:hAnsi="Times New Roman"/>
          <w:sz w:val="24"/>
          <w:szCs w:val="24"/>
        </w:rPr>
        <w:t>The Met Office Requests clarification on the longevity of the current editions of BUFR – edition 4; and GRIB - edition 2; for operational meteorology.</w:t>
      </w:r>
    </w:p>
    <w:p>
      <w:pPr>
        <w:pStyle w:val="ListParagraph"/>
        <w:numPr>
          <w:ilvl w:val="0"/>
          <w:numId w:val="1"/>
        </w:numPr>
        <w:rPr/>
      </w:pPr>
      <w:r>
        <w:rPr>
          <w:rFonts w:cs="Times New Roman" w:ascii="Times New Roman" w:hAnsi="Times New Roman"/>
          <w:sz w:val="24"/>
          <w:szCs w:val="24"/>
        </w:rPr>
        <w:t>The Met Office request a set of statements on the requirements for BUFR and GRIB that are driving the proposals for a new architecture.</w:t>
      </w:r>
    </w:p>
    <w:p>
      <w:pPr>
        <w:pStyle w:val="ListParagraph"/>
        <w:numPr>
          <w:ilvl w:val="1"/>
          <w:numId w:val="1"/>
        </w:numPr>
        <w:rPr/>
      </w:pPr>
      <w:r>
        <w:rPr>
          <w:rFonts w:cs="Times New Roman" w:ascii="Times New Roman" w:hAnsi="Times New Roman"/>
          <w:sz w:val="24"/>
          <w:szCs w:val="24"/>
        </w:rPr>
        <w:t>this shall be open for comment and review.</w:t>
      </w:r>
    </w:p>
    <w:p>
      <w:pPr>
        <w:pStyle w:val="ListParagraph"/>
        <w:numPr>
          <w:ilvl w:val="0"/>
          <w:numId w:val="1"/>
        </w:numPr>
        <w:rPr/>
      </w:pPr>
      <w:r>
        <w:rPr>
          <w:rFonts w:cs="Times New Roman" w:ascii="Times New Roman" w:hAnsi="Times New Roman"/>
          <w:sz w:val="24"/>
          <w:szCs w:val="24"/>
        </w:rPr>
        <w:t>The Met Office request an activity, involving IPET-CM and IPET-DD, that gathers proposals for:</w:t>
      </w:r>
    </w:p>
    <w:p>
      <w:pPr>
        <w:pStyle w:val="ListParagraph"/>
        <w:numPr>
          <w:ilvl w:val="1"/>
          <w:numId w:val="1"/>
        </w:numPr>
        <w:rPr/>
      </w:pPr>
      <w:r>
        <w:rPr>
          <w:rFonts w:cs="Times New Roman" w:ascii="Times New Roman" w:hAnsi="Times New Roman"/>
          <w:sz w:val="24"/>
          <w:szCs w:val="24"/>
        </w:rPr>
        <w:t>work packages that may meet, or partially meet, these requirements;</w:t>
      </w:r>
    </w:p>
    <w:p>
      <w:pPr>
        <w:pStyle w:val="ListParagraph"/>
        <w:numPr>
          <w:ilvl w:val="1"/>
          <w:numId w:val="1"/>
        </w:numPr>
        <w:rPr/>
      </w:pPr>
      <w:r>
        <w:rPr>
          <w:rFonts w:cs="Times New Roman" w:ascii="Times New Roman" w:hAnsi="Times New Roman"/>
          <w:sz w:val="24"/>
          <w:szCs w:val="24"/>
        </w:rPr>
        <w:t>alterations to these requirements;</w:t>
      </w:r>
    </w:p>
    <w:p>
      <w:pPr>
        <w:pStyle w:val="ListParagraph"/>
        <w:numPr>
          <w:ilvl w:val="1"/>
          <w:numId w:val="1"/>
        </w:numPr>
        <w:rPr/>
      </w:pPr>
      <w:r>
        <w:rPr>
          <w:rFonts w:cs="Times New Roman" w:ascii="Times New Roman" w:hAnsi="Times New Roman"/>
          <w:sz w:val="24"/>
          <w:szCs w:val="24"/>
        </w:rPr>
        <w:t>input on the relative priority and implication of requirements.</w:t>
      </w:r>
    </w:p>
    <w:p>
      <w:pPr>
        <w:pStyle w:val="Heading2"/>
        <w:rPr/>
      </w:pPr>
      <w:r>
        <w:rPr/>
        <w:t>References</w:t>
      </w:r>
    </w:p>
    <w:p>
      <w:pPr>
        <w:pStyle w:val="Normal"/>
        <w:ind w:left="360" w:hanging="0"/>
        <w:rPr/>
      </w:pPr>
      <w:r>
        <w:rPr>
          <w:rFonts w:cs="Times New Roman" w:ascii="Times New Roman" w:hAnsi="Times New Roman"/>
          <w:sz w:val="24"/>
          <w:szCs w:val="24"/>
        </w:rPr>
        <w:t xml:space="preserve">[1] </w:t>
      </w:r>
      <w:hyperlink r:id="rId2">
        <w:r>
          <w:rPr>
            <w:rStyle w:val="InternetLink"/>
            <w:rFonts w:cs="Times New Roman" w:ascii="Times New Roman" w:hAnsi="Times New Roman"/>
            <w:sz w:val="24"/>
            <w:szCs w:val="24"/>
          </w:rPr>
          <w:t>http://www.wmo.int/pages/prog/www/ISS/Meetings/IPET-CM_Offenbach2018/IPET-CM_DocPlan.html</w:t>
        </w:r>
      </w:hyperlink>
    </w:p>
    <w:p>
      <w:pPr>
        <w:pStyle w:val="Normal"/>
        <w:ind w:left="360" w:hanging="0"/>
        <w:rPr/>
      </w:pPr>
      <w:r>
        <w:rPr>
          <w:rFonts w:cs="Times New Roman" w:ascii="Times New Roman" w:hAnsi="Times New Roman"/>
          <w:sz w:val="24"/>
          <w:szCs w:val="24"/>
        </w:rPr>
        <w:t xml:space="preserve">[2] </w:t>
      </w:r>
      <w:hyperlink r:id="rId3">
        <w:r>
          <w:rPr>
            <w:rStyle w:val="InternetLink"/>
            <w:rFonts w:cs="Times New Roman" w:ascii="Times New Roman" w:hAnsi="Times New Roman"/>
            <w:sz w:val="24"/>
            <w:szCs w:val="24"/>
          </w:rPr>
          <w:t>http://www.wmo.int/pages/prog/www/ISS/Meetings/IPET-CM_Geneva2017/Documents/IPET-CM-I_Doc10-1_IPET-CM.docx</w:t>
        </w:r>
      </w:hyperlink>
    </w:p>
    <w:p>
      <w:pPr>
        <w:pStyle w:val="Heading2"/>
        <w:rPr/>
      </w:pPr>
      <w:r>
        <w:rPr/>
        <w:t xml:space="preserve">Recommended Text </w:t>
      </w:r>
    </w:p>
    <w:p>
      <w:pPr>
        <w:pStyle w:val="Normal"/>
        <w:widowControl/>
        <w:bidi w:val="0"/>
        <w:spacing w:lineRule="auto" w:line="276" w:before="0" w:after="200"/>
        <w:jc w:val="left"/>
        <w:rPr/>
      </w:pPr>
      <w:r>
        <w:rPr>
          <w:rFonts w:cs="Times New Roman" w:ascii="Times New Roman" w:hAnsi="Times New Roman"/>
          <w:sz w:val="24"/>
          <w:szCs w:val="24"/>
        </w:rPr>
        <w:t>None Applicable</w:t>
      </w:r>
    </w:p>
    <w:sectPr>
      <w:headerReference w:type="default" r:id="rId4"/>
      <w:headerReference w:type="first" r:id="rId5"/>
      <w:type w:val="nextPage"/>
      <w:pgSz w:w="12240" w:h="15840"/>
      <w:pgMar w:left="1440" w:right="1440" w:header="720" w:top="1440" w:footer="0" w:bottom="1440"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imes New Roman">
    <w:charset w:val="01"/>
    <w:family w:val="roman"/>
    <w:pitch w:val="variable"/>
  </w:font>
  <w:font w:name="Liberation Sans">
    <w:altName w:val="Arial"/>
    <w:charset w:val="01"/>
    <w:family w:val="roman"/>
    <w:pitch w:val="variable"/>
  </w:font>
  <w:font w:name="Times New Roman Bold">
    <w:charset w:val="01"/>
    <w:family w:val="roman"/>
    <w:pitch w:val="variable"/>
  </w:font>
  <w:font w:name="Verdana">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125466143"/>
    </w:sdtPr>
    <w:sdtContent>
      <w:p>
        <w:pPr>
          <w:pStyle w:val="Header"/>
          <w:jc w:val="center"/>
          <w:rPr/>
        </w:pPr>
        <w:r>
          <w:rPr/>
          <w:t xml:space="preserve">Agenda Item. </w:t>
        </w:r>
        <w:r>
          <w:rPr>
            <w:highlight w:val="yellow"/>
          </w:rPr>
          <w:t>[XX]</w:t>
        </w:r>
        <w:r>
          <w:rPr/>
          <w:t xml:space="preserve"> (Page </w:t>
        </w:r>
        <w:r>
          <w:rPr/>
          <w:fldChar w:fldCharType="begin"/>
        </w:r>
        <w:r>
          <w:rPr/>
          <w:instrText> PAGE </w:instrText>
        </w:r>
        <w:r>
          <w:rPr/>
          <w:fldChar w:fldCharType="separate"/>
        </w:r>
        <w:r>
          <w:rPr/>
          <w:t>3</w:t>
        </w:r>
        <w:r>
          <w:rPr/>
          <w:fldChar w:fldCharType="end"/>
        </w:r>
        <w:r>
          <w:rPr/>
          <w:t>)</w:t>
        </w:r>
      </w:p>
      <w:p>
        <w:pPr>
          <w:pStyle w:val="Header"/>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mc:AlternateContent>
        <mc:Choice Requires="wps">
          <w:drawing>
            <wp:anchor behindDoc="1" distT="0" distB="0" distL="114935" distR="114935" simplePos="0" locked="0" layoutInCell="1" allowOverlap="1" relativeHeight="2">
              <wp:simplePos x="0" y="0"/>
              <wp:positionH relativeFrom="margin">
                <wp:posOffset>-68580</wp:posOffset>
              </wp:positionH>
              <wp:positionV relativeFrom="margin">
                <wp:posOffset>-179705</wp:posOffset>
              </wp:positionV>
              <wp:extent cx="6402070" cy="2349500"/>
              <wp:effectExtent l="0" t="0" r="0" b="0"/>
              <wp:wrapSquare wrapText="bothSides"/>
              <wp:docPr id="1" name="Frame1"/>
              <a:graphic xmlns:a="http://schemas.openxmlformats.org/drawingml/2006/main">
                <a:graphicData uri="http://schemas.microsoft.com/office/word/2010/wordprocessingShape">
                  <wps:wsp>
                    <wps:cNvSpPr/>
                    <wps:spPr>
                      <a:xfrm>
                        <a:off x="0" y="0"/>
                        <a:ext cx="6401520" cy="2349000"/>
                      </a:xfrm>
                      <a:prstGeom prst="rect">
                        <a:avLst/>
                      </a:prstGeom>
                      <a:noFill/>
                      <a:ln>
                        <a:noFill/>
                      </a:ln>
                    </wps:spPr>
                    <wps:style>
                      <a:lnRef idx="0"/>
                      <a:fillRef idx="0"/>
                      <a:effectRef idx="0"/>
                      <a:fontRef idx="minor"/>
                    </wps:style>
                    <wps:txbx>
                      <w:txbxContent>
                        <w:tbl>
                          <w:tblPr>
                            <w:tblW w:w="10079" w:type="dxa"/>
                            <w:jc w:val="left"/>
                            <w:tblInd w:w="108" w:type="dxa"/>
                            <w:tblBorders/>
                            <w:tblCellMar>
                              <w:top w:w="0" w:type="dxa"/>
                              <w:left w:w="108" w:type="dxa"/>
                              <w:bottom w:w="0" w:type="dxa"/>
                              <w:right w:w="108" w:type="dxa"/>
                            </w:tblCellMar>
                            <w:tblLook w:noVBand="0" w:val="0000" w:noHBand="0" w:lastColumn="0" w:firstColumn="0" w:lastRow="0" w:firstRow="0"/>
                          </w:tblPr>
                          <w:tblGrid>
                            <w:gridCol w:w="4547"/>
                            <w:gridCol w:w="1680"/>
                            <w:gridCol w:w="3851"/>
                          </w:tblGrid>
                          <w:tr>
                            <w:trPr>
                              <w:trHeight w:val="1438" w:hRule="atLeast"/>
                              <w:cantSplit w:val="true"/>
                            </w:trPr>
                            <w:tc>
                              <w:tcPr>
                                <w:tcW w:w="4547" w:type="dxa"/>
                                <w:tcBorders/>
                                <w:shd w:fill="auto" w:val="clear"/>
                                <w:vAlign w:val="center"/>
                              </w:tcPr>
                              <w:p>
                                <w:pPr>
                                  <w:pStyle w:val="Normal"/>
                                  <w:numPr>
                                    <w:ilvl w:val="0"/>
                                    <w:numId w:val="0"/>
                                  </w:numPr>
                                  <w:shd w:val="clear" w:color="auto" w:fill="FFFFFF"/>
                                  <w:spacing w:before="0" w:after="180"/>
                                  <w:jc w:val="center"/>
                                  <w:outlineLvl w:val="1"/>
                                  <w:rPr/>
                                </w:pPr>
                                <w:r>
                                  <w:rPr>
                                    <w:rFonts w:cs="Times New Roman" w:ascii="Times New Roman" w:hAnsi="Times New Roman"/>
                                    <w:b/>
                                    <w:bCs/>
                                    <w:sz w:val="28"/>
                                    <w:szCs w:val="28"/>
                                  </w:rPr>
                                  <w:t>COMMISSION FOR BASIC SYSTEMS</w:t>
                                </w:r>
                                <w:bookmarkStart w:id="1" w:name="ditulogo1"/>
                                <w:bookmarkStart w:id="2" w:name="__UnoMark__233_3268094102"/>
                                <w:bookmarkEnd w:id="1"/>
                                <w:bookmarkEnd w:id="2"/>
                              </w:p>
                            </w:tc>
                            <w:tc>
                              <w:tcPr>
                                <w:tcW w:w="5531" w:type="dxa"/>
                                <w:gridSpan w:val="2"/>
                                <w:tcBorders/>
                                <w:shd w:fill="auto" w:val="clear"/>
                                <w:tcMar>
                                  <w:left w:w="6" w:type="dxa"/>
                                  <w:right w:w="6" w:type="dxa"/>
                                </w:tcMar>
                              </w:tcPr>
                              <w:p>
                                <w:pPr>
                                  <w:pStyle w:val="Normal"/>
                                  <w:shd w:val="solid" w:color="FFFFFF" w:fill="FFFFFF"/>
                                  <w:spacing w:lineRule="atLeast" w:line="240" w:before="240" w:after="0"/>
                                  <w:rPr/>
                                </w:pPr>
                                <w:bookmarkStart w:id="3" w:name="__UnoMark__235_3268094102"/>
                                <w:bookmarkEnd w:id="3"/>
                                <w:r>
                                  <w:rPr/>
                                  <w:object>
                                    <v:shape id="ole_rId1" style="width:274.5pt;height:56.25pt" o:ole="">
                                      <v:imagedata r:id="rId2" o:title=""/>
                                    </v:shape>
                                    <o:OLEObject Type="Embed" ProgID="" ShapeID="ole_rId1" DrawAspect="Content" ObjectID="_409277629" r:id="rId1"/>
                                  </w:object>
                                </w:r>
                                <w:bookmarkStart w:id="4" w:name="__UnoMark__236_3268094102"/>
                                <w:bookmarkEnd w:id="4"/>
                              </w:p>
                            </w:tc>
                          </w:tr>
                          <w:tr>
                            <w:trPr>
                              <w:cantSplit w:val="true"/>
                            </w:trPr>
                            <w:tc>
                              <w:tcPr>
                                <w:tcW w:w="6227" w:type="dxa"/>
                                <w:gridSpan w:val="2"/>
                                <w:tcBorders>
                                  <w:top w:val="single" w:sz="12" w:space="0" w:color="00000A"/>
                                </w:tcBorders>
                                <w:shd w:fill="auto" w:val="clear"/>
                              </w:tcPr>
                              <w:p>
                                <w:pPr>
                                  <w:pStyle w:val="Normal"/>
                                  <w:shd w:val="solid" w:color="FFFFFF" w:fill="FFFFFF"/>
                                  <w:spacing w:before="0" w:after="48"/>
                                  <w:rPr>
                                    <w:rFonts w:ascii="Verdana" w:hAnsi="Verdana" w:cs="Verdana"/>
                                  </w:rPr>
                                </w:pPr>
                                <w:r>
                                  <w:rPr>
                                    <w:rFonts w:cs="Verdana" w:ascii="Verdana" w:hAnsi="Verdana"/>
                                  </w:rPr>
                                </w:r>
                                <w:bookmarkStart w:id="5" w:name="__UnoMark__237_3268094102"/>
                                <w:bookmarkStart w:id="6" w:name="__UnoMark__238_3268094102"/>
                                <w:bookmarkStart w:id="7" w:name="__UnoMark__237_3268094102"/>
                                <w:bookmarkStart w:id="8" w:name="__UnoMark__238_3268094102"/>
                                <w:bookmarkEnd w:id="7"/>
                                <w:bookmarkEnd w:id="8"/>
                              </w:p>
                            </w:tc>
                            <w:tc>
                              <w:tcPr>
                                <w:tcW w:w="3851" w:type="dxa"/>
                                <w:tcBorders>
                                  <w:top w:val="single" w:sz="12" w:space="0" w:color="00000A"/>
                                </w:tcBorders>
                                <w:shd w:fill="auto" w:val="clear"/>
                              </w:tcPr>
                              <w:p>
                                <w:pPr>
                                  <w:pStyle w:val="Normal"/>
                                  <w:shd w:val="solid" w:color="FFFFFF" w:fill="FFFFFF"/>
                                  <w:spacing w:lineRule="atLeast" w:line="240" w:before="0" w:after="48"/>
                                  <w:rPr/>
                                </w:pPr>
                                <w:r>
                                  <w:rPr/>
                                </w:r>
                                <w:bookmarkStart w:id="9" w:name="__UnoMark__239_3268094102"/>
                                <w:bookmarkStart w:id="10" w:name="__UnoMark__240_3268094102"/>
                                <w:bookmarkStart w:id="11" w:name="__UnoMark__239_3268094102"/>
                                <w:bookmarkStart w:id="12" w:name="__UnoMark__240_3268094102"/>
                                <w:bookmarkEnd w:id="11"/>
                                <w:bookmarkEnd w:id="12"/>
                              </w:p>
                            </w:tc>
                          </w:tr>
                          <w:tr>
                            <w:trPr>
                              <w:trHeight w:val="312" w:hRule="atLeast"/>
                              <w:cantSplit w:val="true"/>
                            </w:trPr>
                            <w:tc>
                              <w:tcPr>
                                <w:tcW w:w="6227" w:type="dxa"/>
                                <w:gridSpan w:val="2"/>
                                <w:vMerge w:val="restart"/>
                                <w:tcBorders/>
                                <w:shd w:fill="auto" w:val="clear"/>
                              </w:tcPr>
                              <w:p>
                                <w:pPr>
                                  <w:pStyle w:val="Normal"/>
                                  <w:shd w:val="solid" w:color="FFFFFF" w:fill="FFFFFF"/>
                                  <w:spacing w:before="0" w:after="240"/>
                                  <w:ind w:firstLine="36"/>
                                  <w:rPr/>
                                </w:pPr>
                                <w:bookmarkStart w:id="13" w:name="__UnoMark__241_3268094102"/>
                                <w:bookmarkEnd w:id="13"/>
                                <w:r>
                                  <w:rPr>
                                    <w:rFonts w:cs="Times New Roman" w:ascii="Times New Roman" w:hAnsi="Times New Roman"/>
                                    <w:b/>
                                    <w:sz w:val="28"/>
                                    <w:szCs w:val="20"/>
                                  </w:rPr>
                                  <w:t>Inter</w:t>
                                </w:r>
                                <w:r>
                                  <w:rPr>
                                    <w:rFonts w:cs="Times New Roman" w:ascii="Times New Roman" w:hAnsi="Times New Roman"/>
                                    <w:b/>
                                    <w:sz w:val="28"/>
                                    <w:szCs w:val="20"/>
                                    <w:lang w:val="fr-CH"/>
                                  </w:rPr>
                                  <w:t xml:space="preserve">-Program </w:t>
                                </w:r>
                                <w:r>
                                  <w:rPr>
                                    <w:rFonts w:cs="Times New Roman" w:ascii="Times New Roman" w:hAnsi="Times New Roman"/>
                                    <w:b/>
                                    <w:sz w:val="28"/>
                                    <w:szCs w:val="20"/>
                                  </w:rPr>
                                  <w:t>Expert Team on Data Representation Development  (IPET-DD)</w:t>
                                  <w:br/>
                                  <w:t>Zagreb, Croatia 18-20 February 2019</w:t>
                                </w:r>
                              </w:p>
                              <w:p>
                                <w:pPr>
                                  <w:pStyle w:val="Normal"/>
                                  <w:shd w:val="solid" w:color="FFFFFF" w:fill="FFFFFF"/>
                                  <w:spacing w:before="0" w:after="240"/>
                                  <w:ind w:left="1134" w:hanging="1134"/>
                                  <w:rPr/>
                                </w:pPr>
                                <w:r>
                                  <w:rPr>
                                    <w:rFonts w:cs="Times New Roman" w:ascii="Times New Roman" w:hAnsi="Times New Roman"/>
                                    <w:b/>
                                    <w:sz w:val="28"/>
                                    <w:szCs w:val="20"/>
                                  </w:rPr>
                                  <w:t>Submitted by:</w:t>
                                </w:r>
                                <w:r>
                                  <w:rPr>
                                    <w:rFonts w:cs="Times New Roman" w:ascii="Times New Roman" w:hAnsi="Times New Roman"/>
                                    <w:sz w:val="28"/>
                                    <w:szCs w:val="20"/>
                                  </w:rPr>
                                  <w:t xml:space="preserve"> </w:t>
                                </w:r>
                                <w:bookmarkStart w:id="14" w:name="__UnoMark__242_3268094102"/>
                                <w:bookmarkEnd w:id="14"/>
                                <w:r>
                                  <w:rPr>
                                    <w:rFonts w:cs="Times New Roman" w:ascii="Times New Roman" w:hAnsi="Times New Roman"/>
                                    <w:sz w:val="28"/>
                                    <w:szCs w:val="20"/>
                                  </w:rPr>
                                  <w:t>Mark Hedley, Met Office, UK.</w:t>
                                </w:r>
                              </w:p>
                            </w:tc>
                            <w:tc>
                              <w:tcPr>
                                <w:tcW w:w="3851" w:type="dxa"/>
                                <w:tcBorders/>
                                <w:shd w:fill="auto" w:val="clear"/>
                              </w:tcPr>
                              <w:p>
                                <w:pPr>
                                  <w:pStyle w:val="Normal"/>
                                  <w:shd w:val="solid" w:color="FFFFFF" w:fill="FFFFFF"/>
                                  <w:spacing w:lineRule="atLeast" w:line="240" w:before="0" w:after="200"/>
                                  <w:rPr/>
                                </w:pPr>
                                <w:bookmarkStart w:id="15" w:name="__UnoMark__243_3268094102"/>
                                <w:bookmarkEnd w:id="15"/>
                                <w:r>
                                  <w:rPr>
                                    <w:rFonts w:cs="Times New Roman" w:ascii="Times New Roman" w:hAnsi="Times New Roman"/>
                                    <w:b/>
                                    <w:bCs/>
                                    <w:sz w:val="28"/>
                                    <w:szCs w:val="20"/>
                                    <w:lang w:eastAsia="zh-CN"/>
                                  </w:rPr>
                                  <w:t>IPET-DD-1</w:t>
                                  <w:br/>
                                  <w:t>Agenda Item [xx]</w:t>
                                </w:r>
                                <w:bookmarkStart w:id="16" w:name="__UnoMark__244_3268094102"/>
                                <w:bookmarkEnd w:id="16"/>
                              </w:p>
                            </w:tc>
                          </w:tr>
                          <w:tr>
                            <w:trPr>
                              <w:trHeight w:val="81" w:hRule="atLeast"/>
                              <w:cantSplit w:val="true"/>
                            </w:trPr>
                            <w:tc>
                              <w:tcPr>
                                <w:tcW w:w="6227" w:type="dxa"/>
                                <w:gridSpan w:val="2"/>
                                <w:vMerge w:val="continue"/>
                                <w:tcBorders/>
                                <w:shd w:fill="auto" w:val="clear"/>
                              </w:tcPr>
                              <w:p>
                                <w:pPr>
                                  <w:pStyle w:val="Normal"/>
                                  <w:shd w:val="solid" w:color="FFFFFF" w:fill="FFFFFF"/>
                                  <w:spacing w:before="0" w:after="240"/>
                                  <w:ind w:left="1134" w:hanging="1134"/>
                                  <w:rPr>
                                    <w:rFonts w:ascii="Verdana" w:hAnsi="Verdana" w:cs="Verdana"/>
                                    <w:sz w:val="20"/>
                                    <w:szCs w:val="20"/>
                                  </w:rPr>
                                </w:pPr>
                                <w:r>
                                  <w:rPr>
                                    <w:rFonts w:cs="Verdana" w:ascii="Verdana" w:hAnsi="Verdana"/>
                                    <w:sz w:val="20"/>
                                    <w:szCs w:val="20"/>
                                  </w:rPr>
                                </w:r>
                                <w:bookmarkStart w:id="17" w:name="__UnoMark__245_3268094102"/>
                                <w:bookmarkStart w:id="18" w:name="__UnoMark__246_3268094102"/>
                                <w:bookmarkStart w:id="19" w:name="__UnoMark__245_3268094102"/>
                                <w:bookmarkStart w:id="20" w:name="__UnoMark__246_3268094102"/>
                                <w:bookmarkEnd w:id="19"/>
                                <w:bookmarkEnd w:id="20"/>
                              </w:p>
                            </w:tc>
                            <w:tc>
                              <w:tcPr>
                                <w:tcW w:w="3851" w:type="dxa"/>
                                <w:tcBorders/>
                                <w:shd w:fill="auto" w:val="clear"/>
                              </w:tcPr>
                              <w:p>
                                <w:pPr>
                                  <w:pStyle w:val="Normal"/>
                                  <w:shd w:val="solid" w:color="FFFFFF" w:fill="FFFFFF"/>
                                  <w:spacing w:lineRule="atLeast" w:line="240" w:before="0" w:after="200"/>
                                  <w:rPr/>
                                </w:pPr>
                                <w:bookmarkStart w:id="21" w:name="__UnoMark__247_3268094102"/>
                                <w:bookmarkEnd w:id="21"/>
                                <w:r>
                                  <w:rPr>
                                    <w:rFonts w:cs="Times New Roman" w:ascii="Times New Roman" w:hAnsi="Times New Roman"/>
                                    <w:b/>
                                    <w:bCs/>
                                    <w:sz w:val="28"/>
                                    <w:szCs w:val="20"/>
                                    <w:lang w:eastAsia="zh-CN"/>
                                  </w:rPr>
                                  <w:t>11</w:t>
                                </w:r>
                                <w:r>
                                  <w:rPr>
                                    <w:rFonts w:cs="Times New Roman" w:ascii="Times New Roman" w:hAnsi="Times New Roman"/>
                                    <w:b/>
                                    <w:bCs/>
                                    <w:sz w:val="28"/>
                                    <w:szCs w:val="20"/>
                                    <w:vertAlign w:val="superscript"/>
                                    <w:lang w:eastAsia="zh-CN"/>
                                  </w:rPr>
                                  <w:t>th</w:t>
                                </w:r>
                                <w:r>
                                  <w:rPr>
                                    <w:rFonts w:cs="Times New Roman" w:ascii="Times New Roman" w:hAnsi="Times New Roman"/>
                                    <w:b/>
                                    <w:bCs/>
                                    <w:sz w:val="28"/>
                                    <w:szCs w:val="20"/>
                                    <w:lang w:eastAsia="zh-CN"/>
                                  </w:rPr>
                                  <w:t xml:space="preserve"> February 2019</w:t>
                                </w:r>
                              </w:p>
                            </w:tc>
                          </w:tr>
                        </w:tbl>
                      </w:txbxContent>
                    </wps:txbx>
                    <wps:bodyPr lIns="90000" rIns="90000" tIns="45000" bIns="45000">
                      <a:noAutofit/>
                    </wps:bodyPr>
                  </wps:wsp>
                </a:graphicData>
              </a:graphic>
            </wp:anchor>
          </w:drawing>
        </mc:Choice>
        <mc:Fallback>
          <w:pict>
            <v:rect id="shape_0" ID="Frame1" stroked="f" style="position:absolute;margin-left:-5.4pt;margin-top:-14.15pt;width:504pt;height:184.9pt;mso-position-horizontal-relative:margin;mso-position-vertical-relative:margin">
              <w10:wrap type="none"/>
              <v:fill o:detectmouseclick="t" on="false"/>
              <v:stroke color="#3465a4" joinstyle="round" endcap="flat"/>
              <v:textbox>
                <w:txbxContent>
                  <w:tbl>
                    <w:tblPr>
                      <w:tblW w:w="10079" w:type="dxa"/>
                      <w:jc w:val="left"/>
                      <w:tblInd w:w="108" w:type="dxa"/>
                      <w:tblBorders/>
                      <w:tblCellMar>
                        <w:top w:w="0" w:type="dxa"/>
                        <w:left w:w="108" w:type="dxa"/>
                        <w:bottom w:w="0" w:type="dxa"/>
                        <w:right w:w="108" w:type="dxa"/>
                      </w:tblCellMar>
                      <w:tblLook w:noVBand="0" w:val="0000" w:noHBand="0" w:lastColumn="0" w:firstColumn="0" w:lastRow="0" w:firstRow="0"/>
                    </w:tblPr>
                    <w:tblGrid>
                      <w:gridCol w:w="4547"/>
                      <w:gridCol w:w="1680"/>
                      <w:gridCol w:w="3851"/>
                    </w:tblGrid>
                    <w:tr>
                      <w:trPr>
                        <w:trHeight w:val="1438" w:hRule="atLeast"/>
                        <w:cantSplit w:val="true"/>
                      </w:trPr>
                      <w:tc>
                        <w:tcPr>
                          <w:tcW w:w="4547" w:type="dxa"/>
                          <w:tcBorders/>
                          <w:shd w:fill="auto" w:val="clear"/>
                          <w:vAlign w:val="center"/>
                        </w:tcPr>
                        <w:p>
                          <w:pPr>
                            <w:pStyle w:val="Normal"/>
                            <w:numPr>
                              <w:ilvl w:val="0"/>
                              <w:numId w:val="0"/>
                            </w:numPr>
                            <w:shd w:val="clear" w:color="auto" w:fill="FFFFFF"/>
                            <w:spacing w:before="0" w:after="180"/>
                            <w:jc w:val="center"/>
                            <w:outlineLvl w:val="1"/>
                            <w:rPr/>
                          </w:pPr>
                          <w:r>
                            <w:rPr>
                              <w:rFonts w:cs="Times New Roman" w:ascii="Times New Roman" w:hAnsi="Times New Roman"/>
                              <w:b/>
                              <w:bCs/>
                              <w:sz w:val="28"/>
                              <w:szCs w:val="28"/>
                            </w:rPr>
                            <w:t>COMMISSION FOR BASIC SYSTEMS</w:t>
                          </w:r>
                          <w:bookmarkStart w:id="22" w:name="ditulogo1"/>
                          <w:bookmarkStart w:id="23" w:name="__UnoMark__233_3268094102"/>
                          <w:bookmarkEnd w:id="22"/>
                          <w:bookmarkEnd w:id="23"/>
                        </w:p>
                      </w:tc>
                      <w:tc>
                        <w:tcPr>
                          <w:tcW w:w="5531" w:type="dxa"/>
                          <w:gridSpan w:val="2"/>
                          <w:tcBorders/>
                          <w:shd w:fill="auto" w:val="clear"/>
                          <w:tcMar>
                            <w:left w:w="6" w:type="dxa"/>
                            <w:right w:w="6" w:type="dxa"/>
                          </w:tcMar>
                        </w:tcPr>
                        <w:p>
                          <w:pPr>
                            <w:pStyle w:val="Normal"/>
                            <w:shd w:val="solid" w:color="FFFFFF" w:fill="FFFFFF"/>
                            <w:spacing w:lineRule="atLeast" w:line="240" w:before="240" w:after="0"/>
                            <w:rPr/>
                          </w:pPr>
                          <w:bookmarkStart w:id="24" w:name="__UnoMark__235_3268094102"/>
                          <w:bookmarkEnd w:id="24"/>
                          <w:r>
                            <w:rPr/>
                            <w:object>
                              <v:shape id="ole_rId3" style="width:274.5pt;height:56.25pt" o:ole="">
                                <v:imagedata r:id="rId4" o:title=""/>
                              </v:shape>
                              <o:OLEObject Type="Embed" ProgID="" ShapeID="ole_rId3" DrawAspect="Content" ObjectID="_872327532" r:id="rId3"/>
                            </w:object>
                          </w:r>
                          <w:bookmarkStart w:id="25" w:name="__UnoMark__236_3268094102"/>
                          <w:bookmarkEnd w:id="25"/>
                        </w:p>
                      </w:tc>
                    </w:tr>
                    <w:tr>
                      <w:trPr>
                        <w:cantSplit w:val="true"/>
                      </w:trPr>
                      <w:tc>
                        <w:tcPr>
                          <w:tcW w:w="6227" w:type="dxa"/>
                          <w:gridSpan w:val="2"/>
                          <w:tcBorders>
                            <w:top w:val="single" w:sz="12" w:space="0" w:color="00000A"/>
                          </w:tcBorders>
                          <w:shd w:fill="auto" w:val="clear"/>
                        </w:tcPr>
                        <w:p>
                          <w:pPr>
                            <w:pStyle w:val="Normal"/>
                            <w:shd w:val="solid" w:color="FFFFFF" w:fill="FFFFFF"/>
                            <w:spacing w:before="0" w:after="48"/>
                            <w:rPr>
                              <w:rFonts w:ascii="Verdana" w:hAnsi="Verdana" w:cs="Verdana"/>
                            </w:rPr>
                          </w:pPr>
                          <w:r>
                            <w:rPr>
                              <w:rFonts w:cs="Verdana" w:ascii="Verdana" w:hAnsi="Verdana"/>
                            </w:rPr>
                          </w:r>
                          <w:bookmarkStart w:id="26" w:name="__UnoMark__237_3268094102"/>
                          <w:bookmarkStart w:id="27" w:name="__UnoMark__238_3268094102"/>
                          <w:bookmarkStart w:id="28" w:name="__UnoMark__237_3268094102"/>
                          <w:bookmarkStart w:id="29" w:name="__UnoMark__238_3268094102"/>
                          <w:bookmarkEnd w:id="28"/>
                          <w:bookmarkEnd w:id="29"/>
                        </w:p>
                      </w:tc>
                      <w:tc>
                        <w:tcPr>
                          <w:tcW w:w="3851" w:type="dxa"/>
                          <w:tcBorders>
                            <w:top w:val="single" w:sz="12" w:space="0" w:color="00000A"/>
                          </w:tcBorders>
                          <w:shd w:fill="auto" w:val="clear"/>
                        </w:tcPr>
                        <w:p>
                          <w:pPr>
                            <w:pStyle w:val="Normal"/>
                            <w:shd w:val="solid" w:color="FFFFFF" w:fill="FFFFFF"/>
                            <w:spacing w:lineRule="atLeast" w:line="240" w:before="0" w:after="48"/>
                            <w:rPr/>
                          </w:pPr>
                          <w:r>
                            <w:rPr/>
                          </w:r>
                          <w:bookmarkStart w:id="30" w:name="__UnoMark__239_3268094102"/>
                          <w:bookmarkStart w:id="31" w:name="__UnoMark__240_3268094102"/>
                          <w:bookmarkStart w:id="32" w:name="__UnoMark__239_3268094102"/>
                          <w:bookmarkStart w:id="33" w:name="__UnoMark__240_3268094102"/>
                          <w:bookmarkEnd w:id="32"/>
                          <w:bookmarkEnd w:id="33"/>
                        </w:p>
                      </w:tc>
                    </w:tr>
                    <w:tr>
                      <w:trPr>
                        <w:trHeight w:val="312" w:hRule="atLeast"/>
                        <w:cantSplit w:val="true"/>
                      </w:trPr>
                      <w:tc>
                        <w:tcPr>
                          <w:tcW w:w="6227" w:type="dxa"/>
                          <w:gridSpan w:val="2"/>
                          <w:vMerge w:val="restart"/>
                          <w:tcBorders/>
                          <w:shd w:fill="auto" w:val="clear"/>
                        </w:tcPr>
                        <w:p>
                          <w:pPr>
                            <w:pStyle w:val="Normal"/>
                            <w:shd w:val="solid" w:color="FFFFFF" w:fill="FFFFFF"/>
                            <w:spacing w:before="0" w:after="240"/>
                            <w:ind w:firstLine="36"/>
                            <w:rPr/>
                          </w:pPr>
                          <w:bookmarkStart w:id="34" w:name="__UnoMark__241_3268094102"/>
                          <w:bookmarkEnd w:id="34"/>
                          <w:r>
                            <w:rPr>
                              <w:rFonts w:cs="Times New Roman" w:ascii="Times New Roman" w:hAnsi="Times New Roman"/>
                              <w:b/>
                              <w:sz w:val="28"/>
                              <w:szCs w:val="20"/>
                            </w:rPr>
                            <w:t>Inter</w:t>
                          </w:r>
                          <w:r>
                            <w:rPr>
                              <w:rFonts w:cs="Times New Roman" w:ascii="Times New Roman" w:hAnsi="Times New Roman"/>
                              <w:b/>
                              <w:sz w:val="28"/>
                              <w:szCs w:val="20"/>
                              <w:lang w:val="fr-CH"/>
                            </w:rPr>
                            <w:t xml:space="preserve">-Program </w:t>
                          </w:r>
                          <w:r>
                            <w:rPr>
                              <w:rFonts w:cs="Times New Roman" w:ascii="Times New Roman" w:hAnsi="Times New Roman"/>
                              <w:b/>
                              <w:sz w:val="28"/>
                              <w:szCs w:val="20"/>
                            </w:rPr>
                            <w:t>Expert Team on Data Representation Development  (IPET-DD)</w:t>
                            <w:br/>
                            <w:t>Zagreb, Croatia 18-20 February 2019</w:t>
                          </w:r>
                        </w:p>
                        <w:p>
                          <w:pPr>
                            <w:pStyle w:val="Normal"/>
                            <w:shd w:val="solid" w:color="FFFFFF" w:fill="FFFFFF"/>
                            <w:spacing w:before="0" w:after="240"/>
                            <w:ind w:left="1134" w:hanging="1134"/>
                            <w:rPr/>
                          </w:pPr>
                          <w:r>
                            <w:rPr>
                              <w:rFonts w:cs="Times New Roman" w:ascii="Times New Roman" w:hAnsi="Times New Roman"/>
                              <w:b/>
                              <w:sz w:val="28"/>
                              <w:szCs w:val="20"/>
                            </w:rPr>
                            <w:t>Submitted by:</w:t>
                          </w:r>
                          <w:r>
                            <w:rPr>
                              <w:rFonts w:cs="Times New Roman" w:ascii="Times New Roman" w:hAnsi="Times New Roman"/>
                              <w:sz w:val="28"/>
                              <w:szCs w:val="20"/>
                            </w:rPr>
                            <w:t xml:space="preserve"> </w:t>
                          </w:r>
                          <w:bookmarkStart w:id="35" w:name="__UnoMark__242_3268094102"/>
                          <w:bookmarkEnd w:id="35"/>
                          <w:r>
                            <w:rPr>
                              <w:rFonts w:cs="Times New Roman" w:ascii="Times New Roman" w:hAnsi="Times New Roman"/>
                              <w:sz w:val="28"/>
                              <w:szCs w:val="20"/>
                            </w:rPr>
                            <w:t>Mark Hedley, Met Office, UK.</w:t>
                          </w:r>
                        </w:p>
                      </w:tc>
                      <w:tc>
                        <w:tcPr>
                          <w:tcW w:w="3851" w:type="dxa"/>
                          <w:tcBorders/>
                          <w:shd w:fill="auto" w:val="clear"/>
                        </w:tcPr>
                        <w:p>
                          <w:pPr>
                            <w:pStyle w:val="Normal"/>
                            <w:shd w:val="solid" w:color="FFFFFF" w:fill="FFFFFF"/>
                            <w:spacing w:lineRule="atLeast" w:line="240" w:before="0" w:after="200"/>
                            <w:rPr/>
                          </w:pPr>
                          <w:bookmarkStart w:id="36" w:name="__UnoMark__243_3268094102"/>
                          <w:bookmarkEnd w:id="36"/>
                          <w:r>
                            <w:rPr>
                              <w:rFonts w:cs="Times New Roman" w:ascii="Times New Roman" w:hAnsi="Times New Roman"/>
                              <w:b/>
                              <w:bCs/>
                              <w:sz w:val="28"/>
                              <w:szCs w:val="20"/>
                              <w:lang w:eastAsia="zh-CN"/>
                            </w:rPr>
                            <w:t>IPET-DD-1</w:t>
                            <w:br/>
                            <w:t>Agenda Item [xx]</w:t>
                          </w:r>
                          <w:bookmarkStart w:id="37" w:name="__UnoMark__244_3268094102"/>
                          <w:bookmarkEnd w:id="37"/>
                        </w:p>
                      </w:tc>
                    </w:tr>
                    <w:tr>
                      <w:trPr>
                        <w:trHeight w:val="81" w:hRule="atLeast"/>
                        <w:cantSplit w:val="true"/>
                      </w:trPr>
                      <w:tc>
                        <w:tcPr>
                          <w:tcW w:w="6227" w:type="dxa"/>
                          <w:gridSpan w:val="2"/>
                          <w:vMerge w:val="continue"/>
                          <w:tcBorders/>
                          <w:shd w:fill="auto" w:val="clear"/>
                        </w:tcPr>
                        <w:p>
                          <w:pPr>
                            <w:pStyle w:val="Normal"/>
                            <w:shd w:val="solid" w:color="FFFFFF" w:fill="FFFFFF"/>
                            <w:spacing w:before="0" w:after="240"/>
                            <w:ind w:left="1134" w:hanging="1134"/>
                            <w:rPr>
                              <w:rFonts w:ascii="Verdana" w:hAnsi="Verdana" w:cs="Verdana"/>
                              <w:sz w:val="20"/>
                              <w:szCs w:val="20"/>
                            </w:rPr>
                          </w:pPr>
                          <w:r>
                            <w:rPr>
                              <w:rFonts w:cs="Verdana" w:ascii="Verdana" w:hAnsi="Verdana"/>
                              <w:sz w:val="20"/>
                              <w:szCs w:val="20"/>
                            </w:rPr>
                          </w:r>
                          <w:bookmarkStart w:id="38" w:name="__UnoMark__245_3268094102"/>
                          <w:bookmarkStart w:id="39" w:name="__UnoMark__246_3268094102"/>
                          <w:bookmarkStart w:id="40" w:name="__UnoMark__245_3268094102"/>
                          <w:bookmarkStart w:id="41" w:name="__UnoMark__246_3268094102"/>
                          <w:bookmarkEnd w:id="40"/>
                          <w:bookmarkEnd w:id="41"/>
                        </w:p>
                      </w:tc>
                      <w:tc>
                        <w:tcPr>
                          <w:tcW w:w="3851" w:type="dxa"/>
                          <w:tcBorders/>
                          <w:shd w:fill="auto" w:val="clear"/>
                        </w:tcPr>
                        <w:p>
                          <w:pPr>
                            <w:pStyle w:val="Normal"/>
                            <w:shd w:val="solid" w:color="FFFFFF" w:fill="FFFFFF"/>
                            <w:spacing w:lineRule="atLeast" w:line="240" w:before="0" w:after="200"/>
                            <w:rPr/>
                          </w:pPr>
                          <w:bookmarkStart w:id="42" w:name="__UnoMark__247_3268094102"/>
                          <w:bookmarkEnd w:id="42"/>
                          <w:r>
                            <w:rPr>
                              <w:rFonts w:cs="Times New Roman" w:ascii="Times New Roman" w:hAnsi="Times New Roman"/>
                              <w:b/>
                              <w:bCs/>
                              <w:sz w:val="28"/>
                              <w:szCs w:val="20"/>
                              <w:lang w:eastAsia="zh-CN"/>
                            </w:rPr>
                            <w:t>11</w:t>
                          </w:r>
                          <w:r>
                            <w:rPr>
                              <w:rFonts w:cs="Times New Roman" w:ascii="Times New Roman" w:hAnsi="Times New Roman"/>
                              <w:b/>
                              <w:bCs/>
                              <w:sz w:val="28"/>
                              <w:szCs w:val="20"/>
                              <w:vertAlign w:val="superscript"/>
                              <w:lang w:eastAsia="zh-CN"/>
                            </w:rPr>
                            <w:t>th</w:t>
                          </w:r>
                          <w:r>
                            <w:rPr>
                              <w:rFonts w:cs="Times New Roman" w:ascii="Times New Roman" w:hAnsi="Times New Roman"/>
                              <w:b/>
                              <w:bCs/>
                              <w:sz w:val="28"/>
                              <w:szCs w:val="20"/>
                              <w:lang w:eastAsia="zh-CN"/>
                            </w:rPr>
                            <w:t xml:space="preserve"> February 2019</w:t>
                          </w:r>
                        </w:p>
                      </w:tc>
                    </w:tr>
                  </w:tbl>
                </w:txbxContent>
              </v:textbox>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Arial" w:asciiTheme="minorHAnsi" w:cstheme="minorBidi" w:eastAsiaTheme="minorHAnsi" w:hAnsiTheme="minorHAnsi"/>
      <w:color w:val="00000A"/>
      <w:kern w:val="0"/>
      <w:sz w:val="22"/>
      <w:szCs w:val="22"/>
      <w:lang w:val="en-US" w:eastAsia="en-US" w:bidi="ar-SA"/>
    </w:rPr>
  </w:style>
  <w:style w:type="paragraph" w:styleId="Heading1">
    <w:name w:val="Heading 1"/>
    <w:basedOn w:val="Normal"/>
    <w:next w:val="Normal"/>
    <w:link w:val="Heading1Char"/>
    <w:uiPriority w:val="9"/>
    <w:qFormat/>
    <w:rsid w:val="00f8649f"/>
    <w:pPr>
      <w:keepNext w:val="true"/>
      <w:keepLines/>
      <w:spacing w:before="480" w:after="0"/>
      <w:outlineLvl w:val="0"/>
    </w:pPr>
    <w:rPr>
      <w:rFonts w:ascii="Cambria" w:hAnsi="Cambria" w:eastAsia="宋体" w:cs="Times New Roman"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val="true"/>
      <w:keepLines/>
      <w:spacing w:before="200" w:after="0"/>
      <w:outlineLvl w:val="1"/>
    </w:pPr>
    <w:rPr>
      <w:rFonts w:ascii="Cambria" w:hAnsi="Cambria" w:eastAsia="宋体" w:cs="Times New Roman"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val="true"/>
      <w:keepLines/>
      <w:spacing w:before="200" w:after="0"/>
      <w:outlineLvl w:val="2"/>
    </w:pPr>
    <w:rPr>
      <w:rFonts w:ascii="Cambria" w:hAnsi="Cambria" w:eastAsia="宋体" w:cs="Times New Roman"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ba350d"/>
    <w:rPr/>
  </w:style>
  <w:style w:type="character" w:styleId="FooterChar" w:customStyle="1">
    <w:name w:val="Footer Char"/>
    <w:basedOn w:val="DefaultParagraphFont"/>
    <w:link w:val="Footer"/>
    <w:uiPriority w:val="99"/>
    <w:qFormat/>
    <w:rsid w:val="00ba350d"/>
    <w:rPr/>
  </w:style>
  <w:style w:type="character" w:styleId="SourceChar" w:customStyle="1">
    <w:name w:val="Source Char"/>
    <w:link w:val="Source"/>
    <w:uiPriority w:val="99"/>
    <w:qFormat/>
    <w:locked/>
    <w:rsid w:val="00ba350d"/>
    <w:rPr>
      <w:rFonts w:ascii="Times New Roman" w:hAnsi="Times New Roman" w:eastAsia="Calibri" w:cs="Times New Roman"/>
      <w:b/>
      <w:bCs/>
      <w:sz w:val="28"/>
      <w:szCs w:val="28"/>
      <w:lang w:val="en-GB"/>
    </w:rPr>
  </w:style>
  <w:style w:type="character" w:styleId="FootnoteCharacters">
    <w:name w:val="Footnote Characters"/>
    <w:semiHidden/>
    <w:qFormat/>
    <w:rsid w:val="00ba350d"/>
    <w:rPr>
      <w:vertAlign w:val="superscript"/>
    </w:rPr>
  </w:style>
  <w:style w:type="character" w:styleId="FootnoteAnchor">
    <w:name w:val="Footnote Anchor"/>
    <w:rPr>
      <w:vertAlign w:val="superscript"/>
    </w:rPr>
  </w:style>
  <w:style w:type="character" w:styleId="Heading1Char" w:customStyle="1">
    <w:name w:val="Heading 1 Char"/>
    <w:basedOn w:val="DefaultParagraphFont"/>
    <w:link w:val="Heading1"/>
    <w:uiPriority w:val="9"/>
    <w:qFormat/>
    <w:rsid w:val="00f8649f"/>
    <w:rPr>
      <w:rFonts w:ascii="Cambria" w:hAnsi="Cambria" w:eastAsia="宋体" w:cs="Times New Roman"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8649f"/>
    <w:rPr>
      <w:rFonts w:ascii="Cambria" w:hAnsi="Cambria" w:eastAsia="宋体" w:cs="Times New Roman"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8649f"/>
    <w:rPr>
      <w:rFonts w:ascii="Cambria" w:hAnsi="Cambria" w:eastAsia="宋体" w:cs="Times New Roman" w:asciiTheme="majorHAnsi" w:cstheme="majorBidi" w:eastAsiaTheme="majorEastAsia" w:hAnsiTheme="majorHAnsi"/>
      <w:b/>
      <w:bCs/>
      <w:color w:val="4F81BD" w:themeColor="accent1"/>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NumberingSymbols">
    <w:name w:val="Numbering Symbols"/>
    <w:qFormat/>
    <w:rPr/>
  </w:style>
  <w:style w:type="character" w:styleId="InternetLink">
    <w:name w:val="Internet Link"/>
    <w:rPr>
      <w:color w:val="000080"/>
      <w:u w:val="single"/>
      <w:lang w:val="zxx" w:eastAsia="zxx" w:bidi="zxx"/>
    </w:rPr>
  </w:style>
  <w:style w:type="character" w:styleId="ListLabel7">
    <w:name w:val="ListLabel 7"/>
    <w:qFormat/>
    <w:rPr>
      <w:rFonts w:ascii="Times New Roman" w:hAnsi="Times New Roman" w:cs="Times New Roman"/>
      <w:sz w:val="24"/>
      <w:szCs w:val="24"/>
    </w:rPr>
  </w:style>
  <w:style w:type="paragraph" w:styleId="Heading">
    <w:name w:val="Heading"/>
    <w:basedOn w:val="Normal"/>
    <w:next w:val="TextBody"/>
    <w:qFormat/>
    <w:pPr>
      <w:keepNext w:val="true"/>
      <w:spacing w:before="240" w:after="120"/>
    </w:pPr>
    <w:rPr>
      <w:rFonts w:ascii="Liberation Sans" w:hAnsi="Liberation Sans" w:eastAsia="Source Han Sans CN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008c157e"/>
    <w:pPr>
      <w:spacing w:before="0" w:after="200"/>
      <w:ind w:left="720" w:hanging="0"/>
      <w:contextualSpacing/>
    </w:pPr>
    <w:rPr/>
  </w:style>
  <w:style w:type="paragraph" w:styleId="Header">
    <w:name w:val="Header"/>
    <w:basedOn w:val="Normal"/>
    <w:link w:val="HeaderChar"/>
    <w:uiPriority w:val="99"/>
    <w:unhideWhenUsed/>
    <w:rsid w:val="00ba350d"/>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ba350d"/>
    <w:pPr>
      <w:tabs>
        <w:tab w:val="center" w:pos="4680" w:leader="none"/>
        <w:tab w:val="right" w:pos="9360" w:leader="none"/>
      </w:tabs>
      <w:spacing w:lineRule="auto" w:line="240" w:before="0" w:after="0"/>
    </w:pPr>
    <w:rPr/>
  </w:style>
  <w:style w:type="paragraph" w:styleId="RepNo" w:customStyle="1">
    <w:name w:val="Rep_No"/>
    <w:basedOn w:val="Normal"/>
    <w:uiPriority w:val="99"/>
    <w:qFormat/>
    <w:rsid w:val="00ba350d"/>
    <w:pPr>
      <w:keepNext w:val="true"/>
      <w:keepLines/>
      <w:tabs>
        <w:tab w:val="left" w:pos="1134" w:leader="none"/>
        <w:tab w:val="left" w:pos="1871" w:leader="none"/>
        <w:tab w:val="left" w:pos="2268" w:leader="none"/>
      </w:tabs>
      <w:overflowPunct w:val="false"/>
      <w:spacing w:lineRule="auto" w:line="240" w:before="480" w:after="0"/>
      <w:jc w:val="center"/>
      <w:textAlignment w:val="baseline"/>
    </w:pPr>
    <w:rPr>
      <w:rFonts w:ascii="Times New Roman" w:hAnsi="Times New Roman" w:eastAsia="Calibri" w:cs="Times New Roman"/>
      <w:caps/>
      <w:sz w:val="28"/>
      <w:szCs w:val="28"/>
      <w:lang w:val="en-GB"/>
    </w:rPr>
  </w:style>
  <w:style w:type="paragraph" w:styleId="Reptitle" w:customStyle="1">
    <w:name w:val="Rep_title"/>
    <w:basedOn w:val="Normal"/>
    <w:next w:val="Normal"/>
    <w:uiPriority w:val="99"/>
    <w:qFormat/>
    <w:rsid w:val="00ba350d"/>
    <w:pPr>
      <w:keepNext w:val="true"/>
      <w:keepLines/>
      <w:tabs>
        <w:tab w:val="left" w:pos="1134" w:leader="none"/>
        <w:tab w:val="left" w:pos="1871" w:leader="none"/>
        <w:tab w:val="left" w:pos="2268" w:leader="none"/>
      </w:tabs>
      <w:overflowPunct w:val="false"/>
      <w:spacing w:lineRule="auto" w:line="240" w:before="240" w:after="0"/>
      <w:jc w:val="center"/>
      <w:textAlignment w:val="baseline"/>
    </w:pPr>
    <w:rPr>
      <w:rFonts w:ascii="Times New Roman Bold" w:hAnsi="Times New Roman Bold" w:eastAsia="Calibri" w:cs="Times New Roman Bold"/>
      <w:b/>
      <w:bCs/>
      <w:sz w:val="28"/>
      <w:szCs w:val="28"/>
      <w:lang w:val="en-GB"/>
    </w:rPr>
  </w:style>
  <w:style w:type="paragraph" w:styleId="Source" w:customStyle="1">
    <w:name w:val="Source"/>
    <w:basedOn w:val="Normal"/>
    <w:next w:val="Normal"/>
    <w:link w:val="SourceChar"/>
    <w:uiPriority w:val="99"/>
    <w:qFormat/>
    <w:rsid w:val="00ba350d"/>
    <w:pPr>
      <w:tabs>
        <w:tab w:val="left" w:pos="1134" w:leader="none"/>
        <w:tab w:val="left" w:pos="1871" w:leader="none"/>
        <w:tab w:val="left" w:pos="2268" w:leader="none"/>
      </w:tabs>
      <w:overflowPunct w:val="false"/>
      <w:spacing w:lineRule="auto" w:line="240" w:before="840" w:after="0"/>
      <w:jc w:val="center"/>
      <w:textAlignment w:val="baseline"/>
    </w:pPr>
    <w:rPr>
      <w:rFonts w:ascii="Times New Roman" w:hAnsi="Times New Roman" w:eastAsia="Calibri" w:cs="Times New Roman"/>
      <w:b/>
      <w:bCs/>
      <w:sz w:val="28"/>
      <w:szCs w:val="28"/>
      <w:lang w:val="en-GB"/>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wmo.int/pages/prog/www/ISS/Meetings/IPET-CM_Offenbach2018/IPET-CM_DocPlan.html" TargetMode="External"/><Relationship Id="rId3" Type="http://schemas.openxmlformats.org/officeDocument/2006/relationships/hyperlink" Target="http://www.wmo.int/pages/prog/www/ISS/Meetings/IPET-CM_Geneva2017/Documents/IPET-CM-I_Doc10-1_IPET-CM.docx"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emf"/><Relationship Id="rId3" Type="http://schemas.openxmlformats.org/officeDocument/2006/relationships/oleObject" Target="embeddings/oleObject2.bin"/><Relationship Id="rId4"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6267C-E138-4F4D-B8E9-5520C0473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Template>
  <TotalTime>725</TotalTime>
  <Application>LibreOffice/6.0.3.2$Linux_X86_64 LibreOffice_project/00$Build-2</Application>
  <Pages>3</Pages>
  <Words>625</Words>
  <Characters>3495</Characters>
  <CharactersWithSpaces>4059</CharactersWithSpaces>
  <Paragraphs>47</Paragraphs>
  <Company>WMO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2019-02-11T10:58:50Z</dcterms:created>
  <dc:creator/>
  <dc:description/>
  <dc:language>en-GB</dc:language>
  <cp:lastModifiedBy/>
  <dcterms:modified xsi:type="dcterms:W3CDTF">2019-02-19T15:53:24Z</dcterms:modified>
  <cp:revision>11</cp:revision>
  <dc:subject>Agenda Item xx</dc:subject>
  <dc:title>TT-GISC2018</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WMO</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