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header2.xml.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word/header1.xml" ContentType="application/vnd.openxmlformats-officedocument.wordprocessingml.header+xml"/>
  <Override PartName="/word/embeddings/oleObject2.bin" ContentType="application/vnd.openxmlformats-officedocument.oleObject"/>
  <Override PartName="/word/embeddings/oleObject1.bin" ContentType="application/vnd.openxmlformats-officedocument.oleObject"/>
  <Override PartName="/word/header2.xml" ContentType="application/vnd.openxmlformats-officedocument.wordprocessingml.header+xml"/>
  <Override PartName="/word/media/image2.emf" ContentType="image/x-emf"/>
  <Override PartName="/word/media/image1.emf" ContentType="image/x-emf"/>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1"/>
        <w:spacing w:before="480" w:after="0"/>
        <w:rPr/>
      </w:pPr>
      <w:r>
        <w:rPr/>
        <w:t>Extending NetCDF Metadata</w:t>
      </w:r>
    </w:p>
    <w:p>
      <w:pPr>
        <w:pStyle w:val="Heading2"/>
        <w:rPr/>
      </w:pPr>
      <w:r>
        <w:rPr/>
        <w:t>NetCDF Metadata</w:t>
      </w:r>
      <w:bookmarkStart w:id="0" w:name="_GoBack"/>
      <w:bookmarkEnd w:id="0"/>
    </w:p>
    <w:p>
      <w:pPr>
        <w:pStyle w:val="Heading3"/>
        <w:rPr/>
      </w:pPr>
      <w:r>
        <w:rPr/>
        <w:t>NetCDF User Guide</w:t>
      </w:r>
    </w:p>
    <w:p>
      <w:pPr>
        <w:pStyle w:val="ListParagraph"/>
        <w:numPr>
          <w:ilvl w:val="0"/>
          <w:numId w:val="1"/>
        </w:numPr>
        <w:rPr/>
      </w:pPr>
      <w:r>
        <w:rPr>
          <w:rFonts w:cs="Times New Roman" w:ascii="Times New Roman" w:hAnsi="Times New Roman"/>
          <w:sz w:val="24"/>
          <w:szCs w:val="24"/>
        </w:rPr>
        <w:t>The NetCDF User Guide (NUG) defines a small set of metadata attribute names supporting very limited use cases for labeling, units of measure and data packing.</w:t>
      </w:r>
    </w:p>
    <w:p>
      <w:pPr>
        <w:pStyle w:val="ListParagraph"/>
        <w:numPr>
          <w:ilvl w:val="0"/>
          <w:numId w:val="1"/>
        </w:numPr>
        <w:rPr/>
      </w:pPr>
      <w:r>
        <w:rPr>
          <w:rFonts w:cs="Times New Roman" w:ascii="Times New Roman" w:hAnsi="Times New Roman"/>
          <w:sz w:val="24"/>
          <w:szCs w:val="24"/>
        </w:rPr>
        <w:t>The NetCDF User Guide (NUG) also defines a Conventions attribute, enabling multiple extending conventions to be used within a file.</w:t>
      </w:r>
    </w:p>
    <w:p>
      <w:pPr>
        <w:pStyle w:val="Heading3"/>
        <w:rPr/>
      </w:pPr>
      <w:r>
        <w:rPr>
          <w:rFonts w:cs="Times New Roman" w:ascii="Times New Roman" w:hAnsi="Times New Roman"/>
          <w:sz w:val="24"/>
          <w:szCs w:val="24"/>
        </w:rPr>
        <w:t>C</w:t>
      </w:r>
      <w:r>
        <w:rPr>
          <w:rFonts w:cs="Times New Roman" w:ascii="Times New Roman" w:hAnsi="Times New Roman"/>
          <w:sz w:val="24"/>
          <w:szCs w:val="24"/>
        </w:rPr>
        <w:t>F Conventions</w:t>
      </w:r>
    </w:p>
    <w:p>
      <w:pPr>
        <w:pStyle w:val="ListParagraph"/>
        <w:numPr>
          <w:ilvl w:val="0"/>
          <w:numId w:val="1"/>
        </w:numPr>
        <w:rPr/>
      </w:pPr>
      <w:r>
        <w:rPr>
          <w:rFonts w:cs="Times New Roman" w:ascii="Times New Roman" w:hAnsi="Times New Roman"/>
          <w:sz w:val="24"/>
          <w:szCs w:val="24"/>
        </w:rPr>
        <w:t>The Climate and Forecasting conventions for netCDF files (CF) is a community convention defining a richer set of attributes for describing data sets, including:</w:t>
      </w:r>
    </w:p>
    <w:p>
      <w:pPr>
        <w:pStyle w:val="ListParagraph"/>
        <w:numPr>
          <w:ilvl w:val="1"/>
          <w:numId w:val="1"/>
        </w:numPr>
        <w:rPr/>
      </w:pPr>
      <w:r>
        <w:rPr>
          <w:rFonts w:cs="Times New Roman" w:ascii="Times New Roman" w:hAnsi="Times New Roman"/>
          <w:sz w:val="24"/>
          <w:szCs w:val="24"/>
        </w:rPr>
        <w:t xml:space="preserve">a controlled vocabulary of standard names </w:t>
      </w:r>
    </w:p>
    <w:p>
      <w:pPr>
        <w:pStyle w:val="ListParagraph"/>
        <w:numPr>
          <w:ilvl w:val="2"/>
          <w:numId w:val="1"/>
        </w:numPr>
        <w:rPr/>
      </w:pPr>
      <w:r>
        <w:rPr>
          <w:rFonts w:cs="Times New Roman" w:ascii="Times New Roman" w:hAnsi="Times New Roman"/>
          <w:sz w:val="24"/>
          <w:szCs w:val="24"/>
        </w:rPr>
        <w:t xml:space="preserve"> </w:t>
      </w:r>
      <w:r>
        <w:rPr>
          <w:rFonts w:cs="Times New Roman" w:ascii="Times New Roman" w:hAnsi="Times New Roman"/>
          <w:sz w:val="24"/>
          <w:szCs w:val="24"/>
        </w:rPr>
        <w:t>this vocabulary is a flat list containing many domain specific entries</w:t>
      </w:r>
    </w:p>
    <w:p>
      <w:pPr>
        <w:pStyle w:val="ListParagraph"/>
        <w:numPr>
          <w:ilvl w:val="2"/>
          <w:numId w:val="1"/>
        </w:numPr>
        <w:rPr/>
      </w:pPr>
      <w:r>
        <w:rPr>
          <w:rFonts w:cs="Times New Roman" w:ascii="Times New Roman" w:hAnsi="Times New Roman"/>
          <w:sz w:val="24"/>
          <w:szCs w:val="24"/>
        </w:rPr>
        <w:t xml:space="preserve"> </w:t>
      </w:r>
      <w:r>
        <w:rPr>
          <w:rFonts w:cs="Times New Roman" w:ascii="Times New Roman" w:hAnsi="Times New Roman"/>
          <w:sz w:val="24"/>
          <w:szCs w:val="24"/>
        </w:rPr>
        <w:t>the management of this list occupies the majority of work time for the community.</w:t>
      </w:r>
    </w:p>
    <w:p>
      <w:pPr>
        <w:pStyle w:val="ListParagraph"/>
        <w:numPr>
          <w:ilvl w:val="1"/>
          <w:numId w:val="1"/>
        </w:numPr>
        <w:rPr/>
      </w:pPr>
      <w:r>
        <w:rPr>
          <w:rFonts w:cs="Times New Roman" w:ascii="Times New Roman" w:hAnsi="Times New Roman"/>
          <w:sz w:val="24"/>
          <w:szCs w:val="24"/>
        </w:rPr>
        <w:t>A limited set of spatial and temporal locational metadata definitions</w:t>
      </w:r>
    </w:p>
    <w:p>
      <w:pPr>
        <w:pStyle w:val="ListParagraph"/>
        <w:numPr>
          <w:ilvl w:val="1"/>
          <w:numId w:val="1"/>
        </w:numPr>
        <w:rPr/>
      </w:pPr>
      <w:r>
        <w:rPr>
          <w:rFonts w:cs="Times New Roman" w:ascii="Times New Roman" w:hAnsi="Times New Roman"/>
          <w:sz w:val="24"/>
          <w:szCs w:val="24"/>
        </w:rPr>
        <w:t>A limited set of statistical aggregation definitions.</w:t>
      </w:r>
    </w:p>
    <w:p>
      <w:pPr>
        <w:pStyle w:val="Heading2"/>
        <w:rPr/>
      </w:pPr>
      <w:r>
        <w:rPr/>
        <w:t>Namespace Management</w:t>
      </w:r>
    </w:p>
    <w:p>
      <w:pPr>
        <w:pStyle w:val="ListParagraph"/>
        <w:numPr>
          <w:ilvl w:val="0"/>
          <w:numId w:val="1"/>
        </w:numPr>
        <w:rPr/>
      </w:pPr>
      <w:r>
        <w:rPr>
          <w:rFonts w:cs="Times New Roman" w:ascii="Times New Roman" w:hAnsi="Times New Roman"/>
          <w:sz w:val="24"/>
          <w:szCs w:val="24"/>
        </w:rPr>
        <w:t xml:space="preserve">A key limiting factor in the approach taken in the NUG and in CF is the use of a flat namespace for attribute names.  </w:t>
      </w:r>
    </w:p>
    <w:p>
      <w:pPr>
        <w:pStyle w:val="ListParagraph"/>
        <w:numPr>
          <w:ilvl w:val="1"/>
          <w:numId w:val="1"/>
        </w:numPr>
        <w:rPr/>
      </w:pPr>
      <w:r>
        <w:rPr>
          <w:rFonts w:cs="Times New Roman" w:ascii="Times New Roman" w:hAnsi="Times New Roman"/>
          <w:sz w:val="24"/>
          <w:szCs w:val="24"/>
        </w:rPr>
        <w:t>It is only possible to interpret where an attribute name is defined by using a reverse lookup to match the attribute to the convention.</w:t>
      </w:r>
    </w:p>
    <w:p>
      <w:pPr>
        <w:pStyle w:val="ListParagraph"/>
        <w:numPr>
          <w:ilvl w:val="1"/>
          <w:numId w:val="1"/>
        </w:numPr>
        <w:rPr/>
      </w:pPr>
      <w:r>
        <w:rPr>
          <w:rFonts w:cs="Times New Roman" w:ascii="Times New Roman" w:hAnsi="Times New Roman"/>
          <w:sz w:val="24"/>
          <w:szCs w:val="24"/>
        </w:rPr>
        <w:t>Conflicts between attribute names have to be managed collectively across conventions using this name space.</w:t>
      </w:r>
    </w:p>
    <w:p>
      <w:pPr>
        <w:pStyle w:val="ListParagraph"/>
        <w:numPr>
          <w:ilvl w:val="0"/>
          <w:numId w:val="1"/>
        </w:numPr>
        <w:rPr/>
      </w:pPr>
      <w:r>
        <w:rPr>
          <w:rFonts w:cs="Times New Roman" w:ascii="Times New Roman" w:hAnsi="Times New Roman"/>
          <w:sz w:val="24"/>
          <w:szCs w:val="24"/>
        </w:rPr>
        <w:t>The lack of namespace management is a key limiting factor in the wider use of conventions.</w:t>
      </w:r>
    </w:p>
    <w:p>
      <w:pPr>
        <w:pStyle w:val="ListParagraph"/>
        <w:numPr>
          <w:ilvl w:val="1"/>
          <w:numId w:val="1"/>
        </w:numPr>
        <w:rPr/>
      </w:pPr>
      <w:r>
        <w:rPr>
          <w:rFonts w:cs="Times New Roman" w:ascii="Times New Roman" w:hAnsi="Times New Roman"/>
          <w:sz w:val="24"/>
          <w:szCs w:val="24"/>
        </w:rPr>
        <w:t xml:space="preserve">Domain specific conventions, such as UGRID, ACDD, have had to carefully manage </w:t>
      </w:r>
      <w:r>
        <w:rPr>
          <w:rFonts w:cs="Times New Roman" w:ascii="Times New Roman" w:hAnsi="Times New Roman"/>
          <w:sz w:val="24"/>
          <w:szCs w:val="24"/>
        </w:rPr>
        <w:t>their vocabularies.</w:t>
      </w:r>
    </w:p>
    <w:p>
      <w:pPr>
        <w:pStyle w:val="ListParagraph"/>
        <w:numPr>
          <w:ilvl w:val="1"/>
          <w:numId w:val="1"/>
        </w:numPr>
        <w:rPr/>
      </w:pPr>
      <w:r>
        <w:rPr>
          <w:rFonts w:cs="Times New Roman" w:ascii="Times New Roman" w:hAnsi="Times New Roman"/>
          <w:sz w:val="24"/>
          <w:szCs w:val="24"/>
        </w:rPr>
        <w:t>New developers of conventions are interpreting CF as an oversight authority, who should adopt new work; but the CF community is not set up to manage this level of extension, lacking resource and organisational support.</w:t>
      </w:r>
    </w:p>
    <w:p>
      <w:pPr>
        <w:pStyle w:val="Heading3"/>
        <w:ind w:hanging="0"/>
        <w:rPr/>
      </w:pPr>
      <w:r>
        <w:rPr/>
        <w:t>OGC</w:t>
      </w:r>
    </w:p>
    <w:p>
      <w:pPr>
        <w:pStyle w:val="ListParagraph"/>
        <w:numPr>
          <w:ilvl w:val="0"/>
          <w:numId w:val="1"/>
        </w:numPr>
        <w:rPr/>
      </w:pPr>
      <w:r>
        <w:rPr>
          <w:rFonts w:cs="Times New Roman" w:ascii="Times New Roman" w:hAnsi="Times New Roman"/>
          <w:sz w:val="24"/>
          <w:szCs w:val="24"/>
        </w:rPr>
        <w:t>The Open Geospatial Consortium (OGC)  recognise netCDF and the CF conventions as a useful and standardised data exchange format.</w:t>
      </w:r>
    </w:p>
    <w:p>
      <w:pPr>
        <w:pStyle w:val="ListParagraph"/>
        <w:numPr>
          <w:ilvl w:val="0"/>
          <w:numId w:val="1"/>
        </w:numPr>
        <w:rPr/>
      </w:pPr>
      <w:r>
        <w:rPr>
          <w:rFonts w:cs="Times New Roman" w:ascii="Times New Roman" w:hAnsi="Times New Roman"/>
          <w:sz w:val="24"/>
          <w:szCs w:val="24"/>
        </w:rPr>
        <w:t>There are concerns within OGC regarding the quality of spatial and temporal referencing.</w:t>
      </w:r>
    </w:p>
    <w:p>
      <w:pPr>
        <w:pStyle w:val="ListParagraph"/>
        <w:numPr>
          <w:ilvl w:val="1"/>
          <w:numId w:val="1"/>
        </w:numPr>
        <w:rPr/>
      </w:pPr>
      <w:r>
        <w:rPr>
          <w:rFonts w:cs="Times New Roman" w:ascii="Times New Roman" w:hAnsi="Times New Roman"/>
          <w:sz w:val="24"/>
          <w:szCs w:val="24"/>
        </w:rPr>
        <w:t>Limited, but tangible progress has been made enabling a form of the OGC Well Known Text for Coordinate Reference Systems (WKT-CRS) to be used alongside CF metadata, although compromises are still in place limiting the effectiveness of this approach.</w:t>
      </w:r>
    </w:p>
    <w:p>
      <w:pPr>
        <w:pStyle w:val="ListParagraph"/>
        <w:numPr>
          <w:ilvl w:val="0"/>
          <w:numId w:val="1"/>
        </w:numPr>
        <w:rPr/>
      </w:pPr>
      <w:r>
        <w:rPr>
          <w:rFonts w:cs="Times New Roman" w:ascii="Times New Roman" w:hAnsi="Times New Roman"/>
          <w:sz w:val="24"/>
          <w:szCs w:val="24"/>
        </w:rPr>
        <w:t>The OGC are currently sponsoring an effort to develop an encoding standard, initially for netCDF, but also targeting HDF and other binary array formats, that provides explicit support for namespacing of vocabularies, within the files and for publishing.</w:t>
      </w:r>
    </w:p>
    <w:p>
      <w:pPr>
        <w:pStyle w:val="ListParagraph"/>
        <w:numPr>
          <w:ilvl w:val="1"/>
          <w:numId w:val="1"/>
        </w:numPr>
        <w:rPr/>
      </w:pPr>
      <w:r>
        <w:rPr>
          <w:rFonts w:cs="Times New Roman" w:ascii="Times New Roman" w:hAnsi="Times New Roman"/>
          <w:sz w:val="24"/>
          <w:szCs w:val="24"/>
        </w:rPr>
        <w:t>This activity is at an editor’s draft stage:</w:t>
      </w:r>
    </w:p>
    <w:p>
      <w:pPr>
        <w:pStyle w:val="ListParagraph"/>
        <w:numPr>
          <w:ilvl w:val="2"/>
          <w:numId w:val="1"/>
        </w:numPr>
        <w:rPr/>
      </w:pPr>
      <w:r>
        <w:rPr>
          <w:rFonts w:cs="Times New Roman" w:ascii="Times New Roman" w:hAnsi="Times New Roman"/>
          <w:sz w:val="24"/>
          <w:szCs w:val="24"/>
        </w:rPr>
        <w:t>NetCDF-classic-LD [1]</w:t>
      </w:r>
    </w:p>
    <w:p>
      <w:pPr>
        <w:pStyle w:val="ListParagraph"/>
        <w:numPr>
          <w:ilvl w:val="1"/>
          <w:numId w:val="1"/>
        </w:numPr>
        <w:rPr/>
      </w:pPr>
      <w:r>
        <w:rPr>
          <w:rFonts w:cs="Times New Roman" w:ascii="Times New Roman" w:hAnsi="Times New Roman"/>
          <w:sz w:val="24"/>
          <w:szCs w:val="24"/>
        </w:rPr>
        <w:t>This is not yet a standard.</w:t>
      </w:r>
    </w:p>
    <w:p>
      <w:pPr>
        <w:pStyle w:val="ListParagraph"/>
        <w:numPr>
          <w:ilvl w:val="0"/>
          <w:numId w:val="1"/>
        </w:numPr>
        <w:rPr/>
      </w:pPr>
      <w:r>
        <w:rPr>
          <w:rFonts w:cs="Times New Roman" w:ascii="Times New Roman" w:hAnsi="Times New Roman"/>
          <w:sz w:val="24"/>
          <w:szCs w:val="24"/>
        </w:rPr>
        <w:t>This approach encourages the publishing of metadata vocabularies as structured content, using the W3 Linked Data standards, and provides enhanced functionality for such vocabularies.</w:t>
      </w:r>
    </w:p>
    <w:p>
      <w:pPr>
        <w:pStyle w:val="ListParagraph"/>
        <w:numPr>
          <w:ilvl w:val="1"/>
          <w:numId w:val="1"/>
        </w:numPr>
        <w:rPr/>
      </w:pPr>
      <w:r>
        <w:rPr>
          <w:rFonts w:cs="Times New Roman" w:ascii="Times New Roman" w:hAnsi="Times New Roman"/>
          <w:sz w:val="24"/>
          <w:szCs w:val="24"/>
        </w:rPr>
        <w:t>This includes the facility for prefixing new metadata convention attributes and values, directly addressing the namespace challenge for netCDF metadata.</w:t>
      </w:r>
    </w:p>
    <w:p>
      <w:pPr>
        <w:pStyle w:val="ListParagraph"/>
        <w:numPr>
          <w:ilvl w:val="0"/>
          <w:numId w:val="1"/>
        </w:numPr>
        <w:rPr/>
      </w:pPr>
      <w:r>
        <w:rPr>
          <w:rFonts w:cs="Times New Roman" w:ascii="Times New Roman" w:hAnsi="Times New Roman"/>
          <w:sz w:val="24"/>
          <w:szCs w:val="24"/>
        </w:rPr>
        <w:t>The main target for this implementation standard is to enable the generation of RDF graphs of the metadata stored with binary array data encodings, such as netCDF.</w:t>
      </w:r>
    </w:p>
    <w:p>
      <w:pPr>
        <w:pStyle w:val="ListParagraph"/>
        <w:numPr>
          <w:ilvl w:val="0"/>
          <w:numId w:val="1"/>
        </w:numPr>
        <w:rPr/>
      </w:pPr>
      <w:r>
        <w:rPr>
          <w:rFonts w:cs="Times New Roman" w:ascii="Times New Roman" w:hAnsi="Times New Roman"/>
          <w:sz w:val="24"/>
          <w:szCs w:val="24"/>
        </w:rPr>
        <w:t>These RDF graphs provide summary information on the contents of files and provide the basis for working with linked data tool chains to manage access large collections of data and support informed data utilisation.</w:t>
      </w:r>
    </w:p>
    <w:p>
      <w:pPr>
        <w:pStyle w:val="Heading3"/>
        <w:rPr/>
      </w:pPr>
      <w:r>
        <w:rPr>
          <w:rFonts w:cs="Times New Roman" w:ascii="Times New Roman" w:hAnsi="Times New Roman"/>
          <w:sz w:val="24"/>
          <w:szCs w:val="24"/>
        </w:rPr>
        <w:t>Opportunities</w:t>
      </w:r>
    </w:p>
    <w:p>
      <w:pPr>
        <w:pStyle w:val="ListParagraph"/>
        <w:numPr>
          <w:ilvl w:val="0"/>
          <w:numId w:val="1"/>
        </w:numPr>
        <w:rPr/>
      </w:pPr>
      <w:r>
        <w:rPr>
          <w:rFonts w:cs="Times New Roman" w:ascii="Times New Roman" w:hAnsi="Times New Roman"/>
          <w:sz w:val="24"/>
          <w:szCs w:val="24"/>
        </w:rPr>
        <w:t>The WMO have an opportunity to support this activity within OGC.</w:t>
      </w:r>
    </w:p>
    <w:p>
      <w:pPr>
        <w:pStyle w:val="ListParagraph"/>
        <w:numPr>
          <w:ilvl w:val="0"/>
          <w:numId w:val="1"/>
        </w:numPr>
        <w:rPr/>
      </w:pPr>
      <w:r>
        <w:rPr>
          <w:rFonts w:cs="Times New Roman" w:ascii="Times New Roman" w:hAnsi="Times New Roman"/>
          <w:sz w:val="24"/>
          <w:szCs w:val="24"/>
        </w:rPr>
        <w:t>The WMO have an opportunity to build on the published vocabularies representing WMO IP and many years of metadata management by WMO expert teams and leverage these resources to make targeted use of the netCDF encoding format with WMO managed metadata resources.</w:t>
      </w:r>
    </w:p>
    <w:p>
      <w:pPr>
        <w:pStyle w:val="Heading2"/>
        <w:rPr/>
      </w:pPr>
      <w:r>
        <w:rPr/>
        <w:t>References</w:t>
      </w:r>
    </w:p>
    <w:p>
      <w:pPr>
        <w:pStyle w:val="Normal"/>
        <w:ind w:left="360" w:hanging="0"/>
        <w:rPr/>
      </w:pPr>
      <w:r>
        <w:rPr>
          <w:rFonts w:cs="Times New Roman" w:ascii="Times New Roman" w:hAnsi="Times New Roman"/>
          <w:sz w:val="24"/>
          <w:szCs w:val="24"/>
        </w:rPr>
        <w:t xml:space="preserve">[1] </w:t>
      </w:r>
      <w:hyperlink r:id="rId2">
        <w:r>
          <w:rPr>
            <w:rStyle w:val="InternetLink"/>
            <w:rFonts w:cs="Times New Roman" w:ascii="Times New Roman" w:hAnsi="Times New Roman"/>
            <w:sz w:val="24"/>
            <w:szCs w:val="24"/>
          </w:rPr>
          <w:t>http://docs.opengeospatial.org/DRAFTS/19-002.html</w:t>
        </w:r>
      </w:hyperlink>
    </w:p>
    <w:p>
      <w:pPr>
        <w:pStyle w:val="Normal"/>
        <w:ind w:left="360" w:hanging="0"/>
        <w:rPr>
          <w:rFonts w:ascii="Times New Roman" w:hAnsi="Times New Roman" w:cs="Times New Roman"/>
          <w:sz w:val="24"/>
          <w:szCs w:val="24"/>
        </w:rPr>
      </w:pPr>
      <w:r>
        <w:rPr>
          <w:rFonts w:cs="Times New Roman" w:ascii="Times New Roman" w:hAnsi="Times New Roman"/>
          <w:sz w:val="24"/>
          <w:szCs w:val="24"/>
        </w:rPr>
        <w:t>[2] Etc</w:t>
      </w:r>
    </w:p>
    <w:p>
      <w:pPr>
        <w:pStyle w:val="Heading2"/>
        <w:rPr/>
      </w:pPr>
      <w:r>
        <w:rPr/>
        <w:t xml:space="preserve">Recommended Text </w:t>
      </w:r>
    </w:p>
    <w:p>
      <w:pPr>
        <w:pStyle w:val="Normal"/>
        <w:spacing w:before="0" w:after="200"/>
        <w:rPr/>
      </w:pPr>
      <w:r>
        <w:rPr>
          <w:rFonts w:cs="Times New Roman" w:ascii="Times New Roman" w:hAnsi="Times New Roman"/>
          <w:sz w:val="24"/>
          <w:szCs w:val="24"/>
        </w:rPr>
        <w:t>None Applicable</w:t>
      </w:r>
    </w:p>
    <w:sectPr>
      <w:headerReference w:type="default" r:id="rId3"/>
      <w:headerReference w:type="first" r:id="rId4"/>
      <w:type w:val="nextPage"/>
      <w:pgSz w:w="12240" w:h="15840"/>
      <w:pgMar w:left="1440" w:right="1440" w:header="720" w:top="1440" w:footer="0" w:bottom="1440" w:gutter="0"/>
      <w:pgNumType w:fmt="decimal"/>
      <w:formProt w:val="false"/>
      <w:titlePg/>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Cambria">
    <w:charset w:val="01"/>
    <w:family w:val="roman"/>
    <w:pitch w:val="variable"/>
  </w:font>
  <w:font w:name="Times New Roman">
    <w:charset w:val="01"/>
    <w:family w:val="roman"/>
    <w:pitch w:val="variable"/>
  </w:font>
  <w:font w:name="Liberation Sans">
    <w:altName w:val="Arial"/>
    <w:charset w:val="01"/>
    <w:family w:val="swiss"/>
    <w:pitch w:val="variable"/>
  </w:font>
  <w:font w:name="Times New Roman Bold">
    <w:charset w:val="01"/>
    <w:family w:val="roman"/>
    <w:pitch w:val="variable"/>
  </w:font>
  <w:font w:name="Verdana">
    <w:charset w:val="01"/>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465055100"/>
    </w:sdtPr>
    <w:sdtContent>
      <w:p>
        <w:pPr>
          <w:pStyle w:val="Header"/>
          <w:jc w:val="center"/>
          <w:rPr/>
        </w:pPr>
        <w:r>
          <w:rPr/>
          <w:t xml:space="preserve">Agenda Item. </w:t>
        </w:r>
        <w:r>
          <w:rPr>
            <w:highlight w:val="yellow"/>
          </w:rPr>
          <w:t>[XX]</w:t>
        </w:r>
        <w:r>
          <w:rPr/>
          <w:t xml:space="preserve"> (Page </w:t>
        </w:r>
        <w:r>
          <w:rPr/>
          <w:fldChar w:fldCharType="begin"/>
        </w:r>
        <w:r>
          <w:rPr/>
          <w:instrText> PAGE </w:instrText>
        </w:r>
        <w:r>
          <w:rPr/>
          <w:fldChar w:fldCharType="separate"/>
        </w:r>
        <w:r>
          <w:rPr/>
          <w:t>2</w:t>
        </w:r>
        <w:r>
          <w:rPr/>
          <w:fldChar w:fldCharType="end"/>
        </w:r>
        <w:r>
          <w:rPr/>
          <w:t>)</w:t>
        </w:r>
      </w:p>
      <w:p>
        <w:pPr>
          <w:pStyle w:val="Header"/>
          <w:rPr/>
        </w:pPr>
        <w:r>
          <w:rPr/>
        </w:r>
      </w:p>
    </w:sdtContent>
  </w:sdt>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r>
      <mc:AlternateContent>
        <mc:Choice Requires="wps">
          <w:drawing>
            <wp:anchor behindDoc="0" distT="0" distB="0" distL="114935" distR="114935" simplePos="0" locked="0" layoutInCell="1" allowOverlap="1" relativeHeight="2">
              <wp:simplePos x="0" y="0"/>
              <wp:positionH relativeFrom="margin">
                <wp:posOffset>-68580</wp:posOffset>
              </wp:positionH>
              <wp:positionV relativeFrom="margin">
                <wp:posOffset>-179705</wp:posOffset>
              </wp:positionV>
              <wp:extent cx="6400165" cy="2347595"/>
              <wp:effectExtent l="0" t="0" r="0" b="0"/>
              <wp:wrapSquare wrapText="bothSides"/>
              <wp:docPr id="1" name="Frame1"/>
              <a:graphic xmlns:a="http://schemas.openxmlformats.org/drawingml/2006/main">
                <a:graphicData uri="http://schemas.microsoft.com/office/word/2010/wordprocessingShape">
                  <wps:wsp>
                    <wps:cNvSpPr txBox="1"/>
                    <wps:spPr>
                      <a:xfrm>
                        <a:off x="0" y="0"/>
                        <a:ext cx="6400165" cy="2347595"/>
                      </a:xfrm>
                      <a:prstGeom prst="rect"/>
                    </wps:spPr>
                    <wps:txbx>
                      <w:txbxContent>
                        <w:tbl>
                          <w:tblPr>
                            <w:tblpPr w:bottomFromText="0" w:horzAnchor="margin" w:leftFromText="181" w:rightFromText="181" w:tblpX="0" w:tblpY="-283" w:topFromText="0" w:vertAnchor="margin"/>
                            <w:tblW w:w="10079" w:type="dxa"/>
                            <w:jc w:val="left"/>
                            <w:tblInd w:w="108" w:type="dxa"/>
                            <w:tblBorders/>
                            <w:tblCellMar>
                              <w:top w:w="0" w:type="dxa"/>
                              <w:left w:w="108" w:type="dxa"/>
                              <w:bottom w:w="0" w:type="dxa"/>
                              <w:right w:w="108" w:type="dxa"/>
                            </w:tblCellMar>
                            <w:tblLook w:noVBand="0" w:val="0000" w:noHBand="0" w:lastColumn="0" w:firstColumn="0" w:lastRow="0" w:firstRow="0"/>
                          </w:tblPr>
                          <w:tblGrid>
                            <w:gridCol w:w="4547"/>
                            <w:gridCol w:w="1680"/>
                            <w:gridCol w:w="3851"/>
                          </w:tblGrid>
                          <w:tr>
                            <w:trPr>
                              <w:trHeight w:val="1438" w:hRule="atLeast"/>
                              <w:cantSplit w:val="true"/>
                            </w:trPr>
                            <w:tc>
                              <w:tcPr>
                                <w:tcW w:w="4547" w:type="dxa"/>
                                <w:tcBorders/>
                                <w:shd w:fill="auto" w:val="clear"/>
                                <w:vAlign w:val="center"/>
                              </w:tcPr>
                              <w:p>
                                <w:pPr>
                                  <w:pStyle w:val="Normal"/>
                                  <w:numPr>
                                    <w:ilvl w:val="0"/>
                                    <w:numId w:val="0"/>
                                  </w:numPr>
                                  <w:shd w:val="clear" w:color="auto" w:fill="FFFFFF"/>
                                  <w:spacing w:before="0" w:after="180"/>
                                  <w:jc w:val="center"/>
                                  <w:outlineLvl w:val="1"/>
                                  <w:rPr/>
                                </w:pPr>
                                <w:r>
                                  <w:rPr>
                                    <w:rFonts w:cs="Times New Roman" w:ascii="Times New Roman" w:hAnsi="Times New Roman"/>
                                    <w:b/>
                                    <w:bCs/>
                                    <w:sz w:val="28"/>
                                    <w:szCs w:val="28"/>
                                  </w:rPr>
                                  <w:t>COMMISSION FOR BASIC SYSTEMS</w:t>
                                </w:r>
                                <w:bookmarkStart w:id="1" w:name="ditulogo1"/>
                                <w:bookmarkStart w:id="2" w:name="__UnoMark__96_2169495351"/>
                                <w:bookmarkEnd w:id="1"/>
                                <w:bookmarkEnd w:id="2"/>
                              </w:p>
                            </w:tc>
                            <w:tc>
                              <w:tcPr>
                                <w:tcW w:w="5531" w:type="dxa"/>
                                <w:gridSpan w:val="2"/>
                                <w:tcBorders/>
                                <w:shd w:fill="auto" w:val="clear"/>
                                <w:tcMar>
                                  <w:left w:w="6" w:type="dxa"/>
                                  <w:right w:w="6" w:type="dxa"/>
                                </w:tcMar>
                              </w:tcPr>
                              <w:p>
                                <w:pPr>
                                  <w:pStyle w:val="Normal"/>
                                  <w:shd w:val="solid" w:color="FFFFFF" w:fill="FFFFFF"/>
                                  <w:spacing w:lineRule="atLeast" w:line="240" w:before="240" w:after="0"/>
                                  <w:rPr/>
                                </w:pPr>
                                <w:bookmarkStart w:id="3" w:name="__UnoMark__98_2169495351"/>
                                <w:bookmarkEnd w:id="3"/>
                                <w:r>
                                  <w:rPr/>
                                  <w:object>
                                    <v:shape id="ole_rId1" style="width:274.5pt;height:56.25pt" o:ole="">
                                      <v:imagedata r:id="rId2" o:title=""/>
                                    </v:shape>
                                    <o:OLEObject Type="Embed" ProgID="" ShapeID="ole_rId1" DrawAspect="Content" ObjectID="_1993247692" r:id="rId1"/>
                                  </w:object>
                                </w:r>
                                <w:bookmarkStart w:id="4" w:name="__UnoMark__99_2169495351"/>
                                <w:bookmarkEnd w:id="4"/>
                              </w:p>
                            </w:tc>
                          </w:tr>
                          <w:tr>
                            <w:trPr>
                              <w:cantSplit w:val="true"/>
                            </w:trPr>
                            <w:tc>
                              <w:tcPr>
                                <w:tcW w:w="6227" w:type="dxa"/>
                                <w:gridSpan w:val="2"/>
                                <w:tcBorders>
                                  <w:top w:val="single" w:sz="12" w:space="0" w:color="00000A"/>
                                </w:tcBorders>
                                <w:shd w:fill="auto" w:val="clear"/>
                              </w:tcPr>
                              <w:p>
                                <w:pPr>
                                  <w:pStyle w:val="Normal"/>
                                  <w:shd w:val="solid" w:color="FFFFFF" w:fill="FFFFFF"/>
                                  <w:spacing w:before="0" w:after="48"/>
                                  <w:rPr>
                                    <w:rFonts w:ascii="Verdana" w:hAnsi="Verdana" w:cs="Verdana"/>
                                  </w:rPr>
                                </w:pPr>
                                <w:r>
                                  <w:rPr>
                                    <w:rFonts w:cs="Verdana" w:ascii="Verdana" w:hAnsi="Verdana"/>
                                  </w:rPr>
                                </w:r>
                                <w:bookmarkStart w:id="5" w:name="__UnoMark__101_2169495351"/>
                                <w:bookmarkStart w:id="6" w:name="__UnoMark__100_2169495351"/>
                                <w:bookmarkStart w:id="7" w:name="__UnoMark__101_2169495351"/>
                                <w:bookmarkStart w:id="8" w:name="__UnoMark__100_2169495351"/>
                                <w:bookmarkEnd w:id="7"/>
                                <w:bookmarkEnd w:id="8"/>
                              </w:p>
                            </w:tc>
                            <w:tc>
                              <w:tcPr>
                                <w:tcW w:w="3851" w:type="dxa"/>
                                <w:tcBorders>
                                  <w:top w:val="single" w:sz="12" w:space="0" w:color="00000A"/>
                                </w:tcBorders>
                                <w:shd w:fill="auto" w:val="clear"/>
                              </w:tcPr>
                              <w:p>
                                <w:pPr>
                                  <w:pStyle w:val="Normal"/>
                                  <w:shd w:val="solid" w:color="FFFFFF" w:fill="FFFFFF"/>
                                  <w:spacing w:lineRule="atLeast" w:line="240" w:before="0" w:after="48"/>
                                  <w:rPr/>
                                </w:pPr>
                                <w:r>
                                  <w:rPr/>
                                </w:r>
                                <w:bookmarkStart w:id="9" w:name="__UnoMark__103_2169495351"/>
                                <w:bookmarkStart w:id="10" w:name="__UnoMark__102_2169495351"/>
                                <w:bookmarkStart w:id="11" w:name="__UnoMark__103_2169495351"/>
                                <w:bookmarkStart w:id="12" w:name="__UnoMark__102_2169495351"/>
                                <w:bookmarkEnd w:id="11"/>
                                <w:bookmarkEnd w:id="12"/>
                              </w:p>
                            </w:tc>
                          </w:tr>
                          <w:tr>
                            <w:trPr>
                              <w:trHeight w:val="312" w:hRule="atLeast"/>
                              <w:cantSplit w:val="true"/>
                            </w:trPr>
                            <w:tc>
                              <w:tcPr>
                                <w:tcW w:w="6227" w:type="dxa"/>
                                <w:gridSpan w:val="2"/>
                                <w:vMerge w:val="restart"/>
                                <w:tcBorders/>
                                <w:shd w:fill="auto" w:val="clear"/>
                              </w:tcPr>
                              <w:p>
                                <w:pPr>
                                  <w:pStyle w:val="Normal"/>
                                  <w:shd w:val="solid" w:color="FFFFFF" w:fill="FFFFFF"/>
                                  <w:spacing w:before="0" w:after="240"/>
                                  <w:ind w:firstLine="36"/>
                                  <w:rPr/>
                                </w:pPr>
                                <w:bookmarkStart w:id="13" w:name="__UnoMark__104_2169495351"/>
                                <w:bookmarkEnd w:id="13"/>
                                <w:r>
                                  <w:rPr>
                                    <w:rFonts w:cs="Times New Roman" w:ascii="Times New Roman" w:hAnsi="Times New Roman"/>
                                    <w:b/>
                                    <w:sz w:val="28"/>
                                    <w:szCs w:val="20"/>
                                  </w:rPr>
                                  <w:t>Inter</w:t>
                                </w:r>
                                <w:r>
                                  <w:rPr>
                                    <w:rFonts w:cs="Times New Roman" w:ascii="Times New Roman" w:hAnsi="Times New Roman"/>
                                    <w:b/>
                                    <w:sz w:val="28"/>
                                    <w:szCs w:val="20"/>
                                    <w:lang w:val="fr-CH"/>
                                  </w:rPr>
                                  <w:t xml:space="preserve">-Program </w:t>
                                </w:r>
                                <w:r>
                                  <w:rPr>
                                    <w:rFonts w:cs="Times New Roman" w:ascii="Times New Roman" w:hAnsi="Times New Roman"/>
                                    <w:b/>
                                    <w:sz w:val="28"/>
                                    <w:szCs w:val="20"/>
                                  </w:rPr>
                                  <w:t>Expert Team on Data Representation Development  (IPET-DD)</w:t>
                                  <w:br/>
                                  <w:t>Zagreb, Croatia 18-20 February 2019</w:t>
                                </w:r>
                              </w:p>
                              <w:p>
                                <w:pPr>
                                  <w:pStyle w:val="Normal"/>
                                  <w:shd w:val="solid" w:color="FFFFFF" w:fill="FFFFFF"/>
                                  <w:spacing w:before="0" w:after="240"/>
                                  <w:ind w:left="1134" w:hanging="1134"/>
                                  <w:rPr/>
                                </w:pPr>
                                <w:r>
                                  <w:rPr>
                                    <w:rFonts w:cs="Times New Roman" w:ascii="Times New Roman" w:hAnsi="Times New Roman"/>
                                    <w:b/>
                                    <w:sz w:val="28"/>
                                    <w:szCs w:val="20"/>
                                  </w:rPr>
                                  <w:t>Submitted by:</w:t>
                                </w:r>
                                <w:r>
                                  <w:rPr>
                                    <w:rFonts w:cs="Times New Roman" w:ascii="Times New Roman" w:hAnsi="Times New Roman"/>
                                    <w:sz w:val="28"/>
                                    <w:szCs w:val="20"/>
                                  </w:rPr>
                                  <w:t xml:space="preserve"> </w:t>
                                </w:r>
                                <w:bookmarkStart w:id="14" w:name="__UnoMark__105_2169495351"/>
                                <w:bookmarkEnd w:id="14"/>
                                <w:r>
                                  <w:rPr>
                                    <w:rFonts w:cs="Times New Roman" w:ascii="Times New Roman" w:hAnsi="Times New Roman"/>
                                    <w:sz w:val="28"/>
                                    <w:szCs w:val="20"/>
                                  </w:rPr>
                                  <w:t>Mark Hedley, Met Office, UK</w:t>
                                </w:r>
                              </w:p>
                            </w:tc>
                            <w:tc>
                              <w:tcPr>
                                <w:tcW w:w="3851" w:type="dxa"/>
                                <w:tcBorders/>
                                <w:shd w:fill="auto" w:val="clear"/>
                              </w:tcPr>
                              <w:p>
                                <w:pPr>
                                  <w:pStyle w:val="Normal"/>
                                  <w:shd w:val="solid" w:color="FFFFFF" w:fill="FFFFFF"/>
                                  <w:spacing w:lineRule="atLeast" w:line="240" w:before="0" w:after="200"/>
                                  <w:rPr/>
                                </w:pPr>
                                <w:bookmarkStart w:id="15" w:name="__UnoMark__106_2169495351"/>
                                <w:bookmarkEnd w:id="15"/>
                                <w:r>
                                  <w:rPr>
                                    <w:rFonts w:cs="Times New Roman" w:ascii="Times New Roman" w:hAnsi="Times New Roman"/>
                                    <w:b/>
                                    <w:bCs/>
                                    <w:sz w:val="28"/>
                                    <w:szCs w:val="20"/>
                                    <w:lang w:eastAsia="zh-CN"/>
                                  </w:rPr>
                                  <w:t>IPET-DD-1</w:t>
                                  <w:br/>
                                  <w:t>Agenda Item [xx]</w:t>
                                </w:r>
                                <w:bookmarkStart w:id="16" w:name="__UnoMark__107_2169495351"/>
                                <w:bookmarkEnd w:id="16"/>
                              </w:p>
                            </w:tc>
                          </w:tr>
                          <w:tr>
                            <w:trPr>
                              <w:trHeight w:val="81" w:hRule="atLeast"/>
                              <w:cantSplit w:val="true"/>
                            </w:trPr>
                            <w:tc>
                              <w:tcPr>
                                <w:tcW w:w="6227" w:type="dxa"/>
                                <w:gridSpan w:val="2"/>
                                <w:vMerge w:val="continue"/>
                                <w:tcBorders/>
                                <w:shd w:fill="auto" w:val="clear"/>
                              </w:tcPr>
                              <w:p>
                                <w:pPr>
                                  <w:pStyle w:val="Normal"/>
                                  <w:shd w:val="solid" w:color="FFFFFF" w:fill="FFFFFF"/>
                                  <w:spacing w:before="0" w:after="240"/>
                                  <w:ind w:left="1134" w:hanging="1134"/>
                                  <w:rPr>
                                    <w:rFonts w:ascii="Verdana" w:hAnsi="Verdana" w:cs="Verdana"/>
                                    <w:sz w:val="20"/>
                                    <w:szCs w:val="20"/>
                                  </w:rPr>
                                </w:pPr>
                                <w:r>
                                  <w:rPr>
                                    <w:rFonts w:cs="Verdana" w:ascii="Verdana" w:hAnsi="Verdana"/>
                                    <w:sz w:val="20"/>
                                    <w:szCs w:val="20"/>
                                  </w:rPr>
                                </w:r>
                                <w:bookmarkStart w:id="17" w:name="__UnoMark__109_2169495351"/>
                                <w:bookmarkStart w:id="18" w:name="__UnoMark__108_2169495351"/>
                                <w:bookmarkStart w:id="19" w:name="__UnoMark__109_2169495351"/>
                                <w:bookmarkStart w:id="20" w:name="__UnoMark__108_2169495351"/>
                                <w:bookmarkEnd w:id="19"/>
                                <w:bookmarkEnd w:id="20"/>
                              </w:p>
                            </w:tc>
                            <w:tc>
                              <w:tcPr>
                                <w:tcW w:w="3851" w:type="dxa"/>
                                <w:tcBorders/>
                                <w:shd w:fill="auto" w:val="clear"/>
                              </w:tcPr>
                              <w:p>
                                <w:pPr>
                                  <w:pStyle w:val="Normal"/>
                                  <w:shd w:val="solid" w:color="FFFFFF" w:fill="FFFFFF"/>
                                  <w:spacing w:lineRule="atLeast" w:line="240" w:before="0" w:after="200"/>
                                  <w:rPr/>
                                </w:pPr>
                                <w:r>
                                  <w:rPr>
                                    <w:rFonts w:cs="Times New Roman" w:ascii="Times New Roman" w:hAnsi="Times New Roman"/>
                                    <w:b/>
                                    <w:bCs/>
                                    <w:sz w:val="28"/>
                                    <w:szCs w:val="20"/>
                                    <w:lang w:eastAsia="zh-CN"/>
                                  </w:rPr>
                                  <w:t>18</w:t>
                                </w:r>
                                <w:r>
                                  <w:rPr>
                                    <w:rFonts w:cs="Times New Roman" w:ascii="Times New Roman" w:hAnsi="Times New Roman"/>
                                    <w:b/>
                                    <w:bCs/>
                                    <w:sz w:val="28"/>
                                    <w:szCs w:val="20"/>
                                    <w:vertAlign w:val="superscript"/>
                                    <w:lang w:eastAsia="zh-CN"/>
                                  </w:rPr>
                                  <w:t>th</w:t>
                                </w:r>
                                <w:r>
                                  <w:rPr>
                                    <w:rFonts w:cs="Times New Roman" w:ascii="Times New Roman" w:hAnsi="Times New Roman"/>
                                    <w:b/>
                                    <w:bCs/>
                                    <w:sz w:val="28"/>
                                    <w:szCs w:val="20"/>
                                    <w:lang w:eastAsia="zh-CN"/>
                                  </w:rPr>
                                  <w:t xml:space="preserve"> February</w:t>
                                </w:r>
                                <w:r>
                                  <w:rPr>
                                    <w:rFonts w:cs="Times New Roman" w:ascii="Times New Roman" w:hAnsi="Times New Roman"/>
                                    <w:b/>
                                    <w:bCs/>
                                    <w:sz w:val="28"/>
                                    <w:szCs w:val="20"/>
                                    <w:lang w:eastAsia="zh-CN"/>
                                  </w:rPr>
                                  <w:t xml:space="preserve"> 2019</w:t>
                                </w:r>
                              </w:p>
                            </w:tc>
                          </w:tr>
                        </w:tbl>
                      </w:txbxContent>
                    </wps:txbx>
                    <wps:bodyPr anchor="t" lIns="0" tIns="0" rIns="0" bIns="0">
                      <a:spAutoFit/>
                    </wps:bodyPr>
                  </wps:wsp>
                </a:graphicData>
              </a:graphic>
            </wp:anchor>
          </w:drawing>
        </mc:Choice>
        <mc:Fallback>
          <w:pict>
            <v:rect style="position:absolute;rotation:0;width:503.95pt;height:184.85pt;mso-wrap-distance-left:9.05pt;mso-wrap-distance-right:9.05pt;mso-wrap-distance-top:0pt;mso-wrap-distance-bottom:0pt;margin-top:-14.15pt;mso-position-vertical-relative:margin;margin-left:-5.4pt;mso-position-horizontal-relative:margin">
              <v:textbox inset="0in,0in,0in,0in">
                <w:txbxContent>
                  <w:tbl>
                    <w:tblPr>
                      <w:tblpPr w:bottomFromText="0" w:horzAnchor="margin" w:leftFromText="181" w:rightFromText="181" w:tblpX="0" w:tblpY="-283" w:topFromText="0" w:vertAnchor="margin"/>
                      <w:tblW w:w="10079" w:type="dxa"/>
                      <w:jc w:val="left"/>
                      <w:tblInd w:w="108" w:type="dxa"/>
                      <w:tblBorders/>
                      <w:tblCellMar>
                        <w:top w:w="0" w:type="dxa"/>
                        <w:left w:w="108" w:type="dxa"/>
                        <w:bottom w:w="0" w:type="dxa"/>
                        <w:right w:w="108" w:type="dxa"/>
                      </w:tblCellMar>
                      <w:tblLook w:noVBand="0" w:val="0000" w:noHBand="0" w:lastColumn="0" w:firstColumn="0" w:lastRow="0" w:firstRow="0"/>
                    </w:tblPr>
                    <w:tblGrid>
                      <w:gridCol w:w="4547"/>
                      <w:gridCol w:w="1680"/>
                      <w:gridCol w:w="3851"/>
                    </w:tblGrid>
                    <w:tr>
                      <w:trPr>
                        <w:trHeight w:val="1438" w:hRule="atLeast"/>
                        <w:cantSplit w:val="true"/>
                      </w:trPr>
                      <w:tc>
                        <w:tcPr>
                          <w:tcW w:w="4547" w:type="dxa"/>
                          <w:tcBorders/>
                          <w:shd w:fill="auto" w:val="clear"/>
                          <w:vAlign w:val="center"/>
                        </w:tcPr>
                        <w:p>
                          <w:pPr>
                            <w:pStyle w:val="Normal"/>
                            <w:numPr>
                              <w:ilvl w:val="0"/>
                              <w:numId w:val="0"/>
                            </w:numPr>
                            <w:shd w:val="clear" w:color="auto" w:fill="FFFFFF"/>
                            <w:spacing w:before="0" w:after="180"/>
                            <w:jc w:val="center"/>
                            <w:outlineLvl w:val="1"/>
                            <w:rPr/>
                          </w:pPr>
                          <w:r>
                            <w:rPr>
                              <w:rFonts w:cs="Times New Roman" w:ascii="Times New Roman" w:hAnsi="Times New Roman"/>
                              <w:b/>
                              <w:bCs/>
                              <w:sz w:val="28"/>
                              <w:szCs w:val="28"/>
                            </w:rPr>
                            <w:t>COMMISSION FOR BASIC SYSTEMS</w:t>
                          </w:r>
                          <w:bookmarkStart w:id="21" w:name="ditulogo1"/>
                          <w:bookmarkStart w:id="22" w:name="__UnoMark__96_2169495351"/>
                          <w:bookmarkEnd w:id="21"/>
                          <w:bookmarkEnd w:id="22"/>
                        </w:p>
                      </w:tc>
                      <w:tc>
                        <w:tcPr>
                          <w:tcW w:w="5531" w:type="dxa"/>
                          <w:gridSpan w:val="2"/>
                          <w:tcBorders/>
                          <w:shd w:fill="auto" w:val="clear"/>
                          <w:tcMar>
                            <w:left w:w="6" w:type="dxa"/>
                            <w:right w:w="6" w:type="dxa"/>
                          </w:tcMar>
                        </w:tcPr>
                        <w:p>
                          <w:pPr>
                            <w:pStyle w:val="Normal"/>
                            <w:shd w:val="solid" w:color="FFFFFF" w:fill="FFFFFF"/>
                            <w:spacing w:lineRule="atLeast" w:line="240" w:before="240" w:after="0"/>
                            <w:rPr/>
                          </w:pPr>
                          <w:bookmarkStart w:id="23" w:name="__UnoMark__98_2169495351"/>
                          <w:bookmarkEnd w:id="23"/>
                          <w:r>
                            <w:rPr/>
                            <w:object>
                              <v:shape id="ole_rId3" style="width:274.5pt;height:56.25pt" o:ole="">
                                <v:imagedata r:id="rId4" o:title=""/>
                              </v:shape>
                              <o:OLEObject Type="Embed" ProgID="" ShapeID="ole_rId3" DrawAspect="Content" ObjectID="_1394233969" r:id="rId3"/>
                            </w:object>
                          </w:r>
                          <w:bookmarkStart w:id="24" w:name="__UnoMark__99_2169495351"/>
                          <w:bookmarkEnd w:id="24"/>
                        </w:p>
                      </w:tc>
                    </w:tr>
                    <w:tr>
                      <w:trPr>
                        <w:cantSplit w:val="true"/>
                      </w:trPr>
                      <w:tc>
                        <w:tcPr>
                          <w:tcW w:w="6227" w:type="dxa"/>
                          <w:gridSpan w:val="2"/>
                          <w:tcBorders>
                            <w:top w:val="single" w:sz="12" w:space="0" w:color="00000A"/>
                          </w:tcBorders>
                          <w:shd w:fill="auto" w:val="clear"/>
                        </w:tcPr>
                        <w:p>
                          <w:pPr>
                            <w:pStyle w:val="Normal"/>
                            <w:shd w:val="solid" w:color="FFFFFF" w:fill="FFFFFF"/>
                            <w:spacing w:before="0" w:after="48"/>
                            <w:rPr>
                              <w:rFonts w:ascii="Verdana" w:hAnsi="Verdana" w:cs="Verdana"/>
                            </w:rPr>
                          </w:pPr>
                          <w:r>
                            <w:rPr>
                              <w:rFonts w:cs="Verdana" w:ascii="Verdana" w:hAnsi="Verdana"/>
                            </w:rPr>
                          </w:r>
                          <w:bookmarkStart w:id="25" w:name="__UnoMark__101_2169495351"/>
                          <w:bookmarkStart w:id="26" w:name="__UnoMark__100_2169495351"/>
                          <w:bookmarkStart w:id="27" w:name="__UnoMark__101_2169495351"/>
                          <w:bookmarkStart w:id="28" w:name="__UnoMark__100_2169495351"/>
                          <w:bookmarkEnd w:id="27"/>
                          <w:bookmarkEnd w:id="28"/>
                        </w:p>
                      </w:tc>
                      <w:tc>
                        <w:tcPr>
                          <w:tcW w:w="3851" w:type="dxa"/>
                          <w:tcBorders>
                            <w:top w:val="single" w:sz="12" w:space="0" w:color="00000A"/>
                          </w:tcBorders>
                          <w:shd w:fill="auto" w:val="clear"/>
                        </w:tcPr>
                        <w:p>
                          <w:pPr>
                            <w:pStyle w:val="Normal"/>
                            <w:shd w:val="solid" w:color="FFFFFF" w:fill="FFFFFF"/>
                            <w:spacing w:lineRule="atLeast" w:line="240" w:before="0" w:after="48"/>
                            <w:rPr/>
                          </w:pPr>
                          <w:r>
                            <w:rPr/>
                          </w:r>
                          <w:bookmarkStart w:id="29" w:name="__UnoMark__103_2169495351"/>
                          <w:bookmarkStart w:id="30" w:name="__UnoMark__102_2169495351"/>
                          <w:bookmarkStart w:id="31" w:name="__UnoMark__103_2169495351"/>
                          <w:bookmarkStart w:id="32" w:name="__UnoMark__102_2169495351"/>
                          <w:bookmarkEnd w:id="31"/>
                          <w:bookmarkEnd w:id="32"/>
                        </w:p>
                      </w:tc>
                    </w:tr>
                    <w:tr>
                      <w:trPr>
                        <w:trHeight w:val="312" w:hRule="atLeast"/>
                        <w:cantSplit w:val="true"/>
                      </w:trPr>
                      <w:tc>
                        <w:tcPr>
                          <w:tcW w:w="6227" w:type="dxa"/>
                          <w:gridSpan w:val="2"/>
                          <w:vMerge w:val="restart"/>
                          <w:tcBorders/>
                          <w:shd w:fill="auto" w:val="clear"/>
                        </w:tcPr>
                        <w:p>
                          <w:pPr>
                            <w:pStyle w:val="Normal"/>
                            <w:shd w:val="solid" w:color="FFFFFF" w:fill="FFFFFF"/>
                            <w:spacing w:before="0" w:after="240"/>
                            <w:ind w:firstLine="36"/>
                            <w:rPr/>
                          </w:pPr>
                          <w:bookmarkStart w:id="33" w:name="__UnoMark__104_2169495351"/>
                          <w:bookmarkEnd w:id="33"/>
                          <w:r>
                            <w:rPr>
                              <w:rFonts w:cs="Times New Roman" w:ascii="Times New Roman" w:hAnsi="Times New Roman"/>
                              <w:b/>
                              <w:sz w:val="28"/>
                              <w:szCs w:val="20"/>
                            </w:rPr>
                            <w:t>Inter</w:t>
                          </w:r>
                          <w:r>
                            <w:rPr>
                              <w:rFonts w:cs="Times New Roman" w:ascii="Times New Roman" w:hAnsi="Times New Roman"/>
                              <w:b/>
                              <w:sz w:val="28"/>
                              <w:szCs w:val="20"/>
                              <w:lang w:val="fr-CH"/>
                            </w:rPr>
                            <w:t xml:space="preserve">-Program </w:t>
                          </w:r>
                          <w:r>
                            <w:rPr>
                              <w:rFonts w:cs="Times New Roman" w:ascii="Times New Roman" w:hAnsi="Times New Roman"/>
                              <w:b/>
                              <w:sz w:val="28"/>
                              <w:szCs w:val="20"/>
                            </w:rPr>
                            <w:t>Expert Team on Data Representation Development  (IPET-DD)</w:t>
                            <w:br/>
                            <w:t>Zagreb, Croatia 18-20 February 2019</w:t>
                          </w:r>
                        </w:p>
                        <w:p>
                          <w:pPr>
                            <w:pStyle w:val="Normal"/>
                            <w:shd w:val="solid" w:color="FFFFFF" w:fill="FFFFFF"/>
                            <w:spacing w:before="0" w:after="240"/>
                            <w:ind w:left="1134" w:hanging="1134"/>
                            <w:rPr/>
                          </w:pPr>
                          <w:r>
                            <w:rPr>
                              <w:rFonts w:cs="Times New Roman" w:ascii="Times New Roman" w:hAnsi="Times New Roman"/>
                              <w:b/>
                              <w:sz w:val="28"/>
                              <w:szCs w:val="20"/>
                            </w:rPr>
                            <w:t>Submitted by:</w:t>
                          </w:r>
                          <w:r>
                            <w:rPr>
                              <w:rFonts w:cs="Times New Roman" w:ascii="Times New Roman" w:hAnsi="Times New Roman"/>
                              <w:sz w:val="28"/>
                              <w:szCs w:val="20"/>
                            </w:rPr>
                            <w:t xml:space="preserve"> </w:t>
                          </w:r>
                          <w:bookmarkStart w:id="34" w:name="__UnoMark__105_2169495351"/>
                          <w:bookmarkEnd w:id="34"/>
                          <w:r>
                            <w:rPr>
                              <w:rFonts w:cs="Times New Roman" w:ascii="Times New Roman" w:hAnsi="Times New Roman"/>
                              <w:sz w:val="28"/>
                              <w:szCs w:val="20"/>
                            </w:rPr>
                            <w:t>Mark Hedley, Met Office, UK</w:t>
                          </w:r>
                        </w:p>
                      </w:tc>
                      <w:tc>
                        <w:tcPr>
                          <w:tcW w:w="3851" w:type="dxa"/>
                          <w:tcBorders/>
                          <w:shd w:fill="auto" w:val="clear"/>
                        </w:tcPr>
                        <w:p>
                          <w:pPr>
                            <w:pStyle w:val="Normal"/>
                            <w:shd w:val="solid" w:color="FFFFFF" w:fill="FFFFFF"/>
                            <w:spacing w:lineRule="atLeast" w:line="240" w:before="0" w:after="200"/>
                            <w:rPr/>
                          </w:pPr>
                          <w:bookmarkStart w:id="35" w:name="__UnoMark__106_2169495351"/>
                          <w:bookmarkEnd w:id="35"/>
                          <w:r>
                            <w:rPr>
                              <w:rFonts w:cs="Times New Roman" w:ascii="Times New Roman" w:hAnsi="Times New Roman"/>
                              <w:b/>
                              <w:bCs/>
                              <w:sz w:val="28"/>
                              <w:szCs w:val="20"/>
                              <w:lang w:eastAsia="zh-CN"/>
                            </w:rPr>
                            <w:t>IPET-DD-1</w:t>
                            <w:br/>
                            <w:t>Agenda Item [xx]</w:t>
                          </w:r>
                          <w:bookmarkStart w:id="36" w:name="__UnoMark__107_2169495351"/>
                          <w:bookmarkEnd w:id="36"/>
                        </w:p>
                      </w:tc>
                    </w:tr>
                    <w:tr>
                      <w:trPr>
                        <w:trHeight w:val="81" w:hRule="atLeast"/>
                        <w:cantSplit w:val="true"/>
                      </w:trPr>
                      <w:tc>
                        <w:tcPr>
                          <w:tcW w:w="6227" w:type="dxa"/>
                          <w:gridSpan w:val="2"/>
                          <w:vMerge w:val="continue"/>
                          <w:tcBorders/>
                          <w:shd w:fill="auto" w:val="clear"/>
                        </w:tcPr>
                        <w:p>
                          <w:pPr>
                            <w:pStyle w:val="Normal"/>
                            <w:shd w:val="solid" w:color="FFFFFF" w:fill="FFFFFF"/>
                            <w:spacing w:before="0" w:after="240"/>
                            <w:ind w:left="1134" w:hanging="1134"/>
                            <w:rPr>
                              <w:rFonts w:ascii="Verdana" w:hAnsi="Verdana" w:cs="Verdana"/>
                              <w:sz w:val="20"/>
                              <w:szCs w:val="20"/>
                            </w:rPr>
                          </w:pPr>
                          <w:r>
                            <w:rPr>
                              <w:rFonts w:cs="Verdana" w:ascii="Verdana" w:hAnsi="Verdana"/>
                              <w:sz w:val="20"/>
                              <w:szCs w:val="20"/>
                            </w:rPr>
                          </w:r>
                          <w:bookmarkStart w:id="37" w:name="__UnoMark__109_2169495351"/>
                          <w:bookmarkStart w:id="38" w:name="__UnoMark__108_2169495351"/>
                          <w:bookmarkStart w:id="39" w:name="__UnoMark__109_2169495351"/>
                          <w:bookmarkStart w:id="40" w:name="__UnoMark__108_2169495351"/>
                          <w:bookmarkEnd w:id="39"/>
                          <w:bookmarkEnd w:id="40"/>
                        </w:p>
                      </w:tc>
                      <w:tc>
                        <w:tcPr>
                          <w:tcW w:w="3851" w:type="dxa"/>
                          <w:tcBorders/>
                          <w:shd w:fill="auto" w:val="clear"/>
                        </w:tcPr>
                        <w:p>
                          <w:pPr>
                            <w:pStyle w:val="Normal"/>
                            <w:shd w:val="solid" w:color="FFFFFF" w:fill="FFFFFF"/>
                            <w:spacing w:lineRule="atLeast" w:line="240" w:before="0" w:after="200"/>
                            <w:rPr/>
                          </w:pPr>
                          <w:r>
                            <w:rPr>
                              <w:rFonts w:cs="Times New Roman" w:ascii="Times New Roman" w:hAnsi="Times New Roman"/>
                              <w:b/>
                              <w:bCs/>
                              <w:sz w:val="28"/>
                              <w:szCs w:val="20"/>
                              <w:lang w:eastAsia="zh-CN"/>
                            </w:rPr>
                            <w:t>18</w:t>
                          </w:r>
                          <w:r>
                            <w:rPr>
                              <w:rFonts w:cs="Times New Roman" w:ascii="Times New Roman" w:hAnsi="Times New Roman"/>
                              <w:b/>
                              <w:bCs/>
                              <w:sz w:val="28"/>
                              <w:szCs w:val="20"/>
                              <w:vertAlign w:val="superscript"/>
                              <w:lang w:eastAsia="zh-CN"/>
                            </w:rPr>
                            <w:t>th</w:t>
                          </w:r>
                          <w:r>
                            <w:rPr>
                              <w:rFonts w:cs="Times New Roman" w:ascii="Times New Roman" w:hAnsi="Times New Roman"/>
                              <w:b/>
                              <w:bCs/>
                              <w:sz w:val="28"/>
                              <w:szCs w:val="20"/>
                              <w:lang w:eastAsia="zh-CN"/>
                            </w:rPr>
                            <w:t xml:space="preserve"> February</w:t>
                          </w:r>
                          <w:r>
                            <w:rPr>
                              <w:rFonts w:cs="Times New Roman" w:ascii="Times New Roman" w:hAnsi="Times New Roman"/>
                              <w:b/>
                              <w:bCs/>
                              <w:sz w:val="28"/>
                              <w:szCs w:val="20"/>
                              <w:lang w:eastAsia="zh-CN"/>
                            </w:rPr>
                            <w:t xml:space="preserve"> 2019</w:t>
                          </w:r>
                        </w:p>
                      </w:tc>
                    </w:tr>
                  </w:tbl>
                </w:txbxContent>
              </v:textbox>
              <w10:wrap type="squar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zh-CN"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Arial" w:asciiTheme="minorHAnsi" w:cstheme="minorBidi" w:eastAsiaTheme="minorHAnsi" w:hAnsiTheme="minorHAnsi"/>
        <w:sz w:val="22"/>
        <w:szCs w:val="22"/>
        <w:lang w:val="en-US"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76" w:before="0" w:after="200"/>
      <w:jc w:val="left"/>
    </w:pPr>
    <w:rPr>
      <w:rFonts w:ascii="Calibri" w:hAnsi="Calibri" w:eastAsia="Calibri" w:cs="Arial" w:asciiTheme="minorHAnsi" w:cstheme="minorBidi" w:eastAsiaTheme="minorHAnsi" w:hAnsiTheme="minorHAnsi"/>
      <w:color w:val="auto"/>
      <w:kern w:val="0"/>
      <w:sz w:val="22"/>
      <w:szCs w:val="22"/>
      <w:lang w:val="en-US" w:eastAsia="en-US" w:bidi="ar-SA"/>
    </w:rPr>
  </w:style>
  <w:style w:type="paragraph" w:styleId="Heading1">
    <w:name w:val="Heading 1"/>
    <w:basedOn w:val="Normal"/>
    <w:next w:val="Normal"/>
    <w:link w:val="Heading1Char"/>
    <w:uiPriority w:val="9"/>
    <w:qFormat/>
    <w:rsid w:val="00f8649f"/>
    <w:pPr>
      <w:keepNext w:val="true"/>
      <w:keepLines/>
      <w:spacing w:before="480" w:after="0"/>
      <w:outlineLvl w:val="0"/>
    </w:pPr>
    <w:rPr>
      <w:rFonts w:ascii="Cambria" w:hAnsi="Cambria" w:eastAsia="宋体" w:cs="Times New Roman" w:asciiTheme="majorHAnsi" w:cstheme="majorBidi" w:eastAsiaTheme="majorEastAsia" w:hAnsiTheme="majorHAns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val="true"/>
      <w:keepLines/>
      <w:spacing w:before="200" w:after="0"/>
      <w:outlineLvl w:val="1"/>
    </w:pPr>
    <w:rPr>
      <w:rFonts w:ascii="Cambria" w:hAnsi="Cambria" w:eastAsia="宋体" w:cs="Times New Roman" w:asciiTheme="majorHAnsi" w:cstheme="majorBidi" w:eastAsiaTheme="majorEastAsia" w:hAnsiTheme="majorHAns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val="true"/>
      <w:keepLines/>
      <w:spacing w:before="200" w:after="0"/>
      <w:outlineLvl w:val="2"/>
    </w:pPr>
    <w:rPr>
      <w:rFonts w:ascii="Cambria" w:hAnsi="Cambria" w:eastAsia="宋体" w:cs="Times New Roman" w:asciiTheme="majorHAnsi" w:cstheme="majorBidi" w:eastAsiaTheme="majorEastAsia" w:hAnsiTheme="majorHAnsi"/>
      <w:b/>
      <w:bCs/>
      <w:color w:val="4F81BD" w:themeColor="accent1"/>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ba350d"/>
    <w:rPr/>
  </w:style>
  <w:style w:type="character" w:styleId="FooterChar" w:customStyle="1">
    <w:name w:val="Footer Char"/>
    <w:basedOn w:val="DefaultParagraphFont"/>
    <w:link w:val="Footer"/>
    <w:uiPriority w:val="99"/>
    <w:qFormat/>
    <w:rsid w:val="00ba350d"/>
    <w:rPr/>
  </w:style>
  <w:style w:type="character" w:styleId="SourceChar" w:customStyle="1">
    <w:name w:val="Source Char"/>
    <w:link w:val="Source"/>
    <w:uiPriority w:val="99"/>
    <w:qFormat/>
    <w:locked/>
    <w:rsid w:val="00ba350d"/>
    <w:rPr>
      <w:rFonts w:ascii="Times New Roman" w:hAnsi="Times New Roman" w:eastAsia="Calibri" w:cs="Times New Roman"/>
      <w:b/>
      <w:bCs/>
      <w:sz w:val="28"/>
      <w:szCs w:val="28"/>
      <w:lang w:val="en-GB"/>
    </w:rPr>
  </w:style>
  <w:style w:type="character" w:styleId="FootnoteCharacters">
    <w:name w:val="Footnote Characters"/>
    <w:semiHidden/>
    <w:qFormat/>
    <w:rsid w:val="00ba350d"/>
    <w:rPr>
      <w:vertAlign w:val="superscript"/>
    </w:rPr>
  </w:style>
  <w:style w:type="character" w:styleId="FootnoteAnchor">
    <w:name w:val="Footnote Anchor"/>
    <w:rPr>
      <w:vertAlign w:val="superscript"/>
    </w:rPr>
  </w:style>
  <w:style w:type="character" w:styleId="Heading1Char" w:customStyle="1">
    <w:name w:val="Heading 1 Char"/>
    <w:basedOn w:val="DefaultParagraphFont"/>
    <w:link w:val="Heading1"/>
    <w:uiPriority w:val="9"/>
    <w:qFormat/>
    <w:rsid w:val="00f8649f"/>
    <w:rPr>
      <w:rFonts w:ascii="Cambria" w:hAnsi="Cambria" w:eastAsia="宋体" w:cs="Times New Roman" w:asciiTheme="majorHAnsi" w:cstheme="majorBidi" w:eastAsiaTheme="majorEastAsia" w:hAnsiTheme="majorHAnsi"/>
      <w:b/>
      <w:bCs/>
      <w:color w:val="365F91" w:themeColor="accent1" w:themeShade="bf"/>
      <w:sz w:val="28"/>
      <w:szCs w:val="28"/>
    </w:rPr>
  </w:style>
  <w:style w:type="character" w:styleId="Heading2Char" w:customStyle="1">
    <w:name w:val="Heading 2 Char"/>
    <w:basedOn w:val="DefaultParagraphFont"/>
    <w:link w:val="Heading2"/>
    <w:uiPriority w:val="9"/>
    <w:qFormat/>
    <w:rsid w:val="00f8649f"/>
    <w:rPr>
      <w:rFonts w:ascii="Cambria" w:hAnsi="Cambria" w:eastAsia="宋体" w:cs="Times New Roman" w:asciiTheme="majorHAnsi" w:cstheme="majorBidi" w:eastAsiaTheme="majorEastAsia" w:hAnsiTheme="majorHAnsi"/>
      <w:b/>
      <w:bCs/>
      <w:color w:val="4F81BD" w:themeColor="accent1"/>
      <w:sz w:val="26"/>
      <w:szCs w:val="26"/>
    </w:rPr>
  </w:style>
  <w:style w:type="character" w:styleId="Heading3Char" w:customStyle="1">
    <w:name w:val="Heading 3 Char"/>
    <w:basedOn w:val="DefaultParagraphFont"/>
    <w:link w:val="Heading3"/>
    <w:uiPriority w:val="9"/>
    <w:qFormat/>
    <w:rsid w:val="00f8649f"/>
    <w:rPr>
      <w:rFonts w:ascii="Cambria" w:hAnsi="Cambria" w:eastAsia="宋体" w:cs="Times New Roman" w:asciiTheme="majorHAnsi" w:cstheme="majorBidi" w:eastAsiaTheme="majorEastAsia" w:hAnsiTheme="majorHAnsi"/>
      <w:b/>
      <w:bCs/>
      <w:color w:val="4F81BD" w:themeColor="accent1"/>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InternetLink">
    <w:name w:val="Internet Link"/>
    <w:rPr>
      <w:color w:val="000080"/>
      <w:u w:val="single"/>
      <w:lang w:val="zxx" w:eastAsia="zxx" w:bidi="zxx"/>
    </w:rPr>
  </w:style>
  <w:style w:type="paragraph" w:styleId="Heading">
    <w:name w:val="Heading"/>
    <w:basedOn w:val="Normal"/>
    <w:next w:val="TextBody"/>
    <w:qFormat/>
    <w:pPr>
      <w:keepNext w:val="true"/>
      <w:spacing w:before="240" w:after="120"/>
    </w:pPr>
    <w:rPr>
      <w:rFonts w:ascii="Liberation Sans" w:hAnsi="Liberation Sans" w:eastAsia="Source Han Sans CN Regular" w:cs="Lohit Devanagar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ListParagraph">
    <w:name w:val="List Paragraph"/>
    <w:basedOn w:val="Normal"/>
    <w:uiPriority w:val="34"/>
    <w:qFormat/>
    <w:rsid w:val="008c157e"/>
    <w:pPr>
      <w:spacing w:before="0" w:after="200"/>
      <w:ind w:left="720" w:hanging="0"/>
      <w:contextualSpacing/>
    </w:pPr>
    <w:rPr/>
  </w:style>
  <w:style w:type="paragraph" w:styleId="Header">
    <w:name w:val="Header"/>
    <w:basedOn w:val="Normal"/>
    <w:link w:val="HeaderChar"/>
    <w:uiPriority w:val="99"/>
    <w:unhideWhenUsed/>
    <w:rsid w:val="00ba350d"/>
    <w:pPr>
      <w:tabs>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ba350d"/>
    <w:pPr>
      <w:tabs>
        <w:tab w:val="center" w:pos="4680" w:leader="none"/>
        <w:tab w:val="right" w:pos="9360" w:leader="none"/>
      </w:tabs>
      <w:spacing w:lineRule="auto" w:line="240" w:before="0" w:after="0"/>
    </w:pPr>
    <w:rPr/>
  </w:style>
  <w:style w:type="paragraph" w:styleId="RepNo" w:customStyle="1">
    <w:name w:val="Rep_No"/>
    <w:basedOn w:val="Normal"/>
    <w:uiPriority w:val="99"/>
    <w:qFormat/>
    <w:rsid w:val="00ba350d"/>
    <w:pPr>
      <w:keepNext w:val="true"/>
      <w:keepLines/>
      <w:tabs>
        <w:tab w:val="left" w:pos="1134" w:leader="none"/>
        <w:tab w:val="left" w:pos="1871" w:leader="none"/>
        <w:tab w:val="left" w:pos="2268" w:leader="none"/>
      </w:tabs>
      <w:overflowPunct w:val="true"/>
      <w:spacing w:lineRule="auto" w:line="240" w:before="480" w:after="0"/>
      <w:jc w:val="center"/>
      <w:textAlignment w:val="baseline"/>
    </w:pPr>
    <w:rPr>
      <w:rFonts w:ascii="Times New Roman" w:hAnsi="Times New Roman" w:eastAsia="Calibri" w:cs="Times New Roman"/>
      <w:caps/>
      <w:sz w:val="28"/>
      <w:szCs w:val="28"/>
      <w:lang w:val="en-GB"/>
    </w:rPr>
  </w:style>
  <w:style w:type="paragraph" w:styleId="Reptitle" w:customStyle="1">
    <w:name w:val="Rep_title"/>
    <w:basedOn w:val="Normal"/>
    <w:next w:val="Normal"/>
    <w:uiPriority w:val="99"/>
    <w:qFormat/>
    <w:rsid w:val="00ba350d"/>
    <w:pPr>
      <w:keepNext w:val="true"/>
      <w:keepLines/>
      <w:tabs>
        <w:tab w:val="left" w:pos="1134" w:leader="none"/>
        <w:tab w:val="left" w:pos="1871" w:leader="none"/>
        <w:tab w:val="left" w:pos="2268" w:leader="none"/>
      </w:tabs>
      <w:overflowPunct w:val="true"/>
      <w:spacing w:lineRule="auto" w:line="240" w:before="240" w:after="0"/>
      <w:jc w:val="center"/>
      <w:textAlignment w:val="baseline"/>
    </w:pPr>
    <w:rPr>
      <w:rFonts w:ascii="Times New Roman Bold" w:hAnsi="Times New Roman Bold" w:eastAsia="Calibri" w:cs="Times New Roman Bold"/>
      <w:b/>
      <w:bCs/>
      <w:sz w:val="28"/>
      <w:szCs w:val="28"/>
      <w:lang w:val="en-GB"/>
    </w:rPr>
  </w:style>
  <w:style w:type="paragraph" w:styleId="Source" w:customStyle="1">
    <w:name w:val="Source"/>
    <w:basedOn w:val="Normal"/>
    <w:next w:val="Normal"/>
    <w:link w:val="SourceChar"/>
    <w:uiPriority w:val="99"/>
    <w:qFormat/>
    <w:rsid w:val="00ba350d"/>
    <w:pPr>
      <w:tabs>
        <w:tab w:val="left" w:pos="1134" w:leader="none"/>
        <w:tab w:val="left" w:pos="1871" w:leader="none"/>
        <w:tab w:val="left" w:pos="2268" w:leader="none"/>
      </w:tabs>
      <w:overflowPunct w:val="true"/>
      <w:spacing w:lineRule="auto" w:line="240" w:before="840" w:after="0"/>
      <w:jc w:val="center"/>
      <w:textAlignment w:val="baseline"/>
    </w:pPr>
    <w:rPr>
      <w:rFonts w:ascii="Times New Roman" w:hAnsi="Times New Roman" w:eastAsia="Calibri" w:cs="Times New Roman"/>
      <w:b/>
      <w:bCs/>
      <w:sz w:val="28"/>
      <w:szCs w:val="28"/>
      <w:lang w:val="en-GB"/>
    </w:rPr>
  </w:style>
  <w:style w:type="paragraph" w:styleId="FrameContents">
    <w:name w:val="Frame Contents"/>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docs.opengeospatial.org/DRAFTS/19-002.html" TargetMode="Externa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_rels/header2.xml.rels><?xml version="1.0" encoding="UTF-8"?>
<Relationships xmlns="http://schemas.openxmlformats.org/package/2006/relationships"><Relationship Id="rId1" Type="http://schemas.openxmlformats.org/officeDocument/2006/relationships/oleObject" Target="embeddings/oleObject1.bin"/><Relationship Id="rId2" Type="http://schemas.openxmlformats.org/officeDocument/2006/relationships/image" Target="media/image1.emf"/><Relationship Id="rId3" Type="http://schemas.openxmlformats.org/officeDocument/2006/relationships/oleObject" Target="embeddings/oleObject2.bin"/><Relationship Id="rId4" Type="http://schemas.openxmlformats.org/officeDocument/2006/relationships/image" Target="media/image2.e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36267C-E138-4F4D-B8E9-5520C0473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IPET-DD-1-AI(xx)-template</Template>
  <TotalTime>9</TotalTime>
  <Application>LibreOffice/6.0.3.2$Linux_X86_64 LibreOffice_project/00$Build-2</Application>
  <Pages>2</Pages>
  <Words>615</Words>
  <Characters>3374</Characters>
  <CharactersWithSpaces>3925</CharactersWithSpaces>
  <Paragraphs>46</Paragraphs>
  <Company>WMO</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2019-02-18T11:31:14Z</dcterms:created>
  <dc:creator/>
  <dc:description/>
  <dc:language>en-GB</dc:language>
  <cp:lastModifiedBy/>
  <dcterms:modified xsi:type="dcterms:W3CDTF">2019-02-18T12:00:53Z</dcterms:modified>
  <cp:revision>5</cp:revision>
  <dc:subject>Agenda Item xx</dc:subject>
  <dc:title>TT-GISC2018</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WMO</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