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mbeddings/oleObject2.bin" ContentType="application/vnd.openxmlformats-officedocument.oleObject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2.emf" ContentType="image/x-emf"/>
  <Override PartName="/word/media/image1.emf" ContentType="image/x-emf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480" w:after="0"/>
        <w:rPr/>
      </w:pPr>
      <w:r>
        <w:rPr/>
        <w:t>WMO Codes Registry Service</w:t>
      </w:r>
    </w:p>
    <w:p>
      <w:pPr>
        <w:pStyle w:val="Heading2"/>
        <w:rPr/>
      </w:pPr>
      <w:r>
        <w:rPr/>
        <w:t>Capability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The Met Office in the UK host the WMO codes registry service on behalf of the WMO</w:t>
      </w:r>
    </w:p>
    <w:p>
      <w:pPr>
        <w:pStyle w:val="ListParagraph"/>
        <w:numPr>
          <w:ilvl w:val="1"/>
          <w:numId w:val="1"/>
        </w:numPr>
        <w:rPr/>
      </w:pPr>
      <w:hyperlink r:id="rId2">
        <w:r>
          <w:rPr>
            <w:rStyle w:val="InternetLink"/>
            <w:rFonts w:cs="Times New Roman" w:ascii="Times New Roman" w:hAnsi="Times New Roman"/>
            <w:sz w:val="24"/>
            <w:szCs w:val="24"/>
          </w:rPr>
          <w:t>http://codes.wmo.int</w:t>
        </w:r>
      </w:hyperlink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The codes registry service provides machine and human access to individual elements published within WMO publications – entities.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The codes registry publishes content using the W3 standard Resource Description Framework (RDF) [1].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This enables rich machine to machine interface capabilities.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Through RDF, the registry supports multi-lingual information representation.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Each published entity has an identity, within the codes.wmo.int name space.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Direct access and identification of every published entity is provided.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Flexible information about entities is published.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Entity history and status are published.</w:t>
      </w:r>
    </w:p>
    <w:p>
      <w:pPr>
        <w:pStyle w:val="Heading2"/>
        <w:rPr/>
      </w:pPr>
      <w:r>
        <w:rPr/>
        <w:t>Current Status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The WMO owns all of the content on the service, and is responsible for the validity and suitability of the content.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Content on the service is very partial, compared to WMO publications.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Delivery to date has focused on delivering targeted capabilities, including: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vocabularies supporting IWXXM aviation XML;</w:t>
      </w:r>
    </w:p>
    <w:p>
      <w:pPr>
        <w:pStyle w:val="ListParagraph"/>
        <w:numPr>
          <w:ilvl w:val="1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vocabularies supporting third party metadata translation tools:</w:t>
      </w:r>
    </w:p>
    <w:p>
      <w:pPr>
        <w:pStyle w:val="ListParagraph"/>
        <w:numPr>
          <w:ilvl w:val="2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including GRIB parameter code to CF standard name translation.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Content is being managed through WMO secretariat and github resources.</w:t>
      </w:r>
    </w:p>
    <w:p>
      <w:pPr>
        <w:pStyle w:val="ListParagraph"/>
        <w:numPr>
          <w:ilvl w:val="0"/>
          <w:numId w:val="1"/>
        </w:numPr>
        <w:rPr/>
      </w:pPr>
      <w:r>
        <w:rPr>
          <w:rFonts w:cs="Times New Roman" w:ascii="Times New Roman" w:hAnsi="Times New Roman"/>
          <w:sz w:val="24"/>
          <w:szCs w:val="24"/>
        </w:rPr>
        <w:t>This content management workflow is a key discussion topic for the Expert Team.</w:t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ing2"/>
        <w:rPr/>
      </w:pPr>
      <w:r>
        <w:rPr/>
        <w:t>References</w:t>
      </w:r>
    </w:p>
    <w:p>
      <w:pPr>
        <w:pStyle w:val="Normal"/>
        <w:ind w:left="360" w:hanging="0"/>
        <w:rPr/>
      </w:pPr>
      <w:r>
        <w:rPr>
          <w:rFonts w:cs="Times New Roman" w:ascii="Times New Roman" w:hAnsi="Times New Roman"/>
          <w:sz w:val="24"/>
          <w:szCs w:val="24"/>
        </w:rPr>
        <w:t xml:space="preserve">[1] </w:t>
      </w:r>
      <w:hyperlink r:id="rId3">
        <w:r>
          <w:rPr>
            <w:rStyle w:val="InternetLink"/>
            <w:rFonts w:cs="Times New Roman" w:ascii="Times New Roman" w:hAnsi="Times New Roman"/>
            <w:sz w:val="24"/>
            <w:szCs w:val="24"/>
          </w:rPr>
          <w:t>https://www.w3.org/RDF/</w:t>
        </w:r>
      </w:hyperlink>
    </w:p>
    <w:p>
      <w:pPr>
        <w:pStyle w:val="Heading2"/>
        <w:rPr/>
      </w:pPr>
      <w:r>
        <w:rPr/>
        <w:t xml:space="preserve">Recommended Text </w:t>
      </w:r>
    </w:p>
    <w:p>
      <w:pPr>
        <w:pStyle w:val="Normal"/>
        <w:rPr>
          <w:rFonts w:ascii="Calibri" w:hAnsi="Calibri" w:eastAsia="Calibri" w:cs="Arial" w:asciiTheme="minorHAnsi" w:cstheme="minorBidi" w:eastAsiaTheme="minorHAnsi" w:hAnsiTheme="minorHAnsi"/>
        </w:rPr>
      </w:pPr>
      <w:r>
        <w:rPr>
          <w:rFonts w:cs="Times New Roman" w:ascii="Times New Roman" w:hAnsi="Times New Roman"/>
          <w:sz w:val="24"/>
          <w:szCs w:val="24"/>
        </w:rPr>
        <w:t>None Applicable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--------------------</w:t>
      </w:r>
    </w:p>
    <w:sectPr>
      <w:headerReference w:type="default" r:id="rId4"/>
      <w:headerReference w:type="first" r:id="rId5"/>
      <w:type w:val="nextPage"/>
      <w:pgSz w:w="12240" w:h="15840"/>
      <w:pgMar w:left="1440" w:right="1440" w:header="720" w:top="1440" w:footer="0" w:bottom="1440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 Bold">
    <w:charset w:val="01"/>
    <w:family w:val="roman"/>
    <w:pitch w:val="variable"/>
  </w:font>
  <w:font w:name="Verdana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20529923"/>
    </w:sdtPr>
    <w:sdtContent>
      <w:p>
        <w:pPr>
          <w:pStyle w:val="Header"/>
          <w:jc w:val="center"/>
          <w:rPr/>
        </w:pPr>
        <w:r>
          <w:rPr/>
          <w:t xml:space="preserve">Agenda Item. </w:t>
        </w:r>
        <w:r>
          <w:rPr>
            <w:highlight w:val="yellow"/>
          </w:rPr>
          <w:t>[XX]</w:t>
        </w:r>
        <w:r>
          <w:rPr/>
          <w:t xml:space="preserve"> (Page </w:t>
        </w: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  <w:r>
          <w:rPr/>
          <w:t>)</w:t>
        </w:r>
      </w:p>
      <w:p>
        <w:pPr>
          <w:pStyle w:val="Header"/>
          <w:rPr/>
        </w:pPr>
        <w:r>
          <w:rPr/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margin">
                <wp:posOffset>-68580</wp:posOffset>
              </wp:positionH>
              <wp:positionV relativeFrom="margin">
                <wp:posOffset>-179705</wp:posOffset>
              </wp:positionV>
              <wp:extent cx="6402070" cy="2349500"/>
              <wp:effectExtent l="0" t="0" r="0" b="0"/>
              <wp:wrapSquare wrapText="bothSides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1520" cy="2349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tbl>
                          <w:tblPr>
                            <w:tblW w:w="10079" w:type="dxa"/>
                            <w:jc w:val="left"/>
                            <w:tblInd w:w="108" w:type="dxa"/>
                            <w:tblBorders/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  <w:tblLook w:noVBand="0" w:val="0000" w:noHBand="0" w:lastColumn="0" w:firstColumn="0" w:lastRow="0" w:firstRow="0"/>
                          </w:tblPr>
                          <w:tblGrid>
                            <w:gridCol w:w="4547"/>
                            <w:gridCol w:w="1680"/>
                            <w:gridCol w:w="3851"/>
                          </w:tblGrid>
                          <w:tr>
                            <w:trPr>
                              <w:trHeight w:val="1438" w:hRule="atLeast"/>
                              <w:cantSplit w:val="true"/>
                            </w:trPr>
                            <w:tc>
                              <w:tcPr>
                                <w:tcW w:w="4547" w:type="dxa"/>
                                <w:tcBorders/>
                                <w:shd w:fill="auto" w:val="clear"/>
                                <w:vAlign w:val="center"/>
                              </w:tcPr>
                              <w:p>
                                <w:pPr>
                                  <w:pStyle w:val="Normal"/>
                                  <w:numPr>
                                    <w:ilvl w:val="0"/>
                                    <w:numId w:val="0"/>
                                  </w:numPr>
                                  <w:shd w:val="clear" w:color="auto" w:fill="FFFFFF"/>
                                  <w:spacing w:before="0" w:after="180"/>
                                  <w:jc w:val="center"/>
                                  <w:outlineLvl w:val="1"/>
                                  <w:rPr/>
                                </w:pP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COMMISSION FOR BASIC SYSTEMS</w:t>
                                </w:r>
                                <w:bookmarkStart w:id="0" w:name="__UnoMark__243_2555108334"/>
                                <w:bookmarkStart w:id="1" w:name="ditulogo1"/>
                                <w:bookmarkEnd w:id="0"/>
                                <w:bookmarkEnd w:id="1"/>
                              </w:p>
                            </w:tc>
                            <w:tc>
                              <w:tcPr>
                                <w:tcW w:w="5531" w:type="dxa"/>
                                <w:gridSpan w:val="2"/>
                                <w:tcBorders/>
                                <w:shd w:fill="auto" w:val="clear"/>
                                <w:tcMar>
                                  <w:left w:w="6" w:type="dxa"/>
                                  <w:right w:w="6" w:type="dxa"/>
                                </w:tcMar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240" w:after="0"/>
                                  <w:rPr/>
                                </w:pPr>
                                <w:bookmarkStart w:id="2" w:name="__UnoMark__245_2555108334"/>
                                <w:bookmarkEnd w:id="2"/>
                                <w:r>
                                  <w:rPr/>
                                  <w:object>
                                    <v:shape id="ole_rId1" style="width:274.5pt;height:56.25pt" o:ole="">
                                      <v:imagedata r:id="rId2" o:title=""/>
                                    </v:shape>
                                    <o:OLEObject Type="Embed" ProgID="" ShapeID="ole_rId1" DrawAspect="Content" ObjectID="_1504792381" r:id="rId1"/>
                                  </w:object>
                                </w:r>
                                <w:bookmarkStart w:id="3" w:name="__UnoMark__246_2555108334"/>
                                <w:bookmarkEnd w:id="3"/>
                              </w:p>
                            </w:tc>
                          </w:tr>
                          <w:tr>
                            <w:trPr>
                              <w:cantSplit w:val="true"/>
                            </w:trPr>
                            <w:tc>
                              <w:tcPr>
                                <w:tcW w:w="6227" w:type="dxa"/>
                                <w:gridSpan w:val="2"/>
                                <w:tcBorders>
                                  <w:top w:val="single" w:sz="12" w:space="0" w:color="00000A"/>
                                </w:tcBorders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48"/>
                                  <w:rPr>
                                    <w:rFonts w:ascii="Verdana" w:hAnsi="Verdana" w:cs="Verdana"/>
                                  </w:rPr>
                                </w:pPr>
                                <w:r>
                                  <w:rPr>
                                    <w:rFonts w:cs="Verdana" w:ascii="Verdana" w:hAnsi="Verdana"/>
                                  </w:rPr>
                                </w:r>
                                <w:bookmarkStart w:id="4" w:name="__UnoMark__247_2555108334"/>
                                <w:bookmarkStart w:id="5" w:name="__UnoMark__248_2555108334"/>
                                <w:bookmarkStart w:id="6" w:name="__UnoMark__247_2555108334"/>
                                <w:bookmarkStart w:id="7" w:name="__UnoMark__248_2555108334"/>
                                <w:bookmarkEnd w:id="6"/>
                                <w:bookmarkEnd w:id="7"/>
                              </w:p>
                            </w:tc>
                            <w:tc>
                              <w:tcPr>
                                <w:tcW w:w="3851" w:type="dxa"/>
                                <w:tcBorders>
                                  <w:top w:val="single" w:sz="12" w:space="0" w:color="00000A"/>
                                </w:tcBorders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0" w:after="48"/>
                                  <w:rPr/>
                                </w:pPr>
                                <w:r>
                                  <w:rPr/>
                                </w:r>
                                <w:bookmarkStart w:id="8" w:name="__UnoMark__249_2555108334"/>
                                <w:bookmarkStart w:id="9" w:name="__UnoMark__250_2555108334"/>
                                <w:bookmarkStart w:id="10" w:name="__UnoMark__249_2555108334"/>
                                <w:bookmarkStart w:id="11" w:name="__UnoMark__250_2555108334"/>
                                <w:bookmarkEnd w:id="10"/>
                                <w:bookmarkEnd w:id="11"/>
                              </w:p>
                            </w:tc>
                          </w:tr>
                          <w:tr>
                            <w:trPr>
                              <w:trHeight w:val="312" w:hRule="atLeast"/>
                              <w:cantSplit w:val="true"/>
                            </w:trPr>
                            <w:tc>
                              <w:tcPr>
                                <w:tcW w:w="6227" w:type="dxa"/>
                                <w:gridSpan w:val="2"/>
                                <w:vMerge w:val="restart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240"/>
                                  <w:ind w:firstLine="36"/>
                                  <w:rPr/>
                                </w:pPr>
                                <w:bookmarkStart w:id="12" w:name="__UnoMark__251_2555108334"/>
                                <w:bookmarkEnd w:id="12"/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</w:rPr>
                                  <w:t>Inter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  <w:lang w:val="fr-CH"/>
                                  </w:rPr>
                                  <w:t xml:space="preserve">-Program 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</w:rPr>
                                  <w:t>Expert Team on Data Representation Development  (IPET-DD)</w:t>
                                  <w:br/>
                                  <w:t>Zagreb, Croatia 18-20 February 2019</w:t>
                                </w:r>
                              </w:p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240"/>
                                  <w:ind w:left="1134" w:hanging="1134"/>
                                  <w:rPr/>
                                </w:pP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sz w:val="28"/>
                                    <w:szCs w:val="20"/>
                                  </w:rPr>
                                  <w:t>Submitted by: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sz w:val="28"/>
                                    <w:szCs w:val="20"/>
                                  </w:rPr>
                                  <w:t xml:space="preserve"> </w:t>
                                </w:r>
                                <w:bookmarkStart w:id="13" w:name="__UnoMark__252_2555108334"/>
                                <w:bookmarkEnd w:id="13"/>
                                <w:r>
                                  <w:rPr>
                                    <w:rFonts w:cs="Times New Roman" w:ascii="Times New Roman" w:hAnsi="Times New Roman"/>
                                    <w:sz w:val="28"/>
                                    <w:szCs w:val="20"/>
                                  </w:rPr>
                                  <w:t>Mark Hedley, Met Office, UK</w:t>
                                </w:r>
                              </w:p>
                            </w:tc>
                            <w:tc>
                              <w:tcPr>
                                <w:tcW w:w="3851" w:type="dxa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0" w:after="200"/>
                                  <w:rPr/>
                                </w:pPr>
                                <w:bookmarkStart w:id="14" w:name="__UnoMark__253_2555108334"/>
                                <w:bookmarkEnd w:id="14"/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lang w:eastAsia="zh-CN"/>
                                  </w:rPr>
                                  <w:t>IPET-DD-1</w:t>
                                  <w:br/>
                                  <w:t>Agenda Item [xx]</w:t>
                                </w:r>
                                <w:bookmarkStart w:id="15" w:name="__UnoMark__254_2555108334"/>
                                <w:bookmarkEnd w:id="15"/>
                              </w:p>
                            </w:tc>
                          </w:tr>
                          <w:tr>
                            <w:trPr>
                              <w:trHeight w:val="81" w:hRule="atLeast"/>
                              <w:cantSplit w:val="true"/>
                            </w:trPr>
                            <w:tc>
                              <w:tcPr>
                                <w:tcW w:w="6227" w:type="dxa"/>
                                <w:gridSpan w:val="2"/>
                                <w:vMerge w:val="continue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before="0" w:after="240"/>
                                  <w:ind w:left="1134" w:hanging="1134"/>
                                  <w:rPr>
                                    <w:rFonts w:ascii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cs="Verdana" w:ascii="Verdana" w:hAnsi="Verdana"/>
                                    <w:sz w:val="20"/>
                                    <w:szCs w:val="20"/>
                                  </w:rPr>
                                </w:r>
                                <w:bookmarkStart w:id="16" w:name="__UnoMark__255_2555108334"/>
                                <w:bookmarkStart w:id="17" w:name="__UnoMark__256_2555108334"/>
                                <w:bookmarkStart w:id="18" w:name="__UnoMark__255_2555108334"/>
                                <w:bookmarkStart w:id="19" w:name="__UnoMark__256_2555108334"/>
                                <w:bookmarkEnd w:id="18"/>
                                <w:bookmarkEnd w:id="19"/>
                              </w:p>
                            </w:tc>
                            <w:tc>
                              <w:tcPr>
                                <w:tcW w:w="3851" w:type="dxa"/>
                                <w:tcBorders/>
                                <w:shd w:fill="auto" w:val="clear"/>
                              </w:tcPr>
                              <w:p>
                                <w:pPr>
                                  <w:pStyle w:val="Normal"/>
                                  <w:shd w:val="solid" w:color="FFFFFF" w:fill="FFFFFF"/>
                                  <w:spacing w:lineRule="atLeast" w:line="240" w:before="0" w:after="200"/>
                                  <w:rPr/>
                                </w:pP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lang w:eastAsia="zh-CN"/>
                                  </w:rPr>
                                  <w:t>11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vertAlign w:val="superscript"/>
                                    <w:lang w:eastAsia="zh-CN"/>
                                  </w:rPr>
                                  <w:t>th</w:t>
                                </w:r>
                                <w:r>
                                  <w:rPr>
                                    <w:rFonts w:cs="Times New Roman" w:ascii="Times New Roman" w:hAnsi="Times New Roman"/>
                                    <w:b/>
                                    <w:bCs/>
                                    <w:sz w:val="28"/>
                                    <w:szCs w:val="20"/>
                                    <w:lang w:eastAsia="zh-CN"/>
                                  </w:rPr>
                                  <w:t xml:space="preserve"> February 2019</w:t>
                                </w:r>
                              </w:p>
                            </w:tc>
                          </w:tr>
                        </w:tbl>
                      </w:txbxContent>
                    </wps:txbx>
                    <wps:bodyPr lIns="90000" rIns="90000" tIns="45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1" stroked="f" style="position:absolute;margin-left:-5.4pt;margin-top:-14.15pt;width:504pt;height:184.9pt;mso-position-horizontal-relative:margin;mso-position-vertical-relative:margin">
              <w10:wrap type="none"/>
              <v:fill o:detectmouseclick="t" on="false"/>
              <v:stroke color="#3465a4" joinstyle="round" endcap="flat"/>
              <v:textbox>
                <w:txbxContent>
                  <w:tbl>
                    <w:tblPr>
                      <w:tblW w:w="10079" w:type="dxa"/>
                      <w:jc w:val="left"/>
                      <w:tblInd w:w="108" w:type="dxa"/>
                      <w:tblBorders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noVBand="0" w:val="0000" w:noHBand="0" w:lastColumn="0" w:firstColumn="0" w:lastRow="0" w:firstRow="0"/>
                    </w:tblPr>
                    <w:tblGrid>
                      <w:gridCol w:w="4547"/>
                      <w:gridCol w:w="1680"/>
                      <w:gridCol w:w="3851"/>
                    </w:tblGrid>
                    <w:tr>
                      <w:trPr>
                        <w:trHeight w:val="1438" w:hRule="atLeast"/>
                        <w:cantSplit w:val="true"/>
                      </w:trPr>
                      <w:tc>
                        <w:tcPr>
                          <w:tcW w:w="4547" w:type="dxa"/>
                          <w:tcBorders/>
                          <w:shd w:fill="auto" w:val="clear"/>
                          <w:vAlign w:val="center"/>
                        </w:tcPr>
                        <w:p>
                          <w:pPr>
                            <w:pStyle w:val="Normal"/>
                            <w:numPr>
                              <w:ilvl w:val="0"/>
                              <w:numId w:val="0"/>
                            </w:numPr>
                            <w:shd w:val="clear" w:color="auto" w:fill="FFFFFF"/>
                            <w:spacing w:before="0" w:after="180"/>
                            <w:jc w:val="center"/>
                            <w:outlineLvl w:val="1"/>
                            <w:rPr/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8"/>
                            </w:rPr>
                            <w:t>COMMISSION FOR BASIC SYSTEMS</w:t>
                          </w:r>
                          <w:bookmarkStart w:id="20" w:name="__UnoMark__243_2555108334"/>
                          <w:bookmarkStart w:id="21" w:name="ditulogo1"/>
                          <w:bookmarkEnd w:id="20"/>
                          <w:bookmarkEnd w:id="21"/>
                        </w:p>
                      </w:tc>
                      <w:tc>
                        <w:tcPr>
                          <w:tcW w:w="5531" w:type="dxa"/>
                          <w:gridSpan w:val="2"/>
                          <w:tcBorders/>
                          <w:shd w:fill="auto" w:val="clear"/>
                          <w:tcMar>
                            <w:left w:w="6" w:type="dxa"/>
                            <w:right w:w="6" w:type="dxa"/>
                          </w:tcMar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240" w:after="0"/>
                            <w:rPr/>
                          </w:pPr>
                          <w:bookmarkStart w:id="22" w:name="__UnoMark__245_2555108334"/>
                          <w:bookmarkEnd w:id="22"/>
                          <w:r>
                            <w:rPr/>
                            <w:object>
                              <v:shape id="ole_rId3" style="width:274.5pt;height:56.25pt" o:ole="">
                                <v:imagedata r:id="rId4" o:title=""/>
                              </v:shape>
                              <o:OLEObject Type="Embed" ProgID="" ShapeID="ole_rId3" DrawAspect="Content" ObjectID="_300698214" r:id="rId3"/>
                            </w:object>
                          </w:r>
                          <w:bookmarkStart w:id="23" w:name="__UnoMark__246_2555108334"/>
                          <w:bookmarkEnd w:id="23"/>
                        </w:p>
                      </w:tc>
                    </w:tr>
                    <w:tr>
                      <w:trPr>
                        <w:cantSplit w:val="true"/>
                      </w:trPr>
                      <w:tc>
                        <w:tcPr>
                          <w:tcW w:w="6227" w:type="dxa"/>
                          <w:gridSpan w:val="2"/>
                          <w:tcBorders>
                            <w:top w:val="single" w:sz="12" w:space="0" w:color="00000A"/>
                          </w:tcBorders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before="0" w:after="48"/>
                            <w:rPr>
                              <w:rFonts w:ascii="Verdana" w:hAnsi="Verdana" w:cs="Verdana"/>
                            </w:rPr>
                          </w:pPr>
                          <w:r>
                            <w:rPr>
                              <w:rFonts w:cs="Verdana" w:ascii="Verdana" w:hAnsi="Verdana"/>
                            </w:rPr>
                          </w:r>
                          <w:bookmarkStart w:id="24" w:name="__UnoMark__247_2555108334"/>
                          <w:bookmarkStart w:id="25" w:name="__UnoMark__248_2555108334"/>
                          <w:bookmarkStart w:id="26" w:name="__UnoMark__247_2555108334"/>
                          <w:bookmarkStart w:id="27" w:name="__UnoMark__248_2555108334"/>
                          <w:bookmarkEnd w:id="26"/>
                          <w:bookmarkEnd w:id="27"/>
                        </w:p>
                      </w:tc>
                      <w:tc>
                        <w:tcPr>
                          <w:tcW w:w="3851" w:type="dxa"/>
                          <w:tcBorders>
                            <w:top w:val="single" w:sz="12" w:space="0" w:color="00000A"/>
                          </w:tcBorders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0" w:after="48"/>
                            <w:rPr/>
                          </w:pPr>
                          <w:r>
                            <w:rPr/>
                          </w:r>
                          <w:bookmarkStart w:id="28" w:name="__UnoMark__249_2555108334"/>
                          <w:bookmarkStart w:id="29" w:name="__UnoMark__250_2555108334"/>
                          <w:bookmarkStart w:id="30" w:name="__UnoMark__249_2555108334"/>
                          <w:bookmarkStart w:id="31" w:name="__UnoMark__250_2555108334"/>
                          <w:bookmarkEnd w:id="30"/>
                          <w:bookmarkEnd w:id="31"/>
                        </w:p>
                      </w:tc>
                    </w:tr>
                    <w:tr>
                      <w:trPr>
                        <w:trHeight w:val="312" w:hRule="atLeast"/>
                        <w:cantSplit w:val="true"/>
                      </w:trPr>
                      <w:tc>
                        <w:tcPr>
                          <w:tcW w:w="6227" w:type="dxa"/>
                          <w:gridSpan w:val="2"/>
                          <w:vMerge w:val="restart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before="0" w:after="240"/>
                            <w:ind w:firstLine="36"/>
                            <w:rPr/>
                          </w:pPr>
                          <w:bookmarkStart w:id="32" w:name="__UnoMark__251_2555108334"/>
                          <w:bookmarkEnd w:id="32"/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</w:rPr>
                            <w:t>Inter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  <w:lang w:val="fr-CH"/>
                            </w:rPr>
                            <w:t xml:space="preserve">-Program 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</w:rPr>
                            <w:t>Expert Team on Data Representation Development  (IPET-DD)</w:t>
                            <w:br/>
                            <w:t>Zagreb, Croatia 18-20 February 2019</w:t>
                          </w:r>
                        </w:p>
                        <w:p>
                          <w:pPr>
                            <w:pStyle w:val="Normal"/>
                            <w:shd w:val="solid" w:color="FFFFFF" w:fill="FFFFFF"/>
                            <w:spacing w:before="0" w:after="240"/>
                            <w:ind w:left="1134" w:hanging="1134"/>
                            <w:rPr/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sz w:val="28"/>
                              <w:szCs w:val="20"/>
                            </w:rPr>
                            <w:t>Submitted by:</w:t>
                          </w:r>
                          <w:r>
                            <w:rPr>
                              <w:rFonts w:cs="Times New Roman" w:ascii="Times New Roman" w:hAnsi="Times New Roman"/>
                              <w:sz w:val="28"/>
                              <w:szCs w:val="20"/>
                            </w:rPr>
                            <w:t xml:space="preserve"> </w:t>
                          </w:r>
                          <w:bookmarkStart w:id="33" w:name="__UnoMark__252_2555108334"/>
                          <w:bookmarkEnd w:id="33"/>
                          <w:r>
                            <w:rPr>
                              <w:rFonts w:cs="Times New Roman" w:ascii="Times New Roman" w:hAnsi="Times New Roman"/>
                              <w:sz w:val="28"/>
                              <w:szCs w:val="20"/>
                            </w:rPr>
                            <w:t>Mark Hedley, Met Office, UK</w:t>
                          </w:r>
                        </w:p>
                      </w:tc>
                      <w:tc>
                        <w:tcPr>
                          <w:tcW w:w="3851" w:type="dxa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0" w:after="200"/>
                            <w:rPr/>
                          </w:pPr>
                          <w:bookmarkStart w:id="34" w:name="__UnoMark__253_2555108334"/>
                          <w:bookmarkEnd w:id="34"/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lang w:eastAsia="zh-CN"/>
                            </w:rPr>
                            <w:t>IPET-DD-1</w:t>
                            <w:br/>
                            <w:t>Agenda Item [xx]</w:t>
                          </w:r>
                          <w:bookmarkStart w:id="35" w:name="__UnoMark__254_2555108334"/>
                          <w:bookmarkEnd w:id="35"/>
                        </w:p>
                      </w:tc>
                    </w:tr>
                    <w:tr>
                      <w:trPr>
                        <w:trHeight w:val="81" w:hRule="atLeast"/>
                        <w:cantSplit w:val="true"/>
                      </w:trPr>
                      <w:tc>
                        <w:tcPr>
                          <w:tcW w:w="6227" w:type="dxa"/>
                          <w:gridSpan w:val="2"/>
                          <w:vMerge w:val="continue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before="0" w:after="240"/>
                            <w:ind w:left="1134" w:hanging="1134"/>
                            <w:rPr>
                              <w:rFonts w:ascii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Verdana" w:ascii="Verdana" w:hAnsi="Verdana"/>
                              <w:sz w:val="20"/>
                              <w:szCs w:val="20"/>
                            </w:rPr>
                          </w:r>
                          <w:bookmarkStart w:id="36" w:name="__UnoMark__255_2555108334"/>
                          <w:bookmarkStart w:id="37" w:name="__UnoMark__256_2555108334"/>
                          <w:bookmarkStart w:id="38" w:name="__UnoMark__255_2555108334"/>
                          <w:bookmarkStart w:id="39" w:name="__UnoMark__256_2555108334"/>
                          <w:bookmarkEnd w:id="38"/>
                          <w:bookmarkEnd w:id="39"/>
                        </w:p>
                      </w:tc>
                      <w:tc>
                        <w:tcPr>
                          <w:tcW w:w="3851" w:type="dxa"/>
                          <w:tcBorders/>
                          <w:shd w:fill="auto" w:val="clear"/>
                        </w:tcPr>
                        <w:p>
                          <w:pPr>
                            <w:pStyle w:val="Normal"/>
                            <w:shd w:val="solid" w:color="FFFFFF" w:fill="FFFFFF"/>
                            <w:spacing w:lineRule="atLeast" w:line="240" w:before="0" w:after="200"/>
                            <w:rPr/>
                          </w:pP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vertAlign w:val="superscript"/>
                              <w:lang w:eastAsia="zh-CN"/>
                            </w:rPr>
                            <w:t>th</w:t>
                          </w:r>
                          <w:r>
                            <w:rPr>
                              <w:rFonts w:cs="Times New Roman" w:ascii="Times New Roman" w:hAnsi="Times New Roman"/>
                              <w:b/>
                              <w:bCs/>
                              <w:sz w:val="28"/>
                              <w:szCs w:val="20"/>
                              <w:lang w:eastAsia="zh-CN"/>
                            </w:rPr>
                            <w:t xml:space="preserve"> February 2019</w:t>
                          </w:r>
                        </w:p>
                      </w:tc>
                    </w:tr>
                  </w:tbl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00000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 w:val="true"/>
      <w:keepLines/>
      <w:spacing w:before="480" w:after="0"/>
      <w:outlineLvl w:val="0"/>
    </w:pPr>
    <w:rPr>
      <w:rFonts w:ascii="Cambria" w:hAnsi="Cambria" w:eastAsia="宋体" w:cs="Times New Roman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 w:val="true"/>
      <w:keepLines/>
      <w:spacing w:before="200" w:after="0"/>
      <w:outlineLvl w:val="1"/>
    </w:pPr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 w:val="true"/>
      <w:keepLines/>
      <w:spacing w:before="200" w:after="0"/>
      <w:outlineLvl w:val="2"/>
    </w:pPr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ba350d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ba350d"/>
    <w:rPr/>
  </w:style>
  <w:style w:type="character" w:styleId="SourceChar" w:customStyle="1">
    <w:name w:val="Source Char"/>
    <w:link w:val="Source"/>
    <w:uiPriority w:val="99"/>
    <w:qFormat/>
    <w:locked/>
    <w:rsid w:val="00ba350d"/>
    <w:rPr>
      <w:rFonts w:ascii="Times New Roman" w:hAnsi="Times New Roman" w:eastAsia="Calibri" w:cs="Times New Roman"/>
      <w:b/>
      <w:bCs/>
      <w:sz w:val="28"/>
      <w:szCs w:val="28"/>
      <w:lang w:val="en-GB"/>
    </w:rPr>
  </w:style>
  <w:style w:type="character" w:styleId="FootnoteCharacters">
    <w:name w:val="Footnote Characters"/>
    <w:semiHidden/>
    <w:qFormat/>
    <w:rsid w:val="00ba350d"/>
    <w:rPr>
      <w:vertAlign w:val="superscript"/>
    </w:rPr>
  </w:style>
  <w:style w:type="character" w:styleId="FootnoteAnchor">
    <w:name w:val="Footnote Anchor"/>
    <w:rPr>
      <w:vertAlign w:val="superscript"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f8649f"/>
    <w:rPr>
      <w:rFonts w:ascii="Cambria" w:hAnsi="Cambria" w:eastAsia="宋体" w:cs="Times New Roman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8649f"/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8649f"/>
    <w:rPr>
      <w:rFonts w:ascii="Cambria" w:hAnsi="Cambria" w:eastAsia="宋体" w:cs="Times New Roman" w:asciiTheme="majorHAnsi" w:cstheme="majorBidi" w:eastAsiaTheme="majorEastAsia" w:hAnsiTheme="majorHAnsi"/>
      <w:b/>
      <w:bCs/>
      <w:color w:val="4F81BD" w:themeColor="accent1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7">
    <w:name w:val="ListLabel 7"/>
    <w:qFormat/>
    <w:rPr>
      <w:rFonts w:ascii="Times New Roman" w:hAnsi="Times New Roman" w:cs="Times New Roman"/>
      <w:sz w:val="24"/>
      <w:szCs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Source Han Sans CN Regular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8c157e"/>
    <w:pPr>
      <w:spacing w:before="0" w:after="200"/>
      <w:ind w:left="720" w:hanging="0"/>
      <w:contextualSpacing/>
    </w:pPr>
    <w:rPr/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epNo" w:customStyle="1">
    <w:name w:val="Rep_No"/>
    <w:basedOn w:val="Normal"/>
    <w:uiPriority w:val="99"/>
    <w:qFormat/>
    <w:rsid w:val="00ba350d"/>
    <w:pPr>
      <w:keepNext w:val="true"/>
      <w:keepLines/>
      <w:tabs>
        <w:tab w:val="left" w:pos="1134" w:leader="none"/>
        <w:tab w:val="left" w:pos="1871" w:leader="none"/>
        <w:tab w:val="left" w:pos="2268" w:leader="none"/>
      </w:tabs>
      <w:overflowPunct w:val="false"/>
      <w:spacing w:lineRule="auto" w:line="240" w:before="480" w:after="0"/>
      <w:jc w:val="center"/>
      <w:textAlignment w:val="baseline"/>
    </w:pPr>
    <w:rPr>
      <w:rFonts w:ascii="Times New Roman" w:hAnsi="Times New Roman" w:eastAsia="Calibri" w:cs="Times New Roman"/>
      <w:caps/>
      <w:sz w:val="28"/>
      <w:szCs w:val="28"/>
      <w:lang w:val="en-GB"/>
    </w:rPr>
  </w:style>
  <w:style w:type="paragraph" w:styleId="Reptitle" w:customStyle="1">
    <w:name w:val="Rep_title"/>
    <w:basedOn w:val="Normal"/>
    <w:next w:val="Normal"/>
    <w:uiPriority w:val="99"/>
    <w:qFormat/>
    <w:rsid w:val="00ba350d"/>
    <w:pPr>
      <w:keepNext w:val="true"/>
      <w:keepLines/>
      <w:tabs>
        <w:tab w:val="left" w:pos="1134" w:leader="none"/>
        <w:tab w:val="left" w:pos="1871" w:leader="none"/>
        <w:tab w:val="left" w:pos="2268" w:leader="none"/>
      </w:tabs>
      <w:overflowPunct w:val="false"/>
      <w:spacing w:lineRule="auto" w:line="240" w:before="240" w:after="0"/>
      <w:jc w:val="center"/>
      <w:textAlignment w:val="baseline"/>
    </w:pPr>
    <w:rPr>
      <w:rFonts w:ascii="Times New Roman Bold" w:hAnsi="Times New Roman Bold" w:eastAsia="Calibri" w:cs="Times New Roman Bold"/>
      <w:b/>
      <w:bCs/>
      <w:sz w:val="28"/>
      <w:szCs w:val="28"/>
      <w:lang w:val="en-GB"/>
    </w:rPr>
  </w:style>
  <w:style w:type="paragraph" w:styleId="Source" w:customStyle="1">
    <w:name w:val="Source"/>
    <w:basedOn w:val="Normal"/>
    <w:next w:val="Normal"/>
    <w:link w:val="SourceChar"/>
    <w:uiPriority w:val="99"/>
    <w:qFormat/>
    <w:rsid w:val="00ba350d"/>
    <w:pPr>
      <w:tabs>
        <w:tab w:val="left" w:pos="1134" w:leader="none"/>
        <w:tab w:val="left" w:pos="1871" w:leader="none"/>
        <w:tab w:val="left" w:pos="2268" w:leader="none"/>
      </w:tabs>
      <w:overflowPunct w:val="false"/>
      <w:spacing w:lineRule="auto" w:line="240" w:before="840" w:after="0"/>
      <w:jc w:val="center"/>
      <w:textAlignment w:val="baseline"/>
    </w:pPr>
    <w:rPr>
      <w:rFonts w:ascii="Times New Roman" w:hAnsi="Times New Roman" w:eastAsia="Calibri" w:cs="Times New Roman"/>
      <w:b/>
      <w:bCs/>
      <w:sz w:val="28"/>
      <w:szCs w:val="28"/>
      <w:lang w:val="en-GB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codes.wmo.int/" TargetMode="External"/><Relationship Id="rId3" Type="http://schemas.openxmlformats.org/officeDocument/2006/relationships/hyperlink" Target="https://www.w3.org/RDF/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emf"/><Relationship Id="rId3" Type="http://schemas.openxmlformats.org/officeDocument/2006/relationships/oleObject" Target="embeddings/oleObject2.bin"/><Relationship Id="rId4" Type="http://schemas.openxmlformats.org/officeDocument/2006/relationships/image" Target="media/image2.em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6267C-E138-4F4D-B8E9-5520C047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IPET-DD-1-AI(xx)-template</Template>
  <TotalTime>74</TotalTime>
  <Application>LibreOffice/6.0.3.2$Linux_X86_64 LibreOffice_project/00$Build-2</Application>
  <Pages>2</Pages>
  <Words>253</Words>
  <Characters>1512</Characters>
  <CharactersWithSpaces>1719</CharactersWithSpaces>
  <Paragraphs>33</Paragraphs>
  <Company>WMO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2019-02-12T11:12:53Z</dcterms:created>
  <dc:creator/>
  <dc:description/>
  <dc:language>en-GB</dc:language>
  <cp:lastModifiedBy/>
  <dcterms:modified xsi:type="dcterms:W3CDTF">2019-02-13T11:18:54Z</dcterms:modified>
  <cp:revision>8</cp:revision>
  <dc:subject>Agenda Item xx</dc:subject>
  <dc:title>TT-GISC2018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WMO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