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6.11.0.0 -->
  <w:body>
    <w:p w:rsidR="00F8649F" w:rsidRPr="00C82A87" w:rsidP="00F8649F">
      <w:pPr>
        <w:pStyle w:val="Heading1"/>
        <w:rPr>
          <w:lang w:val="en-GB"/>
        </w:rPr>
      </w:pPr>
      <w:r w:rsidRPr="00C82A87">
        <w:rPr>
          <w:lang w:val="en-GB"/>
        </w:rPr>
        <w:t>EUMETSAT’s plans for future use of netCDF-CF</w:t>
      </w:r>
      <w:bookmarkStart w:id="0" w:name="_GoBack"/>
      <w:bookmarkEnd w:id="0"/>
    </w:p>
    <w:p w:rsidR="00F8649F" w:rsidRPr="00C82A87" w:rsidP="00F8649F">
      <w:pPr>
        <w:pStyle w:val="Heading2"/>
        <w:rPr>
          <w:lang w:val="en-GB"/>
        </w:rPr>
      </w:pPr>
      <w:r w:rsidRPr="00C82A87">
        <w:rPr>
          <w:lang w:val="en-GB"/>
        </w:rPr>
        <w:t>Introduction</w:t>
      </w:r>
    </w:p>
    <w:p w:rsidR="00D3168C" w:rsidRPr="00C82A87" w:rsidP="00D3168C">
      <w:pPr>
        <w:rPr>
          <w:lang w:val="en-GB"/>
        </w:rPr>
      </w:pPr>
      <w:r w:rsidRPr="00C82A87">
        <w:rPr>
          <w:lang w:val="en-GB"/>
        </w:rPr>
        <w:t xml:space="preserve">The netCDF format enjoys widespread adoption and excellent software support for the use in encoding scientific data in the geophysical and remote sensing communities and beyond. An increasing </w:t>
      </w:r>
      <w:r w:rsidRPr="00C82A87">
        <w:rPr>
          <w:lang w:val="en-GB"/>
        </w:rPr>
        <w:t>number of robust software packages can readily consume and perform scientific processing on data stored in netCDF files. Therefore, the use of netCDF offers advantages to data producers and consumers, particularly in the case of large volumes of environmen</w:t>
      </w:r>
      <w:r w:rsidRPr="00C82A87">
        <w:rPr>
          <w:lang w:val="en-GB"/>
        </w:rPr>
        <w:t>tal data</w:t>
      </w:r>
      <w:r>
        <w:rPr>
          <w:lang w:val="en-GB"/>
        </w:rPr>
        <w:t xml:space="preserve"> that will be consumed by users from outside the numerical weather prediction community</w:t>
      </w:r>
      <w:r w:rsidRPr="00C82A87">
        <w:rPr>
          <w:lang w:val="en-GB"/>
        </w:rPr>
        <w:t>. Examples of this abound in the meteorological community due to the large amount of forecast and ancillary data, as well as the large amount of observational da</w:t>
      </w:r>
      <w:r w:rsidRPr="00C82A87">
        <w:rPr>
          <w:lang w:val="en-GB"/>
        </w:rPr>
        <w:t>ta collected on space-borne platforms.</w:t>
      </w:r>
    </w:p>
    <w:p w:rsidR="00D3168C" w:rsidRPr="00C82A87" w:rsidP="00D3168C">
      <w:pPr>
        <w:rPr>
          <w:lang w:val="en-GB"/>
        </w:rPr>
      </w:pPr>
      <w:r w:rsidRPr="00C82A87">
        <w:rPr>
          <w:lang w:val="en-GB"/>
        </w:rPr>
        <w:t xml:space="preserve">EUMETSAT, as a large data producer, acknowledges </w:t>
      </w:r>
      <w:r>
        <w:rPr>
          <w:lang w:val="en-GB"/>
        </w:rPr>
        <w:t>these</w:t>
      </w:r>
      <w:r w:rsidRPr="00C82A87">
        <w:rPr>
          <w:lang w:val="en-GB"/>
        </w:rPr>
        <w:t xml:space="preserve"> fact</w:t>
      </w:r>
      <w:r>
        <w:rPr>
          <w:lang w:val="en-GB"/>
        </w:rPr>
        <w:t>s</w:t>
      </w:r>
      <w:r w:rsidRPr="00C82A87">
        <w:rPr>
          <w:lang w:val="en-GB"/>
        </w:rPr>
        <w:t>. Current planning foresees the use of netCDF as the “native” format for data products generated using future generations of satellites such as Meteosat Thir</w:t>
      </w:r>
      <w:r w:rsidRPr="00C82A87">
        <w:rPr>
          <w:lang w:val="en-GB"/>
        </w:rPr>
        <w:t xml:space="preserve">d Generation (MTG) and EUMETSAT Polar Service Second Generation (EPS-SG). This means that netCDF will replace currently used, bespoke binary formats. In keeping with current practice, EUMETSAT will still </w:t>
      </w:r>
      <w:r>
        <w:rPr>
          <w:lang w:val="en-GB"/>
        </w:rPr>
        <w:t>convert data products</w:t>
      </w:r>
      <w:r w:rsidRPr="00C82A87">
        <w:rPr>
          <w:lang w:val="en-GB"/>
        </w:rPr>
        <w:t xml:space="preserve"> to the WMO formats BUFR and GR</w:t>
      </w:r>
      <w:r w:rsidRPr="00C82A87">
        <w:rPr>
          <w:lang w:val="en-GB"/>
        </w:rPr>
        <w:t>IB on request by its member states.</w:t>
      </w:r>
    </w:p>
    <w:p w:rsidR="0077141F" w:rsidRPr="00C82A87" w:rsidP="00D3168C">
      <w:pPr>
        <w:rPr>
          <w:lang w:val="en-GB"/>
        </w:rPr>
      </w:pPr>
      <w:r w:rsidRPr="00C82A87">
        <w:rPr>
          <w:lang w:val="en-GB"/>
        </w:rPr>
        <w:t xml:space="preserve">The use of netCDF as a final product delivery format presents new challenges from a data governance perspective. WMO formats have a robust and well-defined governance policy, driven by the needs of </w:t>
      </w:r>
      <w:r>
        <w:rPr>
          <w:lang w:val="en-GB"/>
        </w:rPr>
        <w:t>M</w:t>
      </w:r>
      <w:r w:rsidRPr="00C82A87">
        <w:rPr>
          <w:lang w:val="en-GB"/>
        </w:rPr>
        <w:t xml:space="preserve">ember </w:t>
      </w:r>
      <w:r>
        <w:rPr>
          <w:lang w:val="en-GB"/>
        </w:rPr>
        <w:t>S</w:t>
      </w:r>
      <w:r w:rsidRPr="00C82A87">
        <w:rPr>
          <w:lang w:val="en-GB"/>
        </w:rPr>
        <w:t>tates and exte</w:t>
      </w:r>
      <w:r w:rsidRPr="00C82A87">
        <w:rPr>
          <w:lang w:val="en-GB"/>
        </w:rPr>
        <w:t xml:space="preserve">nsive allocations of effort by member states </w:t>
      </w:r>
      <w:r>
        <w:rPr>
          <w:lang w:val="en-GB"/>
        </w:rPr>
        <w:t>for maintenance and evolutions</w:t>
      </w:r>
      <w:r w:rsidRPr="00C82A87">
        <w:rPr>
          <w:lang w:val="en-GB"/>
        </w:rPr>
        <w:t>. This ensures that needs of member states can be reflected quickly in new editions of the formats and the tables they use in order to store the controlled vocabulary that the forma</w:t>
      </w:r>
      <w:r w:rsidRPr="00C82A87">
        <w:rPr>
          <w:lang w:val="en-GB"/>
        </w:rPr>
        <w:t>ts use. Additionally, the controlled vocabulary of the WMO formats is an intrinsic part of the data formats’ semantics, meaning that it is difficult to encode data in a way that can be misinterpreted. This is not the case for netCDF.</w:t>
      </w:r>
    </w:p>
    <w:p w:rsidR="00723CAB" w:rsidRPr="00C82A87" w:rsidP="00D3168C">
      <w:pPr>
        <w:rPr>
          <w:lang w:val="en-GB"/>
        </w:rPr>
      </w:pPr>
      <w:r>
        <w:rPr>
          <w:lang w:val="en-GB"/>
        </w:rPr>
        <w:t>N</w:t>
      </w:r>
      <w:r w:rsidRPr="00C82A87">
        <w:rPr>
          <w:lang w:val="en-GB"/>
        </w:rPr>
        <w:t>etCDF files can be en</w:t>
      </w:r>
      <w:r w:rsidRPr="00C82A87">
        <w:rPr>
          <w:lang w:val="en-GB"/>
        </w:rPr>
        <w:t xml:space="preserve">coded using arbitrary variable, dimension and attribute names. Therefore, there is no guarantee provided by the format itself that a data producer is encoding data in such a way that </w:t>
      </w:r>
      <w:r w:rsidRPr="00C82A87">
        <w:rPr>
          <w:lang w:val="en-GB"/>
        </w:rPr>
        <w:t xml:space="preserve">users can interpret it correctly. A standard must be declared within the </w:t>
      </w:r>
      <w:r w:rsidRPr="00C82A87">
        <w:rPr>
          <w:lang w:val="en-GB"/>
        </w:rPr>
        <w:t>netCDF file that clearly describes the meaning behind any names used, as well as the relationships between named objects in the file.</w:t>
      </w:r>
    </w:p>
    <w:p w:rsidR="00BD3432" w:rsidRPr="00C82A87" w:rsidP="00723CAB">
      <w:pPr>
        <w:rPr>
          <w:lang w:val="en-GB"/>
        </w:rPr>
      </w:pPr>
      <w:r w:rsidRPr="00C82A87">
        <w:rPr>
          <w:lang w:val="en-GB"/>
        </w:rPr>
        <w:t>The Climate and Forecast (CF) Conventions are the most widely adopted standard in the area of environmental data and are w</w:t>
      </w:r>
      <w:r w:rsidRPr="00C82A87">
        <w:rPr>
          <w:lang w:val="en-GB"/>
        </w:rPr>
        <w:t>idely supported by most major software libraries. They govern the use of metadata in data products, as well as the data’s presentation and the vocabulary used therein. This familiar standard is understood by many users and by their software, to the point t</w:t>
      </w:r>
      <w:r w:rsidRPr="00C82A87">
        <w:rPr>
          <w:lang w:val="en-GB"/>
        </w:rPr>
        <w:t>hat most users are not even aware that products they use conform to a</w:t>
      </w:r>
      <w:r>
        <w:rPr>
          <w:lang w:val="en-GB"/>
        </w:rPr>
        <w:t>ny</w:t>
      </w:r>
      <w:r w:rsidRPr="00C82A87">
        <w:rPr>
          <w:lang w:val="en-GB"/>
        </w:rPr>
        <w:t xml:space="preserve"> specific standard; instead, they believe that netCDF “just works” because it is interpreted by their software transparently and correctly. It is for this reason that the CF Conventions</w:t>
      </w:r>
      <w:r w:rsidRPr="00C82A87">
        <w:rPr>
          <w:lang w:val="en-GB"/>
        </w:rPr>
        <w:t xml:space="preserve"> are considered</w:t>
      </w:r>
      <w:r>
        <w:rPr>
          <w:lang w:val="en-GB"/>
        </w:rPr>
        <w:t xml:space="preserve"> by many to be</w:t>
      </w:r>
      <w:r w:rsidRPr="00C82A87">
        <w:rPr>
          <w:lang w:val="en-GB"/>
        </w:rPr>
        <w:t xml:space="preserve"> the best standard for use with netCDF data.</w:t>
      </w:r>
    </w:p>
    <w:p w:rsidR="003F671F" w:rsidRPr="00C82A87" w:rsidP="00723CAB">
      <w:pPr>
        <w:rPr>
          <w:lang w:val="en-GB"/>
        </w:rPr>
      </w:pPr>
      <w:r>
        <w:rPr>
          <w:lang w:val="en-GB"/>
        </w:rPr>
        <w:t>As early as 2008 the WMO Expert Team on Assessment of Data Representation Systems (ET-ADRS) noted that the CF Conventions are likely the most suitable standard for use in WMO systems</w:t>
      </w:r>
      <w:r>
        <w:rPr>
          <w:lang w:val="en-GB"/>
        </w:rPr>
        <w:t xml:space="preserve"> when encoding data products in netCDF</w:t>
      </w:r>
      <w:r>
        <w:rPr>
          <w:lang w:val="en-GB"/>
        </w:rPr>
        <w:noBreakHyphen/>
        <w:t xml:space="preserve">4 [1]. The Expert Team also noted that the Conventions have certain shortcomings. </w:t>
      </w:r>
      <w:r>
        <w:rPr>
          <w:lang w:val="en-GB"/>
        </w:rPr>
        <w:t>T</w:t>
      </w:r>
      <w:r w:rsidRPr="00C82A87">
        <w:rPr>
          <w:lang w:val="en-GB"/>
        </w:rPr>
        <w:t>he CF Conventions are already in their second decade of existence and were created when netCDF-3 was the most recent version of the ne</w:t>
      </w:r>
      <w:r w:rsidRPr="00C82A87">
        <w:rPr>
          <w:lang w:val="en-GB"/>
        </w:rPr>
        <w:t>tCDF format. Experience with using the Conventions have shown that</w:t>
      </w:r>
      <w:r>
        <w:rPr>
          <w:lang w:val="en-GB"/>
        </w:rPr>
        <w:t>:</w:t>
      </w:r>
    </w:p>
    <w:p w:rsidR="003F671F" w:rsidRPr="00C82A87" w:rsidP="003F671F">
      <w:pPr>
        <w:pStyle w:val="ListParagraph"/>
        <w:numPr>
          <w:ilvl w:val="0"/>
          <w:numId w:val="5"/>
        </w:numPr>
        <w:rPr>
          <w:lang w:val="en-GB"/>
        </w:rPr>
      </w:pPr>
      <w:r>
        <w:rPr>
          <w:lang w:val="en-GB"/>
        </w:rPr>
        <w:t>M</w:t>
      </w:r>
      <w:r w:rsidRPr="00C82A87">
        <w:rPr>
          <w:lang w:val="en-GB"/>
        </w:rPr>
        <w:t>any attractive features of netCDF-4 are not covered by the Conventions that would be useful for encoding data products, and</w:t>
      </w:r>
    </w:p>
    <w:p w:rsidR="003F671F" w:rsidRPr="00C82A87" w:rsidP="003F671F">
      <w:pPr>
        <w:pStyle w:val="ListParagraph"/>
        <w:numPr>
          <w:ilvl w:val="0"/>
          <w:numId w:val="5"/>
        </w:numPr>
        <w:rPr>
          <w:lang w:val="en-GB"/>
        </w:rPr>
      </w:pPr>
      <w:r>
        <w:rPr>
          <w:lang w:val="en-GB"/>
        </w:rPr>
        <w:t>T</w:t>
      </w:r>
      <w:r w:rsidRPr="00C82A87">
        <w:rPr>
          <w:lang w:val="en-GB"/>
        </w:rPr>
        <w:t>he Conventions have evolved largely around forecast and in-sit</w:t>
      </w:r>
      <w:r w:rsidRPr="00C82A87">
        <w:rPr>
          <w:lang w:val="en-GB"/>
        </w:rPr>
        <w:t>u observation data, so that improvements could be made to fit more closely with the needs of the satellite community.</w:t>
      </w:r>
    </w:p>
    <w:p w:rsidR="003F671F" w:rsidRPr="00C82A87" w:rsidP="003F671F">
      <w:pPr>
        <w:rPr>
          <w:lang w:val="en-GB"/>
        </w:rPr>
      </w:pPr>
      <w:r w:rsidRPr="00C82A87">
        <w:rPr>
          <w:lang w:val="en-GB"/>
        </w:rPr>
        <w:t>In contrast to the WMO standards, the CF community does not have dedicated resources for evolving the standard and coordinating usage. Thi</w:t>
      </w:r>
      <w:r w:rsidRPr="00C82A87">
        <w:rPr>
          <w:lang w:val="en-GB"/>
        </w:rPr>
        <w:t>s has led EUMETSAT</w:t>
      </w:r>
      <w:r>
        <w:rPr>
          <w:lang w:val="en-GB"/>
        </w:rPr>
        <w:t xml:space="preserve"> to increase</w:t>
      </w:r>
      <w:r w:rsidRPr="00C82A87">
        <w:rPr>
          <w:lang w:val="en-GB"/>
        </w:rPr>
        <w:t xml:space="preserve"> its involvement with the CF governance process.</w:t>
      </w:r>
      <w:r>
        <w:rPr>
          <w:lang w:val="en-GB"/>
        </w:rPr>
        <w:t xml:space="preserve"> This paper describes the current state of this involvement and proposes ways to improve the use of the CF Conventions so that they better match the needs of the WMO community.</w:t>
      </w:r>
    </w:p>
    <w:p w:rsidR="00F8649F" w:rsidRPr="00C82A87" w:rsidP="00CB4B0F">
      <w:pPr>
        <w:pStyle w:val="Heading2"/>
        <w:rPr>
          <w:lang w:val="en-GB"/>
        </w:rPr>
      </w:pPr>
      <w:r w:rsidRPr="00C82A87">
        <w:rPr>
          <w:lang w:val="en-GB"/>
        </w:rPr>
        <w:t>Compliance with CF Conventions</w:t>
      </w:r>
    </w:p>
    <w:p w:rsidR="00CB4B0F" w:rsidRPr="00C82A87" w:rsidP="003F671F">
      <w:pPr>
        <w:rPr>
          <w:lang w:val="en-GB"/>
        </w:rPr>
      </w:pPr>
      <w:r w:rsidRPr="00C82A87">
        <w:rPr>
          <w:lang w:val="en-GB"/>
        </w:rPr>
        <w:t>EUMETSAT plans maximal compliance with the CF Conventions for all netCDF products</w:t>
      </w:r>
      <w:r>
        <w:rPr>
          <w:lang w:val="en-GB"/>
        </w:rPr>
        <w:t xml:space="preserve"> it produces</w:t>
      </w:r>
      <w:r w:rsidRPr="00C82A87">
        <w:rPr>
          <w:lang w:val="en-GB"/>
        </w:rPr>
        <w:t xml:space="preserve">. However, certain </w:t>
      </w:r>
      <w:r>
        <w:rPr>
          <w:lang w:val="en-GB"/>
        </w:rPr>
        <w:t>features</w:t>
      </w:r>
      <w:r w:rsidRPr="00C82A87">
        <w:rPr>
          <w:lang w:val="en-GB"/>
        </w:rPr>
        <w:t xml:space="preserve"> will not be covered by the Conventions until the standard has evolved.</w:t>
      </w:r>
    </w:p>
    <w:p w:rsidR="00351DE7" w:rsidRPr="00C82A87" w:rsidP="00351DE7">
      <w:pPr>
        <w:pStyle w:val="Heading3"/>
        <w:rPr>
          <w:lang w:val="en-GB"/>
        </w:rPr>
      </w:pPr>
      <w:r w:rsidRPr="00C82A87">
        <w:rPr>
          <w:lang w:val="en-GB"/>
        </w:rPr>
        <w:t>Standard names</w:t>
      </w:r>
    </w:p>
    <w:p w:rsidR="003F671F" w:rsidRPr="00C82A87" w:rsidP="003F671F">
      <w:pPr>
        <w:rPr>
          <w:lang w:val="en-GB"/>
        </w:rPr>
      </w:pPr>
      <w:r w:rsidRPr="00C82A87">
        <w:rPr>
          <w:lang w:val="en-GB"/>
        </w:rPr>
        <w:t>The CF Conventions</w:t>
      </w:r>
      <w:r w:rsidRPr="00C82A87">
        <w:rPr>
          <w:lang w:val="en-GB"/>
        </w:rPr>
        <w:t xml:space="preserve"> define a controlled vocabulary. This vocabulary, consisting of names of variables that can be unambiguously interpreted, is encoded in the </w:t>
      </w:r>
      <w:r w:rsidRPr="00C82A87">
        <w:rPr>
          <w:rFonts w:ascii="Consolas" w:hAnsi="Consolas" w:cs="Consolas"/>
          <w:lang w:val="en-GB"/>
        </w:rPr>
        <w:t>standard_name</w:t>
      </w:r>
      <w:r w:rsidRPr="00C82A87">
        <w:rPr>
          <w:lang w:val="en-GB"/>
        </w:rPr>
        <w:t xml:space="preserve"> attribute of a variable. Variables with this attribute can be looked up in a table of standard names. </w:t>
      </w:r>
      <w:r w:rsidRPr="00C82A87">
        <w:rPr>
          <w:lang w:val="en-GB"/>
        </w:rPr>
        <w:t>This table is updated at regular intervals by the CF community.</w:t>
      </w:r>
    </w:p>
    <w:p w:rsidR="003F671F" w:rsidRPr="00C82A87" w:rsidP="003F671F">
      <w:pPr>
        <w:rPr>
          <w:lang w:val="en-GB"/>
        </w:rPr>
      </w:pPr>
      <w:r w:rsidRPr="00C82A87">
        <w:rPr>
          <w:lang w:val="en-GB"/>
        </w:rPr>
        <w:t xml:space="preserve">The </w:t>
      </w:r>
      <w:r w:rsidRPr="00C82A87">
        <w:rPr>
          <w:rFonts w:ascii="Consolas" w:hAnsi="Consolas" w:cs="Consolas"/>
          <w:lang w:val="en-GB"/>
        </w:rPr>
        <w:t>standard_name</w:t>
      </w:r>
      <w:r w:rsidRPr="00C82A87">
        <w:rPr>
          <w:lang w:val="en-GB"/>
        </w:rPr>
        <w:t xml:space="preserve"> attribute is not required in a CF</w:t>
      </w:r>
      <w:r w:rsidRPr="00C82A87">
        <w:rPr>
          <w:lang w:val="en-GB"/>
        </w:rPr>
        <w:noBreakHyphen/>
        <w:t xml:space="preserve">compliant netCDF file. However, it is advantageous to standardize the description of commonly used variables in order to avoid ambiguities. </w:t>
      </w:r>
      <w:r w:rsidRPr="00C82A87">
        <w:rPr>
          <w:lang w:val="en-GB"/>
        </w:rPr>
        <w:t xml:space="preserve">If the </w:t>
      </w:r>
      <w:r w:rsidRPr="00C82A87">
        <w:rPr>
          <w:rFonts w:ascii="Consolas" w:hAnsi="Consolas" w:cs="Consolas"/>
          <w:lang w:val="en-GB"/>
        </w:rPr>
        <w:t>standard_name</w:t>
      </w:r>
      <w:r w:rsidRPr="00C82A87">
        <w:rPr>
          <w:lang w:val="en-GB"/>
        </w:rPr>
        <w:t xml:space="preserve"> attribute is used, its value must exist within the standard name table governed by the CF community in order to be compliant.</w:t>
      </w:r>
    </w:p>
    <w:p w:rsidR="00351DE7" w:rsidP="00C82A87">
      <w:pPr>
        <w:rPr>
          <w:lang w:val="en-GB"/>
        </w:rPr>
      </w:pPr>
      <w:r w:rsidRPr="00C82A87">
        <w:rPr>
          <w:lang w:val="en-GB"/>
        </w:rPr>
        <w:t xml:space="preserve">EUMETSAT uses standard names primarily in current-generation products. For the most part, these names can be </w:t>
      </w:r>
      <w:r w:rsidRPr="00C82A87">
        <w:rPr>
          <w:lang w:val="en-GB"/>
        </w:rPr>
        <w:t xml:space="preserve">found in the table of standard names. Next generation programmes make considerably less use of standard names, as </w:t>
      </w:r>
      <w:r>
        <w:rPr>
          <w:lang w:val="en-GB"/>
        </w:rPr>
        <w:t>the adoption process has proven quite slow due to limited resources within the CF community.</w:t>
      </w:r>
    </w:p>
    <w:p w:rsidR="00351DE7" w:rsidRPr="00C82A87" w:rsidP="00351DE7">
      <w:pPr>
        <w:pStyle w:val="Heading3"/>
        <w:rPr>
          <w:lang w:val="en-GB"/>
        </w:rPr>
      </w:pPr>
      <w:r w:rsidRPr="00C82A87">
        <w:rPr>
          <w:lang w:val="en-GB"/>
        </w:rPr>
        <w:t>Out-of-scope netCDF features</w:t>
      </w:r>
    </w:p>
    <w:p w:rsidR="00C82A87" w:rsidP="00C82A87">
      <w:r>
        <w:t>The CF Conventions w</w:t>
      </w:r>
      <w:r>
        <w:t>ere drafted with the intent of standardizing the use of netCDF</w:t>
      </w:r>
      <w:r>
        <w:noBreakHyphen/>
        <w:t>3. Since its first adoption in 2003, the netCDF standard has evolved. The release of netCDF</w:t>
      </w:r>
      <w:r>
        <w:noBreakHyphen/>
        <w:t>4 in 2008 brought several new features, among others:</w:t>
      </w:r>
    </w:p>
    <w:p w:rsidR="00C82A87" w:rsidP="00C82A87">
      <w:pPr>
        <w:pStyle w:val="ListParagraph"/>
        <w:numPr>
          <w:ilvl w:val="0"/>
          <w:numId w:val="7"/>
        </w:numPr>
        <w:spacing w:after="0" w:line="240" w:lineRule="auto"/>
        <w:jc w:val="both"/>
      </w:pPr>
      <w:r>
        <w:t>Use of HDF5 as a storage layer</w:t>
      </w:r>
    </w:p>
    <w:p w:rsidR="00C82A87" w:rsidP="00C82A87">
      <w:pPr>
        <w:pStyle w:val="ListParagraph"/>
        <w:numPr>
          <w:ilvl w:val="0"/>
          <w:numId w:val="7"/>
        </w:numPr>
        <w:spacing w:after="0" w:line="240" w:lineRule="auto"/>
        <w:jc w:val="both"/>
      </w:pPr>
      <w:r>
        <w:t>Multiple unlimit</w:t>
      </w:r>
      <w:r>
        <w:t>ed dimensions</w:t>
      </w:r>
    </w:p>
    <w:p w:rsidR="00C82A87" w:rsidP="00C82A87">
      <w:pPr>
        <w:pStyle w:val="ListParagraph"/>
        <w:numPr>
          <w:ilvl w:val="0"/>
          <w:numId w:val="7"/>
        </w:numPr>
        <w:spacing w:after="0" w:line="240" w:lineRule="auto"/>
        <w:jc w:val="both"/>
      </w:pPr>
      <w:r>
        <w:t>Groups, allowing for the hierarchical organization of data</w:t>
      </w:r>
    </w:p>
    <w:p w:rsidR="00C82A87" w:rsidP="00C82A87">
      <w:pPr>
        <w:pStyle w:val="ListParagraph"/>
        <w:numPr>
          <w:ilvl w:val="0"/>
          <w:numId w:val="7"/>
        </w:numPr>
        <w:spacing w:after="0" w:line="240" w:lineRule="auto"/>
        <w:jc w:val="both"/>
      </w:pPr>
      <w:r>
        <w:t>Several new primitive and user-defined data types</w:t>
      </w:r>
    </w:p>
    <w:p w:rsidR="00C82A87" w:rsidP="00C82A87">
      <w:r w:rsidRPr="00C82A87">
        <w:t>None of these new features are governed by the CF Conventions, and it is a matter of debate as to whether</w:t>
      </w:r>
      <w:r>
        <w:t xml:space="preserve"> they can be used in products that are</w:t>
      </w:r>
      <w:r w:rsidRPr="00C82A87">
        <w:t xml:space="preserve"> </w:t>
      </w:r>
      <w:r>
        <w:t>CF</w:t>
      </w:r>
      <w:r>
        <w:noBreakHyphen/>
        <w:t>compliant</w:t>
      </w:r>
      <w:r w:rsidRPr="00C82A87">
        <w:t xml:space="preserve">. In any case, the fact </w:t>
      </w:r>
      <w:r>
        <w:t>that the CF Conventions provide no guidelines for these features of netCDF</w:t>
      </w:r>
      <w:r>
        <w:noBreakHyphen/>
        <w:t>4 mean that both data producers and consumers may interpret data encoded using these features differently.</w:t>
      </w:r>
      <w:r>
        <w:t xml:space="preserve"> For example, new data types may not be supported by software. Additionally, and more crucially, different users may have different interpretations of the semantics of groups.</w:t>
      </w:r>
    </w:p>
    <w:p w:rsidR="00C82A87" w:rsidP="00C82A87">
      <w:r>
        <w:t>An overview of netCDF</w:t>
      </w:r>
      <w:r>
        <w:noBreakHyphen/>
      </w:r>
      <w:r>
        <w:t xml:space="preserve">4 features used </w:t>
      </w:r>
      <w:r>
        <w:t xml:space="preserve">in future core missions </w:t>
      </w:r>
      <w:r>
        <w:t>at EUMETSAT is pro</w:t>
      </w:r>
      <w:r>
        <w:t xml:space="preserve">vided in </w:t>
      </w:r>
      <w:r>
        <w:fldChar w:fldCharType="begin"/>
      </w:r>
      <w:r>
        <w:instrText xml:space="preserve"> REF _Ref438810 \h </w:instrText>
      </w:r>
      <w:r>
        <w:fldChar w:fldCharType="separate"/>
      </w:r>
      <w:r>
        <w:t xml:space="preserve">Table </w:t>
      </w:r>
      <w:r>
        <w:rPr>
          <w:noProof/>
        </w:rPr>
        <w:t>1</w:t>
      </w:r>
      <w:r>
        <w:fldChar w:fldCharType="end"/>
      </w:r>
      <w:r>
        <w:t>.</w:t>
      </w:r>
    </w:p>
    <w:p w:rsidR="005F729A" w:rsidP="005F729A">
      <w:pPr>
        <w:pStyle w:val="Caption"/>
        <w:keepNext/>
      </w:pPr>
      <w:bookmarkStart w:id="1" w:name="_Ref438810"/>
      <w:r>
        <w:t xml:space="preserve">Table </w:t>
      </w:r>
      <w:r>
        <w:fldChar w:fldCharType="begin"/>
      </w:r>
      <w:r>
        <w:instrText xml:space="preserve"> SEQ Table \* ARABIC </w:instrText>
      </w:r>
      <w:r>
        <w:fldChar w:fldCharType="separate"/>
      </w:r>
      <w:r>
        <w:rPr>
          <w:noProof/>
        </w:rPr>
        <w:t>1</w:t>
      </w:r>
      <w:r>
        <w:rPr>
          <w:noProof/>
        </w:rPr>
        <w:fldChar w:fldCharType="end"/>
      </w:r>
      <w:bookmarkEnd w:id="1"/>
      <w:r>
        <w:t>: netCDF</w:t>
      </w:r>
      <w:r>
        <w:noBreakHyphen/>
        <w:t>4</w:t>
      </w:r>
      <w:r>
        <w:t xml:space="preserve"> features used </w:t>
      </w:r>
      <w:r>
        <w:t xml:space="preserve">in future core missions </w:t>
      </w:r>
      <w:r>
        <w:t xml:space="preserve">at EUMETSAT. “x” indicates the feature is used in products of the </w:t>
      </w:r>
      <w:r>
        <w:t>respective programme.</w:t>
      </w:r>
    </w:p>
    <w:tbl>
      <w:tblPr>
        <w:tblW w:w="0" w:type="auto"/>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Look w:val="04A0"/>
      </w:tblPr>
      <w:tblGrid>
        <w:gridCol w:w="2948"/>
        <w:gridCol w:w="3113"/>
        <w:gridCol w:w="3272"/>
      </w:tblGrid>
      <w:tr w:rsidTr="005F729A">
        <w:tblPrEx>
          <w:tblW w:w="0" w:type="auto"/>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Look w:val="04A0"/>
        </w:tblPrEx>
        <w:tc>
          <w:tcPr>
            <w:tcW w:w="0" w:type="auto"/>
            <w:tcBorders>
              <w:top w:val="single" w:sz="4" w:space="0" w:color="BDD6EE"/>
              <w:left w:val="single" w:sz="4" w:space="0" w:color="BDD6EE"/>
              <w:bottom w:val="single" w:sz="12" w:space="0" w:color="9CC2E5"/>
              <w:right w:val="single" w:sz="4" w:space="0" w:color="BDD6EE"/>
            </w:tcBorders>
            <w:hideMark/>
          </w:tcPr>
          <w:p w:rsidR="00994DE7">
            <w:r>
              <w:t>Feature / Programme</w:t>
            </w:r>
          </w:p>
        </w:tc>
        <w:tc>
          <w:tcPr>
            <w:tcW w:w="0" w:type="auto"/>
            <w:tcBorders>
              <w:top w:val="single" w:sz="4" w:space="0" w:color="BDD6EE"/>
              <w:left w:val="single" w:sz="4" w:space="0" w:color="BDD6EE"/>
              <w:bottom w:val="single" w:sz="12" w:space="0" w:color="9CC2E5"/>
              <w:right w:val="single" w:sz="4" w:space="0" w:color="BDD6EE"/>
            </w:tcBorders>
            <w:hideMark/>
          </w:tcPr>
          <w:p w:rsidR="00994DE7">
            <w:r>
              <w:t>EPS Second Generation (EPS-SG)</w:t>
            </w:r>
          </w:p>
        </w:tc>
        <w:tc>
          <w:tcPr>
            <w:tcW w:w="0" w:type="auto"/>
            <w:tcBorders>
              <w:top w:val="single" w:sz="4" w:space="0" w:color="BDD6EE"/>
              <w:left w:val="single" w:sz="4" w:space="0" w:color="BDD6EE"/>
              <w:bottom w:val="single" w:sz="12" w:space="0" w:color="9CC2E5"/>
              <w:right w:val="single" w:sz="4" w:space="0" w:color="BDD6EE"/>
            </w:tcBorders>
            <w:hideMark/>
          </w:tcPr>
          <w:p w:rsidR="00994DE7">
            <w:r>
              <w:t>Meteosat Third Generation (MTG)</w:t>
            </w:r>
          </w:p>
        </w:tc>
      </w:tr>
      <w:tr w:rsidTr="005F729A">
        <w:tblPrEx>
          <w:tblW w:w="0" w:type="auto"/>
          <w:tblLook w:val="04A0"/>
        </w:tblPrEx>
        <w:tc>
          <w:tcPr>
            <w:tcW w:w="0" w:type="auto"/>
            <w:tcBorders>
              <w:top w:val="single" w:sz="4" w:space="0" w:color="BDD6EE"/>
              <w:left w:val="single" w:sz="4" w:space="0" w:color="BDD6EE"/>
              <w:bottom w:val="single" w:sz="4" w:space="0" w:color="BDD6EE"/>
              <w:right w:val="single" w:sz="4" w:space="0" w:color="BDD6EE"/>
            </w:tcBorders>
            <w:hideMark/>
          </w:tcPr>
          <w:p w:rsidR="00994DE7">
            <w:r>
              <w:t>New primitive data types</w:t>
            </w:r>
          </w:p>
        </w:tc>
        <w:tc>
          <w:tcPr>
            <w:tcW w:w="0" w:type="auto"/>
            <w:tcBorders>
              <w:top w:val="single" w:sz="4" w:space="0" w:color="BDD6EE"/>
              <w:left w:val="single" w:sz="4" w:space="0" w:color="BDD6EE"/>
              <w:bottom w:val="single" w:sz="4" w:space="0" w:color="BDD6EE"/>
              <w:right w:val="single" w:sz="4" w:space="0" w:color="BDD6EE"/>
            </w:tcBorders>
            <w:hideMark/>
          </w:tcPr>
          <w:p w:rsidR="00994DE7" w:rsidP="0031788D">
            <w:pPr>
              <w:jc w:val="center"/>
            </w:pPr>
            <w:r>
              <w:t>x</w:t>
            </w:r>
          </w:p>
        </w:tc>
        <w:tc>
          <w:tcPr>
            <w:tcW w:w="0" w:type="auto"/>
            <w:tcBorders>
              <w:top w:val="single" w:sz="4" w:space="0" w:color="BDD6EE"/>
              <w:left w:val="single" w:sz="4" w:space="0" w:color="BDD6EE"/>
              <w:bottom w:val="single" w:sz="4" w:space="0" w:color="BDD6EE"/>
              <w:right w:val="single" w:sz="4" w:space="0" w:color="BDD6EE"/>
            </w:tcBorders>
            <w:hideMark/>
          </w:tcPr>
          <w:p w:rsidR="00994DE7" w:rsidP="0031788D">
            <w:pPr>
              <w:jc w:val="center"/>
            </w:pPr>
            <w:r>
              <w:t>x</w:t>
            </w:r>
          </w:p>
        </w:tc>
      </w:tr>
      <w:tr w:rsidTr="005F729A">
        <w:tblPrEx>
          <w:tblW w:w="0" w:type="auto"/>
          <w:tblLook w:val="04A0"/>
        </w:tblPrEx>
        <w:tc>
          <w:tcPr>
            <w:tcW w:w="0" w:type="auto"/>
            <w:tcBorders>
              <w:top w:val="single" w:sz="4" w:space="0" w:color="BDD6EE"/>
              <w:left w:val="single" w:sz="4" w:space="0" w:color="BDD6EE"/>
              <w:bottom w:val="single" w:sz="4" w:space="0" w:color="BDD6EE"/>
              <w:right w:val="single" w:sz="4" w:space="0" w:color="BDD6EE"/>
            </w:tcBorders>
            <w:hideMark/>
          </w:tcPr>
          <w:p w:rsidR="00994DE7">
            <w:r>
              <w:t>New user-defined data types</w:t>
            </w:r>
          </w:p>
        </w:tc>
        <w:tc>
          <w:tcPr>
            <w:tcW w:w="0" w:type="auto"/>
            <w:tcBorders>
              <w:top w:val="single" w:sz="4" w:space="0" w:color="BDD6EE"/>
              <w:left w:val="single" w:sz="4" w:space="0" w:color="BDD6EE"/>
              <w:bottom w:val="single" w:sz="4" w:space="0" w:color="BDD6EE"/>
              <w:right w:val="single" w:sz="4" w:space="0" w:color="BDD6EE"/>
            </w:tcBorders>
            <w:hideMark/>
          </w:tcPr>
          <w:p w:rsidR="00994DE7" w:rsidP="0031788D">
            <w:pPr>
              <w:jc w:val="center"/>
            </w:pPr>
            <w:r>
              <w:t>x</w:t>
            </w:r>
          </w:p>
        </w:tc>
        <w:tc>
          <w:tcPr>
            <w:tcW w:w="0" w:type="auto"/>
            <w:tcBorders>
              <w:top w:val="single" w:sz="4" w:space="0" w:color="BDD6EE"/>
              <w:left w:val="single" w:sz="4" w:space="0" w:color="BDD6EE"/>
              <w:bottom w:val="single" w:sz="4" w:space="0" w:color="BDD6EE"/>
              <w:right w:val="single" w:sz="4" w:space="0" w:color="BDD6EE"/>
            </w:tcBorders>
            <w:hideMark/>
          </w:tcPr>
          <w:p w:rsidR="00994DE7" w:rsidP="0031788D">
            <w:pPr>
              <w:jc w:val="center"/>
            </w:pPr>
            <w:r>
              <w:t>x</w:t>
            </w:r>
          </w:p>
        </w:tc>
      </w:tr>
      <w:tr w:rsidTr="005F729A">
        <w:tblPrEx>
          <w:tblW w:w="0" w:type="auto"/>
          <w:tblLook w:val="04A0"/>
        </w:tblPrEx>
        <w:tc>
          <w:tcPr>
            <w:tcW w:w="0" w:type="auto"/>
            <w:tcBorders>
              <w:top w:val="single" w:sz="4" w:space="0" w:color="BDD6EE"/>
              <w:left w:val="single" w:sz="4" w:space="0" w:color="BDD6EE"/>
              <w:bottom w:val="single" w:sz="4" w:space="0" w:color="BDD6EE"/>
              <w:right w:val="single" w:sz="4" w:space="0" w:color="BDD6EE"/>
            </w:tcBorders>
            <w:hideMark/>
          </w:tcPr>
          <w:p w:rsidR="00994DE7">
            <w:r>
              <w:t>Multiple unlimited dimensions</w:t>
            </w:r>
          </w:p>
        </w:tc>
        <w:tc>
          <w:tcPr>
            <w:tcW w:w="0" w:type="auto"/>
            <w:tcBorders>
              <w:top w:val="single" w:sz="4" w:space="0" w:color="BDD6EE"/>
              <w:left w:val="single" w:sz="4" w:space="0" w:color="BDD6EE"/>
              <w:bottom w:val="single" w:sz="4" w:space="0" w:color="BDD6EE"/>
              <w:right w:val="single" w:sz="4" w:space="0" w:color="BDD6EE"/>
            </w:tcBorders>
          </w:tcPr>
          <w:p w:rsidR="00994DE7" w:rsidP="0031788D">
            <w:pPr>
              <w:jc w:val="center"/>
            </w:pPr>
          </w:p>
        </w:tc>
        <w:tc>
          <w:tcPr>
            <w:tcW w:w="0" w:type="auto"/>
            <w:tcBorders>
              <w:top w:val="single" w:sz="4" w:space="0" w:color="BDD6EE"/>
              <w:left w:val="single" w:sz="4" w:space="0" w:color="BDD6EE"/>
              <w:bottom w:val="single" w:sz="4" w:space="0" w:color="BDD6EE"/>
              <w:right w:val="single" w:sz="4" w:space="0" w:color="BDD6EE"/>
            </w:tcBorders>
            <w:hideMark/>
          </w:tcPr>
          <w:p w:rsidR="00994DE7" w:rsidP="0031788D">
            <w:pPr>
              <w:jc w:val="center"/>
            </w:pPr>
            <w:r>
              <w:t>x</w:t>
            </w:r>
          </w:p>
        </w:tc>
      </w:tr>
      <w:tr w:rsidTr="005F729A">
        <w:tblPrEx>
          <w:tblW w:w="0" w:type="auto"/>
          <w:tblLook w:val="04A0"/>
        </w:tblPrEx>
        <w:tc>
          <w:tcPr>
            <w:tcW w:w="0" w:type="auto"/>
            <w:tcBorders>
              <w:top w:val="single" w:sz="4" w:space="0" w:color="BDD6EE"/>
              <w:left w:val="single" w:sz="4" w:space="0" w:color="BDD6EE"/>
              <w:bottom w:val="single" w:sz="4" w:space="0" w:color="BDD6EE"/>
              <w:right w:val="single" w:sz="4" w:space="0" w:color="BDD6EE"/>
            </w:tcBorders>
            <w:hideMark/>
          </w:tcPr>
          <w:p w:rsidR="00994DE7">
            <w:r>
              <w:t>Groups</w:t>
            </w:r>
          </w:p>
        </w:tc>
        <w:tc>
          <w:tcPr>
            <w:tcW w:w="0" w:type="auto"/>
            <w:tcBorders>
              <w:top w:val="single" w:sz="4" w:space="0" w:color="BDD6EE"/>
              <w:left w:val="single" w:sz="4" w:space="0" w:color="BDD6EE"/>
              <w:bottom w:val="single" w:sz="4" w:space="0" w:color="BDD6EE"/>
              <w:right w:val="single" w:sz="4" w:space="0" w:color="BDD6EE"/>
            </w:tcBorders>
            <w:hideMark/>
          </w:tcPr>
          <w:p w:rsidR="00994DE7" w:rsidP="0031788D">
            <w:pPr>
              <w:jc w:val="center"/>
            </w:pPr>
            <w:r>
              <w:t>x</w:t>
            </w:r>
          </w:p>
        </w:tc>
        <w:tc>
          <w:tcPr>
            <w:tcW w:w="0" w:type="auto"/>
            <w:tcBorders>
              <w:top w:val="single" w:sz="4" w:space="0" w:color="BDD6EE"/>
              <w:left w:val="single" w:sz="4" w:space="0" w:color="BDD6EE"/>
              <w:bottom w:val="single" w:sz="4" w:space="0" w:color="BDD6EE"/>
              <w:right w:val="single" w:sz="4" w:space="0" w:color="BDD6EE"/>
            </w:tcBorders>
            <w:hideMark/>
          </w:tcPr>
          <w:p w:rsidR="00994DE7" w:rsidP="0031788D">
            <w:pPr>
              <w:jc w:val="center"/>
            </w:pPr>
            <w:r>
              <w:t>x</w:t>
            </w:r>
          </w:p>
        </w:tc>
      </w:tr>
    </w:tbl>
    <w:p w:rsidR="00C82A87" w:rsidP="00351DE7">
      <w:pPr>
        <w:rPr>
          <w:lang w:val="en-GB"/>
        </w:rPr>
      </w:pPr>
    </w:p>
    <w:p w:rsidR="0024231F" w:rsidRPr="00C82A87" w:rsidP="005F729A">
      <w:pPr>
        <w:rPr>
          <w:lang w:val="en-GB"/>
        </w:rPr>
      </w:pPr>
      <w:r>
        <w:rPr>
          <w:lang w:val="en-GB"/>
        </w:rPr>
        <w:t xml:space="preserve">EUMETSAT is pursuing the adoption of guidance on the use of all of the features listed in </w:t>
      </w:r>
      <w:r>
        <w:fldChar w:fldCharType="begin"/>
      </w:r>
      <w:r>
        <w:instrText xml:space="preserve"> REF _Ref438810 \h </w:instrText>
      </w:r>
      <w:r>
        <w:fldChar w:fldCharType="separate"/>
      </w:r>
      <w:r>
        <w:t xml:space="preserve">Table </w:t>
      </w:r>
      <w:r>
        <w:rPr>
          <w:noProof/>
        </w:rPr>
        <w:t>1</w:t>
      </w:r>
      <w:r>
        <w:fldChar w:fldCharType="end"/>
      </w:r>
      <w:r>
        <w:t xml:space="preserve"> in the CF Conventions. This is a long-term endeavor. Additionally, partici</w:t>
      </w:r>
      <w:r>
        <w:t>pants in CGMS WGI have identified the need for guidance in the encoding of data in the viewing geometry of space-borne platforms. Although this is outside the scope of the CF Conventions, it is possible to do this in ways that are compliant with the Conven</w:t>
      </w:r>
      <w:r>
        <w:t>tions. Further material on this matter is forthcoming.</w:t>
      </w:r>
    </w:p>
    <w:p w:rsidR="00351DE7" w:rsidP="00351DE7">
      <w:pPr>
        <w:pStyle w:val="Heading2"/>
        <w:rPr>
          <w:lang w:val="en-GB"/>
        </w:rPr>
      </w:pPr>
      <w:r w:rsidRPr="00C82A87">
        <w:rPr>
          <w:lang w:val="en-GB"/>
        </w:rPr>
        <w:t>Collaboration with the CF community</w:t>
      </w:r>
    </w:p>
    <w:p w:rsidR="00145AD1" w:rsidP="00175EA1">
      <w:pPr>
        <w:rPr>
          <w:lang w:val="en-GB"/>
        </w:rPr>
      </w:pPr>
      <w:r>
        <w:rPr>
          <w:lang w:val="en-GB"/>
        </w:rPr>
        <w:t>At CGMS-46 a WGI liaison between CGMS and the CF community was nominated [</w:t>
      </w:r>
      <w:r>
        <w:rPr>
          <w:lang w:val="en-GB"/>
        </w:rPr>
        <w:t>2</w:t>
      </w:r>
      <w:r>
        <w:rPr>
          <w:lang w:val="en-GB"/>
        </w:rPr>
        <w:t xml:space="preserve">]. This has strengthened collaboration with the CF community. In the course of this </w:t>
      </w:r>
      <w:r>
        <w:rPr>
          <w:lang w:val="en-GB"/>
        </w:rPr>
        <w:t>collaboration, a proposal to extend the CF Conventions to govern the use of netCDF</w:t>
      </w:r>
      <w:r>
        <w:rPr>
          <w:lang w:val="en-GB"/>
        </w:rPr>
        <w:noBreakHyphen/>
        <w:t>4 groups was submitted on 3 Aug 2018. This draft extension [</w:t>
      </w:r>
      <w:r>
        <w:rPr>
          <w:lang w:val="en-GB"/>
        </w:rPr>
        <w:t>3</w:t>
      </w:r>
      <w:r>
        <w:rPr>
          <w:lang w:val="en-GB"/>
        </w:rPr>
        <w:t>] is still in discussion now, but it is expected that it will be adopted by the release of the next version of t</w:t>
      </w:r>
      <w:r>
        <w:rPr>
          <w:lang w:val="en-GB"/>
        </w:rPr>
        <w:t>he Conventions (v1.8).</w:t>
      </w:r>
    </w:p>
    <w:p w:rsidR="00145AD1" w:rsidP="00175EA1">
      <w:pPr>
        <w:rPr>
          <w:lang w:val="en-GB"/>
        </w:rPr>
      </w:pPr>
      <w:r>
        <w:rPr>
          <w:lang w:val="en-GB"/>
        </w:rPr>
        <w:t>Further extensions to the Conventions will be proposed following conclusion of discussion surrounding the current proposal [</w:t>
      </w:r>
      <w:r>
        <w:rPr>
          <w:lang w:val="en-GB"/>
        </w:rPr>
        <w:t>3</w:t>
      </w:r>
      <w:r>
        <w:rPr>
          <w:lang w:val="en-GB"/>
        </w:rPr>
        <w:t>].</w:t>
      </w:r>
    </w:p>
    <w:p w:rsidR="00666A6F" w:rsidP="00175EA1">
      <w:pPr>
        <w:rPr>
          <w:lang w:val="en-GB"/>
        </w:rPr>
      </w:pPr>
      <w:r>
        <w:rPr>
          <w:lang w:val="en-GB"/>
        </w:rPr>
        <w:t>Some a</w:t>
      </w:r>
      <w:r>
        <w:rPr>
          <w:lang w:val="en-GB"/>
        </w:rPr>
        <w:t>spects of collaboration with the CF community that have hindered the quick resolution of issues rem</w:t>
      </w:r>
      <w:r>
        <w:rPr>
          <w:lang w:val="en-GB"/>
        </w:rPr>
        <w:t>ain. For example, it has been noted by multiple data producers that the adoption of new standard names takes a very long time (in some cases years) due to the resource constraints on the side of the community; more cannot be expected from a group of expert</w:t>
      </w:r>
      <w:r>
        <w:rPr>
          <w:lang w:val="en-GB"/>
        </w:rPr>
        <w:t>s who donate their time with only limited backing from their organisations. The same issue applies to wider-reaching change proposals, such as the one currently in discussion [</w:t>
      </w:r>
      <w:r>
        <w:rPr>
          <w:lang w:val="en-GB"/>
        </w:rPr>
        <w:t>3</w:t>
      </w:r>
      <w:r>
        <w:rPr>
          <w:lang w:val="en-GB"/>
        </w:rPr>
        <w:t>]. While this has been acknowledged by members of the Conventions Committee, it</w:t>
      </w:r>
      <w:r>
        <w:rPr>
          <w:lang w:val="en-GB"/>
        </w:rPr>
        <w:t xml:space="preserve"> is unlikely to change. Nonetheless, contributions from new users of the CF Conventions have been welcomed.</w:t>
      </w:r>
    </w:p>
    <w:p w:rsidR="00F8649F" w:rsidRPr="00C82A87" w:rsidP="00F8649F">
      <w:pPr>
        <w:pStyle w:val="Heading2"/>
        <w:rPr>
          <w:lang w:val="en-GB"/>
        </w:rPr>
      </w:pPr>
      <w:r w:rsidRPr="00C82A87">
        <w:rPr>
          <w:lang w:val="en-GB"/>
        </w:rPr>
        <w:t>References</w:t>
      </w:r>
    </w:p>
    <w:p w:rsidR="009F1B8F" w:rsidP="00456F30">
      <w:pPr>
        <w:ind w:left="360"/>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fldChar w:fldCharType="begin"/>
      </w:r>
      <w:r>
        <w:instrText xml:space="preserve"> HYPERLINK "http://www.wmo.int/pages/prog/www/WDM/ET-ADRS-1/Documents.html%20(13" </w:instrText>
      </w:r>
      <w:r>
        <w:fldChar w:fldCharType="separate"/>
      </w:r>
      <w:r w:rsidRPr="009F1B8F">
        <w:rPr>
          <w:rStyle w:val="Hyperlink"/>
          <w:rFonts w:ascii="Times New Roman" w:hAnsi="Times New Roman" w:cs="Times New Roman"/>
          <w:sz w:val="24"/>
          <w:szCs w:val="24"/>
          <w:lang w:val="en-GB"/>
        </w:rPr>
        <w:t>http://www.wmo.int/pages/prog/www/WDM/ET-ADRS-1/Doc</w:t>
      </w:r>
      <w:r w:rsidRPr="009F1B8F">
        <w:rPr>
          <w:rStyle w:val="Hyperlink"/>
          <w:rFonts w:ascii="Times New Roman" w:hAnsi="Times New Roman" w:cs="Times New Roman"/>
          <w:sz w:val="24"/>
          <w:szCs w:val="24"/>
          <w:lang w:val="en-GB"/>
        </w:rPr>
        <w:t>uments.html</w:t>
      </w:r>
      <w:r w:rsidRPr="00180C5B">
        <w:rPr>
          <w:rStyle w:val="Hyperlink"/>
          <w:rFonts w:ascii="Times New Roman" w:hAnsi="Times New Roman" w:cs="Times New Roman"/>
          <w:sz w:val="24"/>
          <w:szCs w:val="24"/>
          <w:lang w:val="en-GB"/>
        </w:rPr>
        <w:t xml:space="preserve"> (13</w:t>
      </w:r>
      <w:r>
        <w:fldChar w:fldCharType="end"/>
      </w:r>
      <w:r>
        <w:rPr>
          <w:rFonts w:ascii="Times New Roman" w:hAnsi="Times New Roman" w:cs="Times New Roman"/>
          <w:sz w:val="24"/>
          <w:szCs w:val="24"/>
          <w:lang w:val="en-GB"/>
        </w:rPr>
        <w:t xml:space="preserve"> Feb 2019)</w:t>
      </w:r>
    </w:p>
    <w:p w:rsidR="00F8649F" w:rsidP="00456F30">
      <w:pPr>
        <w:ind w:left="360"/>
        <w:rPr>
          <w:rFonts w:ascii="Times New Roman" w:hAnsi="Times New Roman" w:cs="Times New Roman"/>
          <w:sz w:val="24"/>
          <w:szCs w:val="24"/>
          <w:lang w:val="en-GB"/>
        </w:rPr>
      </w:pPr>
      <w:r w:rsidRPr="00175EA1">
        <w:rPr>
          <w:rFonts w:ascii="Times New Roman" w:hAnsi="Times New Roman" w:cs="Times New Roman"/>
          <w:sz w:val="24"/>
          <w:szCs w:val="24"/>
          <w:lang w:val="en-GB"/>
        </w:rPr>
        <w:t>[</w:t>
      </w:r>
      <w:r>
        <w:rPr>
          <w:rFonts w:ascii="Times New Roman" w:hAnsi="Times New Roman" w:cs="Times New Roman"/>
          <w:sz w:val="24"/>
          <w:szCs w:val="24"/>
          <w:lang w:val="en-GB"/>
        </w:rPr>
        <w:t>2</w:t>
      </w:r>
      <w:r w:rsidRPr="00175EA1">
        <w:rPr>
          <w:rFonts w:ascii="Times New Roman" w:hAnsi="Times New Roman" w:cs="Times New Roman"/>
          <w:sz w:val="24"/>
          <w:szCs w:val="24"/>
          <w:lang w:val="en-GB"/>
        </w:rPr>
        <w:t xml:space="preserve">] </w:t>
      </w:r>
      <w:r>
        <w:fldChar w:fldCharType="begin"/>
      </w:r>
      <w:r>
        <w:instrText xml:space="preserve"> HYPERLINK "https://www.cgms-info.org/documents/CGMS-46_FINAL.pdf%20" </w:instrText>
      </w:r>
      <w:r>
        <w:fldChar w:fldCharType="separate"/>
      </w:r>
      <w:r w:rsidRPr="00175EA1">
        <w:rPr>
          <w:rStyle w:val="Hyperlink"/>
          <w:rFonts w:ascii="Times New Roman" w:hAnsi="Times New Roman" w:cs="Times New Roman"/>
          <w:sz w:val="24"/>
          <w:szCs w:val="24"/>
          <w:lang w:val="en-GB"/>
        </w:rPr>
        <w:t>https://www.cgms-info.org/documents/CGMS-46_FINAL.pdf</w:t>
      </w:r>
      <w:r>
        <w:fldChar w:fldCharType="end"/>
      </w:r>
      <w:r w:rsidRPr="00175EA1">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Pr>
          <w:rFonts w:ascii="Times New Roman" w:hAnsi="Times New Roman" w:cs="Times New Roman"/>
          <w:sz w:val="24"/>
          <w:szCs w:val="24"/>
          <w:lang w:val="en-GB"/>
        </w:rPr>
        <w:t xml:space="preserve">13 </w:t>
      </w:r>
      <w:r w:rsidRPr="00175EA1">
        <w:rPr>
          <w:rFonts w:ascii="Times New Roman" w:hAnsi="Times New Roman" w:cs="Times New Roman"/>
          <w:sz w:val="24"/>
          <w:szCs w:val="24"/>
          <w:lang w:val="en-GB"/>
        </w:rPr>
        <w:t>Feb 2019)</w:t>
      </w:r>
    </w:p>
    <w:p w:rsidR="00145AD1" w:rsidRPr="00145AD1" w:rsidP="00456F30">
      <w:pPr>
        <w:ind w:left="360"/>
        <w:rPr>
          <w:rFonts w:ascii="Times New Roman" w:hAnsi="Times New Roman" w:cs="Times New Roman"/>
          <w:sz w:val="24"/>
          <w:szCs w:val="24"/>
          <w:lang w:val="en-GB"/>
        </w:rPr>
      </w:pPr>
      <w:r w:rsidRPr="00145AD1">
        <w:rPr>
          <w:rFonts w:ascii="Times New Roman" w:hAnsi="Times New Roman" w:cs="Times New Roman"/>
          <w:sz w:val="24"/>
          <w:szCs w:val="24"/>
          <w:lang w:val="en-GB"/>
        </w:rPr>
        <w:t>[</w:t>
      </w:r>
      <w:r>
        <w:rPr>
          <w:rFonts w:ascii="Times New Roman" w:hAnsi="Times New Roman" w:cs="Times New Roman"/>
          <w:sz w:val="24"/>
          <w:szCs w:val="24"/>
          <w:lang w:val="en-GB"/>
        </w:rPr>
        <w:t>3</w:t>
      </w:r>
      <w:r w:rsidRPr="00145AD1">
        <w:rPr>
          <w:rFonts w:ascii="Times New Roman" w:hAnsi="Times New Roman" w:cs="Times New Roman"/>
          <w:sz w:val="24"/>
          <w:szCs w:val="24"/>
          <w:lang w:val="en-GB"/>
        </w:rPr>
        <w:t xml:space="preserve">] </w:t>
      </w:r>
      <w:r>
        <w:fldChar w:fldCharType="begin"/>
      </w:r>
      <w:r>
        <w:instrText xml:space="preserve"> HYPERLINK "https://github.com/cf-convention/cf-conventions/pull/145" </w:instrText>
      </w:r>
      <w:r>
        <w:fldChar w:fldCharType="separate"/>
      </w:r>
      <w:r w:rsidRPr="00145AD1">
        <w:rPr>
          <w:rStyle w:val="Hyperlink"/>
          <w:rFonts w:ascii="Times New Roman" w:hAnsi="Times New Roman" w:cs="Times New Roman"/>
          <w:sz w:val="24"/>
          <w:szCs w:val="24"/>
          <w:lang w:val="en-GB"/>
        </w:rPr>
        <w:t>https://github.com/cf-convention/cf-conventions/pull/145</w:t>
      </w:r>
      <w:r>
        <w:fldChar w:fldCharType="end"/>
      </w:r>
      <w:r w:rsidRPr="00145AD1">
        <w:rPr>
          <w:rFonts w:ascii="Times New Roman" w:hAnsi="Times New Roman" w:cs="Times New Roman"/>
          <w:sz w:val="24"/>
          <w:szCs w:val="24"/>
        </w:rPr>
        <w:t xml:space="preserve"> (</w:t>
      </w:r>
      <w:r>
        <w:rPr>
          <w:rFonts w:ascii="Times New Roman" w:hAnsi="Times New Roman" w:cs="Times New Roman"/>
          <w:sz w:val="24"/>
          <w:szCs w:val="24"/>
        </w:rPr>
        <w:t xml:space="preserve">13 </w:t>
      </w:r>
      <w:r>
        <w:rPr>
          <w:rFonts w:ascii="Times New Roman" w:hAnsi="Times New Roman" w:cs="Times New Roman"/>
          <w:sz w:val="24"/>
          <w:szCs w:val="24"/>
        </w:rPr>
        <w:t>Feb 2019)</w:t>
      </w:r>
    </w:p>
    <w:p w:rsidR="00A25CFC" w:rsidP="00A25CFC">
      <w:pPr>
        <w:pStyle w:val="Heading2"/>
        <w:rPr>
          <w:lang w:val="en-GB"/>
        </w:rPr>
      </w:pPr>
      <w:r>
        <w:rPr>
          <w:lang w:val="en-GB"/>
        </w:rPr>
        <w:t>Recommended Text</w:t>
      </w:r>
    </w:p>
    <w:p w:rsidR="008E2746" w:rsidP="00666A6F">
      <w:pPr>
        <w:rPr>
          <w:lang w:val="en-GB"/>
        </w:rPr>
      </w:pPr>
      <w:r>
        <w:rPr>
          <w:lang w:val="en-GB"/>
        </w:rPr>
        <w:t>The use of netCDF in WMO systems has been explored by many groups, notably by the ET-ADRS, which compared the merits of netCDF directly against those of other popula</w:t>
      </w:r>
      <w:r>
        <w:rPr>
          <w:lang w:val="en-GB"/>
        </w:rPr>
        <w:t xml:space="preserve">r data formats. The primary shortcoming of netCDF has been described as the lack of a standard that fulfils all operational needs of WMO. </w:t>
      </w:r>
      <w:r>
        <w:rPr>
          <w:lang w:val="en-GB"/>
        </w:rPr>
        <w:t>As the WMO community increasingly embraces the use of netCDF, it is important to ensure that data products continue to</w:t>
      </w:r>
      <w:r>
        <w:rPr>
          <w:lang w:val="en-GB"/>
        </w:rPr>
        <w:t xml:space="preserve"> be unambiguously interpretable by all users. The CF Conventions are an excellent starting point in reaching this aim; they are widely adopted, well tested and well understood.</w:t>
      </w:r>
    </w:p>
    <w:p w:rsidR="00666A6F" w:rsidP="00666A6F">
      <w:pPr>
        <w:rPr>
          <w:lang w:val="en-GB"/>
        </w:rPr>
      </w:pPr>
      <w:r>
        <w:rPr>
          <w:lang w:val="en-GB"/>
        </w:rPr>
        <w:t>Nonetheless, the CF Conventions have been created primarily by research users a</w:t>
      </w:r>
      <w:r>
        <w:rPr>
          <w:lang w:val="en-GB"/>
        </w:rPr>
        <w:t>nd due to a very slow governance process have not been updated to regulate many useful aspects of the new netCDF</w:t>
      </w:r>
      <w:r>
        <w:rPr>
          <w:lang w:val="en-GB"/>
        </w:rPr>
        <w:noBreakHyphen/>
        <w:t>4 format. As a result, the Conventions do not completely satisfy the needs of the operational numerical weather prediction community. The prima</w:t>
      </w:r>
      <w:r>
        <w:rPr>
          <w:lang w:val="en-GB"/>
        </w:rPr>
        <w:t>ry reason for the slow evolution of the CF Conventions and lack of representation of the concerns of operational NWP (including concerns related to encoding observational data) is a lack of resources in CF governance process.</w:t>
      </w:r>
    </w:p>
    <w:p w:rsidR="008E2746" w:rsidRPr="00F14DFF" w:rsidP="00666A6F">
      <w:r w:rsidRPr="00F14DFF">
        <w:t>The WMO community would profit</w:t>
      </w:r>
      <w:r w:rsidRPr="00F14DFF">
        <w:t xml:space="preserve"> from</w:t>
      </w:r>
      <w:r>
        <w:t>:</w:t>
      </w:r>
    </w:p>
    <w:p w:rsidR="008E2746" w:rsidP="008E2746">
      <w:pPr>
        <w:pStyle w:val="ListParagraph"/>
        <w:numPr>
          <w:ilvl w:val="0"/>
          <w:numId w:val="8"/>
        </w:numPr>
        <w:rPr>
          <w:lang w:val="en-GB"/>
        </w:rPr>
      </w:pPr>
      <w:r>
        <w:rPr>
          <w:lang w:val="en-GB"/>
        </w:rPr>
        <w:t>Making use of the existing CF Conventions when encoding data products in netCDF;</w:t>
      </w:r>
    </w:p>
    <w:p w:rsidR="00F14DFF" w:rsidRPr="00F14DFF" w:rsidP="00F14DFF">
      <w:pPr>
        <w:pStyle w:val="ListParagraph"/>
        <w:numPr>
          <w:ilvl w:val="0"/>
          <w:numId w:val="8"/>
        </w:numPr>
        <w:rPr>
          <w:lang w:val="en-GB"/>
        </w:rPr>
      </w:pPr>
      <w:r>
        <w:rPr>
          <w:lang w:val="en-GB"/>
        </w:rPr>
        <w:t>Contributing</w:t>
      </w:r>
      <w:r w:rsidRPr="00F14DFF">
        <w:rPr>
          <w:lang w:val="en-GB"/>
        </w:rPr>
        <w:t xml:space="preserve"> to </w:t>
      </w:r>
      <w:r>
        <w:rPr>
          <w:lang w:val="en-GB"/>
        </w:rPr>
        <w:t xml:space="preserve">the development of the </w:t>
      </w:r>
      <w:r w:rsidRPr="00F14DFF">
        <w:rPr>
          <w:lang w:val="en-GB"/>
        </w:rPr>
        <w:t>CF</w:t>
      </w:r>
      <w:r>
        <w:rPr>
          <w:lang w:val="en-GB"/>
        </w:rPr>
        <w:t xml:space="preserve"> Conventions using existing processes;</w:t>
      </w:r>
    </w:p>
    <w:p w:rsidR="00F14DFF" w:rsidRPr="00F14DFF" w:rsidP="00F14DFF">
      <w:pPr>
        <w:pStyle w:val="ListParagraph"/>
        <w:numPr>
          <w:ilvl w:val="0"/>
          <w:numId w:val="8"/>
        </w:numPr>
        <w:rPr>
          <w:lang w:val="en-GB"/>
        </w:rPr>
      </w:pPr>
      <w:r>
        <w:rPr>
          <w:lang w:val="en-GB"/>
        </w:rPr>
        <w:t>Specifying</w:t>
      </w:r>
      <w:r w:rsidRPr="00F14DFF">
        <w:rPr>
          <w:lang w:val="en-GB"/>
        </w:rPr>
        <w:t xml:space="preserve"> a subset of </w:t>
      </w:r>
      <w:r>
        <w:rPr>
          <w:lang w:val="en-GB"/>
        </w:rPr>
        <w:t xml:space="preserve">the </w:t>
      </w:r>
      <w:r w:rsidRPr="00F14DFF">
        <w:rPr>
          <w:lang w:val="en-GB"/>
        </w:rPr>
        <w:t xml:space="preserve">CF </w:t>
      </w:r>
      <w:r>
        <w:rPr>
          <w:lang w:val="en-GB"/>
        </w:rPr>
        <w:t>Conventions that would be considered appropriate for opera</w:t>
      </w:r>
      <w:r>
        <w:rPr>
          <w:lang w:val="en-GB"/>
        </w:rPr>
        <w:t>tional use in WMO;</w:t>
      </w:r>
    </w:p>
    <w:p w:rsidR="008E2746" w:rsidRPr="00F14DFF" w:rsidP="00C6703F">
      <w:pPr>
        <w:pStyle w:val="ListParagraph"/>
        <w:numPr>
          <w:ilvl w:val="0"/>
          <w:numId w:val="8"/>
        </w:numPr>
        <w:rPr>
          <w:lang w:val="en-GB"/>
        </w:rPr>
      </w:pPr>
      <w:r w:rsidRPr="00F14DFF">
        <w:rPr>
          <w:lang w:val="en-GB"/>
        </w:rPr>
        <w:t xml:space="preserve">Considering the use of </w:t>
      </w:r>
      <w:r>
        <w:rPr>
          <w:lang w:val="en-GB"/>
        </w:rPr>
        <w:t xml:space="preserve">one or more </w:t>
      </w:r>
      <w:r w:rsidRPr="00F14DFF">
        <w:rPr>
          <w:lang w:val="en-GB"/>
        </w:rPr>
        <w:t>additional metadata attribute</w:t>
      </w:r>
      <w:r>
        <w:rPr>
          <w:lang w:val="en-GB"/>
        </w:rPr>
        <w:t>s</w:t>
      </w:r>
      <w:r w:rsidRPr="00F14DFF">
        <w:rPr>
          <w:lang w:val="en-GB"/>
        </w:rPr>
        <w:t xml:space="preserve"> that would be similar but orthogonal </w:t>
      </w:r>
      <w:r>
        <w:rPr>
          <w:lang w:val="en-GB"/>
        </w:rPr>
        <w:t xml:space="preserve">to </w:t>
      </w:r>
      <w:r w:rsidRPr="00F14DFF">
        <w:rPr>
          <w:lang w:val="en-GB"/>
        </w:rPr>
        <w:t xml:space="preserve">the CF </w:t>
      </w:r>
      <w:r w:rsidRPr="00F14DFF">
        <w:rPr>
          <w:rFonts w:ascii="Consolas" w:hAnsi="Consolas"/>
          <w:lang w:val="en-GB"/>
        </w:rPr>
        <w:t>standard_name</w:t>
      </w:r>
      <w:r w:rsidRPr="00F14DFF">
        <w:rPr>
          <w:lang w:val="en-GB"/>
        </w:rPr>
        <w:t xml:space="preserve"> attribute that would </w:t>
      </w:r>
      <w:r>
        <w:rPr>
          <w:lang w:val="en-GB"/>
        </w:rPr>
        <w:t xml:space="preserve">allow the unambiguous description of variables, as well as mappings between WMO and CF </w:t>
      </w:r>
      <w:r>
        <w:rPr>
          <w:lang w:val="en-GB"/>
        </w:rPr>
        <w:t>metadata standards, while removing</w:t>
      </w:r>
      <w:r w:rsidRPr="00F14DFF">
        <w:rPr>
          <w:lang w:val="en-GB"/>
        </w:rPr>
        <w:t xml:space="preserve"> any dependency between </w:t>
      </w:r>
      <w:r>
        <w:rPr>
          <w:lang w:val="en-GB"/>
        </w:rPr>
        <w:t>WMO and CF governance processes.</w:t>
      </w:r>
    </w:p>
    <w:p w:rsidR="00F8649F" w:rsidRPr="00F14DFF" w:rsidP="00F8649F">
      <w:pPr>
        <w:rPr>
          <w:lang w:val="en-GB"/>
        </w:rPr>
      </w:pPr>
      <w:r>
        <w:rPr>
          <w:lang w:val="en-GB"/>
        </w:rPr>
        <w:t>It is proposed to explore these options in a workshop involving representatives of both WMO and CF. The workshop should pursue the goal of producing clear terms of r</w:t>
      </w:r>
      <w:r>
        <w:rPr>
          <w:lang w:val="en-GB"/>
        </w:rPr>
        <w:t>eference for future work in contributing to the evolution of the CF Conventions and governing the use of these conventions within WMO.</w:t>
      </w:r>
    </w:p>
    <w:p w:rsidR="00F8649F" w:rsidRPr="00C82A87" w:rsidP="00F8649F">
      <w:pPr>
        <w:jc w:val="center"/>
        <w:rPr>
          <w:rFonts w:ascii="Times New Roman" w:hAnsi="Times New Roman" w:cs="Times New Roman"/>
          <w:sz w:val="24"/>
          <w:szCs w:val="24"/>
          <w:lang w:val="en-GB"/>
        </w:rPr>
      </w:pPr>
      <w:r w:rsidRPr="00C82A87">
        <w:rPr>
          <w:rFonts w:ascii="Times New Roman" w:hAnsi="Times New Roman" w:cs="Times New Roman"/>
          <w:sz w:val="24"/>
          <w:szCs w:val="24"/>
          <w:lang w:val="en-GB"/>
        </w:rPr>
        <w:t>--------------------</w:t>
      </w:r>
    </w:p>
    <w:sectPr w:rsidSect="00BA350D">
      <w:headerReference w:type="default" r:id="rId5"/>
      <w:headerReference w:type="first" r:id="rId6"/>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5D74">
    <w:pPr>
      <w:pStyle w:val="Header"/>
      <w:jc w:val="center"/>
    </w:pPr>
    <w:r>
      <w:t xml:space="preserve">Agenda Item. </w:t>
    </w:r>
    <w:r w:rsidRPr="009F1B8F">
      <w:t>[</w:t>
    </w:r>
    <w:r w:rsidRPr="009F1B8F">
      <w:t>7</w:t>
    </w:r>
    <w:r w:rsidRPr="009F1B8F">
      <w:t>]</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3</w:t>
        </w:r>
        <w:r>
          <w:rPr>
            <w:noProof/>
          </w:rPr>
          <w:fldChar w:fldCharType="end"/>
        </w:r>
        <w:r>
          <w:rPr>
            <w:noProof/>
          </w:rPr>
          <w:t>)</w:t>
        </w:r>
      </w:sdtContent>
    </w:sdt>
  </w:p>
  <w:p w:rsidR="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pPr w:leftFromText="181" w:rightFromText="181" w:horzAnchor="margin" w:tblpY="-283"/>
      <w:tblW w:w="10079" w:type="dxa"/>
      <w:tblLayout w:type="fixed"/>
      <w:tblLook w:val="0000"/>
    </w:tblPr>
    <w:tblGrid>
      <w:gridCol w:w="4548"/>
      <w:gridCol w:w="1680"/>
      <w:gridCol w:w="3851"/>
    </w:tblGrid>
    <w:tr w:rsidTr="00BA350D">
      <w:tblPrEx>
        <w:tblW w:w="10079" w:type="dxa"/>
        <w:tblLayout w:type="fixed"/>
        <w:tblLook w:val="0000"/>
      </w:tblPrEx>
      <w:trPr>
        <w:cantSplit/>
        <w:trHeight w:val="1438"/>
      </w:trPr>
      <w:tc>
        <w:tcPr>
          <w:tcW w:w="4548" w:type="dxa"/>
          <w:vAlign w:val="center"/>
        </w:tcPr>
        <w:p w:rsidR="00BA350D" w:rsidRPr="00683FE2"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rsidR="00BA350D" w:rsidRPr="00812884" w:rsidP="00397DA5">
          <w:pPr>
            <w:shd w:val="solid" w:color="FFFFFF" w:fill="FFFFFF"/>
            <w:spacing w:before="240" w:after="0" w:line="240" w:lineRule="atLeast"/>
          </w:pPr>
          <w:bookmarkStart w:id="2" w:name="ditulogo"/>
          <w:bookmarkEnd w:id="2"/>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274.45pt;height:56.55pt" o:oleicon="f" o:ole="">
                <v:imagedata r:id="rId1" o:title=""/>
              </v:shape>
              <o:OLEObject Type="Embed" ProgID="PBrush" ShapeID="_x0000_i2049" DrawAspect="Content" ObjectID="_1611581073" r:id="rId2"/>
            </w:object>
          </w:r>
        </w:p>
      </w:tc>
    </w:tr>
    <w:tr w:rsidTr="00BA350D">
      <w:tblPrEx>
        <w:tblW w:w="10079" w:type="dxa"/>
        <w:tblLayout w:type="fixed"/>
        <w:tblLook w:val="0000"/>
      </w:tblPrEx>
      <w:trPr>
        <w:cantSplit/>
      </w:trPr>
      <w:tc>
        <w:tcPr>
          <w:tcW w:w="6228" w:type="dxa"/>
          <w:gridSpan w:val="2"/>
          <w:tcBorders>
            <w:top w:val="single" w:sz="12" w:space="0" w:color="auto"/>
          </w:tcBorders>
        </w:tcPr>
        <w:p w:rsidR="00BA350D" w:rsidRPr="00812884"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P="00397DA5">
          <w:pPr>
            <w:shd w:val="solid" w:color="FFFFFF" w:fill="FFFFFF"/>
            <w:spacing w:after="48" w:line="240" w:lineRule="atLeast"/>
          </w:pPr>
        </w:p>
      </w:tc>
    </w:tr>
    <w:tr w:rsidTr="00BA350D">
      <w:tblPrEx>
        <w:tblW w:w="10079" w:type="dxa"/>
        <w:tblLayout w:type="fixed"/>
        <w:tblLook w:val="0000"/>
      </w:tblPrEx>
      <w:trPr>
        <w:cantSplit/>
        <w:trHeight w:val="312"/>
      </w:trPr>
      <w:tc>
        <w:tcPr>
          <w:tcW w:w="6228" w:type="dxa"/>
          <w:gridSpan w:val="2"/>
          <w:vMerge w:val="restart"/>
        </w:tcPr>
        <w:p w:rsidR="00BA350D" w:rsidP="005F0C8B">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Inter</w:t>
          </w:r>
          <w:r>
            <w:rPr>
              <w:rFonts w:ascii="Times New Roman" w:hAnsi="Times New Roman" w:cs="Times New Roman"/>
              <w:b/>
              <w:sz w:val="28"/>
              <w:szCs w:val="20"/>
              <w:lang w:val="fr-CH"/>
            </w:rPr>
            <w:t xml:space="preserve">-Program </w:t>
          </w: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Data Representation Development  (IPET-DD)</w:t>
          </w:r>
          <w:r>
            <w:rPr>
              <w:rFonts w:ascii="Times New Roman" w:hAnsi="Times New Roman" w:cs="Times New Roman"/>
              <w:b/>
              <w:sz w:val="28"/>
              <w:szCs w:val="20"/>
            </w:rPr>
            <w:br/>
            <w:t>Zagreb, Croatia</w:t>
          </w:r>
          <w:r w:rsidRPr="00785D74">
            <w:rPr>
              <w:rFonts w:ascii="Times New Roman" w:hAnsi="Times New Roman" w:cs="Times New Roman"/>
              <w:b/>
              <w:sz w:val="28"/>
              <w:szCs w:val="20"/>
            </w:rPr>
            <w:t xml:space="preserve"> </w:t>
          </w:r>
          <w:r w:rsidRPr="009B722A">
            <w:rPr>
              <w:rFonts w:ascii="Times New Roman" w:hAnsi="Times New Roman" w:cs="Times New Roman"/>
              <w:b/>
              <w:sz w:val="28"/>
              <w:szCs w:val="20"/>
            </w:rPr>
            <w:t xml:space="preserve">18-20 </w:t>
          </w:r>
          <w:r>
            <w:rPr>
              <w:rFonts w:ascii="Times New Roman" w:hAnsi="Times New Roman" w:cs="Times New Roman"/>
              <w:b/>
              <w:sz w:val="28"/>
              <w:szCs w:val="20"/>
            </w:rPr>
            <w:t>February 2019</w:t>
          </w:r>
        </w:p>
        <w:p w:rsidR="0013270C" w:rsidRPr="00BA350D" w:rsidP="00994DE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Pr>
              <w:rFonts w:ascii="Times New Roman" w:hAnsi="Times New Roman" w:cs="Times New Roman"/>
              <w:sz w:val="28"/>
              <w:szCs w:val="20"/>
            </w:rPr>
            <w:t>EUMETSAT</w:t>
          </w:r>
        </w:p>
      </w:tc>
      <w:tc>
        <w:tcPr>
          <w:tcW w:w="3851" w:type="dxa"/>
        </w:tcPr>
        <w:p w:rsidR="00BA350D" w:rsidRPr="009D716E" w:rsidP="004B68D2">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IPET-DD-1</w:t>
          </w:r>
          <w:r w:rsidRPr="009D716E">
            <w:rPr>
              <w:rFonts w:ascii="Times New Roman" w:hAnsi="Times New Roman" w:cs="Times New Roman"/>
              <w:b/>
              <w:bCs/>
              <w:sz w:val="28"/>
              <w:szCs w:val="20"/>
              <w:lang w:eastAsia="zh-CN"/>
            </w:rPr>
            <w:br/>
            <w:t>Agenda Item [</w:t>
          </w:r>
          <w:r>
            <w:rPr>
              <w:rFonts w:ascii="Times New Roman" w:hAnsi="Times New Roman" w:cs="Times New Roman"/>
              <w:b/>
              <w:bCs/>
              <w:sz w:val="28"/>
              <w:szCs w:val="20"/>
              <w:lang w:eastAsia="zh-CN"/>
            </w:rPr>
            <w:t>7</w:t>
          </w:r>
          <w:r w:rsidRPr="009D716E">
            <w:rPr>
              <w:rFonts w:ascii="Times New Roman" w:hAnsi="Times New Roman" w:cs="Times New Roman"/>
              <w:b/>
              <w:bCs/>
              <w:sz w:val="28"/>
              <w:szCs w:val="20"/>
              <w:lang w:eastAsia="zh-CN"/>
            </w:rPr>
            <w:t>]</w:t>
          </w:r>
        </w:p>
      </w:tc>
    </w:tr>
    <w:tr w:rsidTr="00BA350D">
      <w:tblPrEx>
        <w:tblW w:w="10079" w:type="dxa"/>
        <w:tblLayout w:type="fixed"/>
        <w:tblLook w:val="0000"/>
      </w:tblPrEx>
      <w:trPr>
        <w:cantSplit/>
        <w:trHeight w:val="81"/>
      </w:trPr>
      <w:tc>
        <w:tcPr>
          <w:tcW w:w="6228" w:type="dxa"/>
          <w:gridSpan w:val="2"/>
          <w:vMerge/>
        </w:tcPr>
        <w:p w:rsidR="00BA350D" w:rsidRPr="009D716E" w:rsidP="00397DA5">
          <w:pPr>
            <w:shd w:val="solid" w:color="FFFFFF" w:fill="FFFFFF"/>
            <w:spacing w:after="240"/>
            <w:ind w:left="1134" w:hanging="1134"/>
            <w:rPr>
              <w:rFonts w:ascii="Verdana" w:hAnsi="Verdana" w:cs="Verdana"/>
              <w:sz w:val="20"/>
              <w:szCs w:val="20"/>
            </w:rPr>
          </w:pPr>
        </w:p>
      </w:tc>
      <w:tc>
        <w:tcPr>
          <w:tcW w:w="3851" w:type="dxa"/>
        </w:tcPr>
        <w:p w:rsidR="0013270C" w:rsidRPr="0013270C" w:rsidP="005F0C8B">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20 February</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rsidR="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24DF30EA"/>
    <w:multiLevelType w:val="hybridMultilevel"/>
    <w:tmpl w:val="391AFC46"/>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8972EF3"/>
    <w:multiLevelType w:val="hybridMultilevel"/>
    <w:tmpl w:val="0E56708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582130C5"/>
    <w:multiLevelType w:val="hybridMultilevel"/>
    <w:tmpl w:val="4BB022E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5B1D22A1"/>
    <w:multiLevelType w:val="hybridMultilevel"/>
    <w:tmpl w:val="F4120556"/>
    <w:lvl w:ilvl="0">
      <w:start w:val="0"/>
      <w:numFmt w:val="bullet"/>
      <w:lvlText w:val="-"/>
      <w:lvlJc w:val="left"/>
      <w:pPr>
        <w:ind w:left="720" w:hanging="360"/>
      </w:pPr>
      <w:rPr>
        <w:rFonts w:ascii="Calibri" w:hAnsi="Calibri" w:eastAsiaTheme="minorHAns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5C2131F6"/>
    <w:multiLevelType w:val="hybridMultilevel"/>
    <w:tmpl w:val="F56A8D9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60223F4B"/>
    <w:multiLevelType w:val="hybridMultilevel"/>
    <w:tmpl w:val="AD40F1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774B4765"/>
    <w:multiLevelType w:val="hybridMultilevel"/>
    <w:tmpl w:val="53403A12"/>
    <w:lvl w:ilvl="0">
      <w:start w:val="18"/>
      <w:numFmt w:val="bullet"/>
      <w:lvlText w:val="-"/>
      <w:lvlJc w:val="left"/>
      <w:pPr>
        <w:ind w:left="720" w:hanging="360"/>
      </w:pPr>
      <w:rPr>
        <w:rFonts w:ascii="Arial" w:hAnsi="Arial" w:eastAsiaTheme="minorHAns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2"/>
  </w:num>
  <w:num w:numId="6">
    <w:abstractNumId w:val="7"/>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351DE7"/>
    <w:rPr>
      <w:color w:val="0000FF" w:themeColor="hyperlink"/>
      <w:u w:val="single"/>
    </w:rPr>
  </w:style>
  <w:style w:type="paragraph" w:styleId="IntenseQuote">
    <w:name w:val="Intense Quote"/>
    <w:basedOn w:val="Normal"/>
    <w:next w:val="Normal"/>
    <w:link w:val="IntenseQuoteChar"/>
    <w:uiPriority w:val="30"/>
    <w:qFormat/>
    <w:rsid w:val="00351DE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51DE7"/>
    <w:rPr>
      <w:i/>
      <w:iCs/>
      <w:color w:val="4F81BD" w:themeColor="accent1"/>
    </w:rPr>
  </w:style>
  <w:style w:type="paragraph" w:styleId="Quote">
    <w:name w:val="Quote"/>
    <w:basedOn w:val="Normal"/>
    <w:next w:val="Normal"/>
    <w:link w:val="QuoteChar"/>
    <w:uiPriority w:val="29"/>
    <w:qFormat/>
    <w:rsid w:val="00351DE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51DE7"/>
    <w:rPr>
      <w:i/>
      <w:iCs/>
      <w:color w:val="404040" w:themeColor="text1" w:themeTint="BF"/>
    </w:rPr>
  </w:style>
  <w:style w:type="character" w:styleId="Emphasis">
    <w:name w:val="Emphasis"/>
    <w:basedOn w:val="DefaultParagraphFont"/>
    <w:uiPriority w:val="20"/>
    <w:qFormat/>
    <w:rsid w:val="009B7362"/>
    <w:rPr>
      <w:i/>
      <w:iCs/>
    </w:rPr>
  </w:style>
  <w:style w:type="paragraph" w:styleId="Caption">
    <w:name w:val="caption"/>
    <w:basedOn w:val="Normal"/>
    <w:next w:val="Normal"/>
    <w:uiPriority w:val="35"/>
    <w:unhideWhenUsed/>
    <w:qFormat/>
    <w:rsid w:val="005F729A"/>
    <w:pPr>
      <w:spacing w:line="240" w:lineRule="auto"/>
    </w:pPr>
    <w:rPr>
      <w:i/>
      <w:iCs/>
      <w:color w:val="1F497D" w:themeColor="text2"/>
      <w:sz w:val="18"/>
      <w:szCs w:val="18"/>
    </w:rPr>
  </w:style>
  <w:style w:type="character" w:styleId="CommentReference">
    <w:name w:val="annotation reference"/>
    <w:basedOn w:val="DefaultParagraphFont"/>
    <w:uiPriority w:val="99"/>
    <w:semiHidden/>
    <w:unhideWhenUsed/>
    <w:rsid w:val="00994DE7"/>
    <w:rPr>
      <w:sz w:val="16"/>
      <w:szCs w:val="16"/>
    </w:rPr>
  </w:style>
  <w:style w:type="paragraph" w:styleId="CommentText">
    <w:name w:val="annotation text"/>
    <w:basedOn w:val="Normal"/>
    <w:link w:val="CommentTextChar"/>
    <w:uiPriority w:val="99"/>
    <w:semiHidden/>
    <w:unhideWhenUsed/>
    <w:rsid w:val="00994DE7"/>
    <w:pPr>
      <w:spacing w:line="240" w:lineRule="auto"/>
    </w:pPr>
    <w:rPr>
      <w:sz w:val="20"/>
      <w:szCs w:val="20"/>
    </w:rPr>
  </w:style>
  <w:style w:type="character" w:customStyle="1" w:styleId="CommentTextChar">
    <w:name w:val="Comment Text Char"/>
    <w:basedOn w:val="DefaultParagraphFont"/>
    <w:link w:val="CommentText"/>
    <w:uiPriority w:val="99"/>
    <w:semiHidden/>
    <w:rsid w:val="00994DE7"/>
    <w:rPr>
      <w:sz w:val="20"/>
      <w:szCs w:val="20"/>
    </w:rPr>
  </w:style>
  <w:style w:type="paragraph" w:styleId="CommentSubject">
    <w:name w:val="annotation subject"/>
    <w:basedOn w:val="CommentText"/>
    <w:next w:val="CommentText"/>
    <w:link w:val="CommentSubjectChar"/>
    <w:uiPriority w:val="99"/>
    <w:semiHidden/>
    <w:unhideWhenUsed/>
    <w:rsid w:val="00994DE7"/>
    <w:rPr>
      <w:b/>
      <w:bCs/>
    </w:rPr>
  </w:style>
  <w:style w:type="character" w:customStyle="1" w:styleId="CommentSubjectChar">
    <w:name w:val="Comment Subject Char"/>
    <w:basedOn w:val="CommentTextChar"/>
    <w:link w:val="CommentSubject"/>
    <w:uiPriority w:val="99"/>
    <w:semiHidden/>
    <w:rsid w:val="00994DE7"/>
    <w:rPr>
      <w:b/>
      <w:bCs/>
      <w:sz w:val="20"/>
      <w:szCs w:val="20"/>
    </w:rPr>
  </w:style>
  <w:style w:type="paragraph" w:styleId="BalloonText">
    <w:name w:val="Balloon Text"/>
    <w:basedOn w:val="Normal"/>
    <w:link w:val="BalloonTextChar"/>
    <w:uiPriority w:val="99"/>
    <w:semiHidden/>
    <w:unhideWhenUsed/>
    <w:rsid w:val="00994D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4D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header2.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oleObject" Target="embeddings/oleObject1.bin"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leeda\AppData\Local\Microsoft\Windows\INetCache\IE\KCVLXETT\IPET-DD-1-AI(xx)-template.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32B68-C96D-4A89-9ABA-EE54C62B1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IPET-DD-1-AI(xx)-template</Template>
  <TotalTime>686</TotalTime>
  <Pages>5</Pages>
  <Words>1709</Words>
  <Characters>9746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11433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Daniel Lee</dc:creator>
  <cp:lastModifiedBy>Daniel Lee</cp:lastModifiedBy>
  <cp:revision>8</cp:revision>
  <cp:lastPrinted>2019-02-13T10:16:00Z</cp:lastPrinted>
  <dcterms:created xsi:type="dcterms:W3CDTF">2019-01-30T15:14:00Z</dcterms:created>
  <dcterms:modified xsi:type="dcterms:W3CDTF">2019-02-13T15:38:00Z</dcterms:modified>
</cp:coreProperties>
</file>