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3064E3" w:rsidP="00F8649F">
      <w:pPr>
        <w:pStyle w:val="Heading1"/>
      </w:pPr>
      <w:r>
        <w:t xml:space="preserve">Proposal for </w:t>
      </w:r>
      <w:r w:rsidR="00F91051" w:rsidRPr="00F91051">
        <w:t>WMLGW</w:t>
      </w:r>
      <w:r w:rsidR="00255045">
        <w:t xml:space="preserve"> - </w:t>
      </w:r>
      <w:r w:rsidR="00255045" w:rsidRPr="00255045">
        <w:t>WATERML2 GROUNDWATER</w:t>
      </w:r>
    </w:p>
    <w:p w:rsidR="00F8649F" w:rsidRDefault="003064E3" w:rsidP="00F8649F">
      <w:pPr>
        <w:pStyle w:val="Heading2"/>
      </w:pPr>
      <w:r>
        <w:t>Background</w:t>
      </w:r>
    </w:p>
    <w:p w:rsidR="00C676E9" w:rsidRDefault="00C676E9" w:rsidP="00EE1BBD">
      <w:pPr>
        <w:jc w:val="both"/>
      </w:pPr>
      <w:r w:rsidRPr="00C676E9">
        <w:t xml:space="preserve">A significant portion of the global water supply can be attributed to groundwater resources. Effective management of such resources requires the collection, management and delivery of related data, but these are impeded by issues related to data availability, distribution, fragmentation, and heterogeneity: collected data are not all readily available and accessible, available data is distributed across many agencies in different sectors, often thematically fragmented, and similar types of data are diversely structured by the various data providers. This situation holds both within and between political entities, such as countries or states, impairing groundwater management across all jurisdictions. </w:t>
      </w:r>
      <w:r>
        <w:t xml:space="preserve"> </w:t>
      </w:r>
      <w:r w:rsidRPr="00C676E9">
        <w:t>The Hydrology Domain Working Group</w:t>
      </w:r>
      <w:r>
        <w:t>,</w:t>
      </w:r>
      <w:r w:rsidRPr="00C676E9">
        <w:t xml:space="preserve"> a Joint Working Group of the WMO and the OGC</w:t>
      </w:r>
      <w:r>
        <w:t xml:space="preserve">, promoted the development of </w:t>
      </w:r>
      <w:r w:rsidRPr="00C676E9">
        <w:t>GroundWaterML2, a common groundwater data standard</w:t>
      </w:r>
      <w:r>
        <w:t xml:space="preserve">, which is </w:t>
      </w:r>
      <w:r w:rsidR="00AF5776">
        <w:t xml:space="preserve">the Part 4 of </w:t>
      </w:r>
      <w:r>
        <w:t xml:space="preserve">WaterML2, whose </w:t>
      </w:r>
      <w:r w:rsidRPr="00C676E9">
        <w:t>primary goal is to capture the semantics, schema, and encoding syntax of key groundwater data, to enable information systems to interoperate with such data.</w:t>
      </w:r>
      <w:r>
        <w:t xml:space="preserve"> After its adoption as an OGC standard and having tested it successfully into WHOS (WMO Hydrological Observing System) for sharing groundwater information in WIGOS, facilitating</w:t>
      </w:r>
      <w:r w:rsidR="00F91051">
        <w:t xml:space="preserve"> groundwater data discovery and access</w:t>
      </w:r>
      <w:r>
        <w:t xml:space="preserve"> through WIS</w:t>
      </w:r>
      <w:r w:rsidR="00F91051">
        <w:t xml:space="preserve">, the schema WMLGW-XML will complete the </w:t>
      </w:r>
      <w:r w:rsidR="00EE1BBD">
        <w:t>standard</w:t>
      </w:r>
      <w:r w:rsidR="00F91051">
        <w:t xml:space="preserve"> WaterML</w:t>
      </w:r>
      <w:r w:rsidR="00EE1BBD">
        <w:t xml:space="preserve">2, already adopted in the </w:t>
      </w:r>
      <w:r w:rsidR="00EE1BBD" w:rsidRPr="00EE1BBD">
        <w:t>Manual on Codes Vol. I.3</w:t>
      </w:r>
      <w:r w:rsidR="00EE1BBD">
        <w:t>,</w:t>
      </w:r>
      <w:r w:rsidR="00EE1BBD" w:rsidRPr="00EE1BBD">
        <w:t xml:space="preserve"> </w:t>
      </w:r>
      <w:r w:rsidR="00F91051">
        <w:t xml:space="preserve"> </w:t>
      </w:r>
      <w:r w:rsidR="00F91051" w:rsidRPr="00F91051">
        <w:t>for the exchange of hydrogeological information</w:t>
      </w:r>
      <w:r w:rsidR="00F91051">
        <w:t xml:space="preserve"> groundwater</w:t>
      </w:r>
      <w:r w:rsidR="00AF5776">
        <w:t xml:space="preserve"> as well</w:t>
      </w:r>
      <w:r w:rsidR="00EE1BBD">
        <w:t>.</w:t>
      </w:r>
    </w:p>
    <w:p w:rsidR="003064E3" w:rsidRPr="003064E3" w:rsidRDefault="003064E3" w:rsidP="003064E3"/>
    <w:p w:rsidR="00F8649F" w:rsidRPr="00F8649F" w:rsidRDefault="003064E3" w:rsidP="00F8649F">
      <w:pPr>
        <w:pStyle w:val="Heading2"/>
      </w:pPr>
      <w:r>
        <w:t>Proposal</w:t>
      </w:r>
    </w:p>
    <w:p w:rsidR="003064E3" w:rsidRDefault="003064E3" w:rsidP="00C676E9">
      <w:pPr>
        <w:jc w:val="both"/>
        <w:rPr>
          <w:rFonts w:ascii="Times New Roman" w:hAnsi="Times New Roman" w:cs="Times New Roman"/>
          <w:sz w:val="24"/>
          <w:szCs w:val="24"/>
        </w:rPr>
      </w:pPr>
      <w:r>
        <w:rPr>
          <w:rFonts w:ascii="Times New Roman" w:hAnsi="Times New Roman" w:cs="Times New Roman"/>
          <w:sz w:val="24"/>
          <w:szCs w:val="24"/>
        </w:rPr>
        <w:t>The change to the Manual on Codes Vol. I.3 in attachment is proposed. The team is requested to examine the proposal and the document referenced with the aim to propose the change with the appropriate procedure.</w:t>
      </w:r>
    </w:p>
    <w:p w:rsidR="00F8649F" w:rsidRDefault="00F8649F" w:rsidP="00F8649F">
      <w:pPr>
        <w:pStyle w:val="Heading2"/>
      </w:pPr>
      <w:r>
        <w:t>References</w:t>
      </w:r>
    </w:p>
    <w:p w:rsidR="00F8649F" w:rsidRPr="0029272E" w:rsidRDefault="00456F30" w:rsidP="00456F30">
      <w:pPr>
        <w:ind w:left="360"/>
        <w:rPr>
          <w:rFonts w:ascii="Times New Roman" w:hAnsi="Times New Roman" w:cs="Times New Roman"/>
          <w:sz w:val="24"/>
          <w:szCs w:val="24"/>
        </w:rPr>
      </w:pPr>
      <w:r w:rsidRPr="0029272E">
        <w:rPr>
          <w:rFonts w:ascii="Times New Roman" w:hAnsi="Times New Roman" w:cs="Times New Roman"/>
          <w:sz w:val="24"/>
          <w:szCs w:val="24"/>
        </w:rPr>
        <w:t xml:space="preserve">[1] </w:t>
      </w:r>
      <w:r w:rsidR="0029272E" w:rsidRPr="0029272E">
        <w:rPr>
          <w:rFonts w:ascii="Times New Roman" w:hAnsi="Times New Roman" w:cs="Times New Roman"/>
          <w:sz w:val="24"/>
          <w:szCs w:val="24"/>
        </w:rPr>
        <w:t>https://www.opengeospatial.org/standards/gwml2</w:t>
      </w:r>
    </w:p>
    <w:p w:rsidR="00F8649F" w:rsidRPr="0029272E" w:rsidRDefault="00456F30" w:rsidP="00456F30">
      <w:pPr>
        <w:ind w:left="360"/>
        <w:rPr>
          <w:rFonts w:ascii="Times New Roman" w:hAnsi="Times New Roman" w:cs="Times New Roman"/>
          <w:sz w:val="24"/>
          <w:szCs w:val="24"/>
        </w:rPr>
      </w:pPr>
      <w:r w:rsidRPr="0029272E">
        <w:rPr>
          <w:rFonts w:ascii="Times New Roman" w:hAnsi="Times New Roman" w:cs="Times New Roman"/>
          <w:sz w:val="24"/>
          <w:szCs w:val="24"/>
        </w:rPr>
        <w:t xml:space="preserve">[2] </w:t>
      </w:r>
      <w:r w:rsidR="0029272E" w:rsidRPr="0029272E">
        <w:rPr>
          <w:rFonts w:ascii="Times New Roman" w:hAnsi="Times New Roman" w:cs="Times New Roman"/>
          <w:sz w:val="24"/>
          <w:szCs w:val="24"/>
        </w:rPr>
        <w:t>https://link.springer.com/article/10.1007/s10040-018-1747-9</w:t>
      </w:r>
    </w:p>
    <w:p w:rsidR="0029272E" w:rsidRDefault="0029272E" w:rsidP="00456F30">
      <w:pPr>
        <w:ind w:left="360"/>
        <w:rPr>
          <w:rFonts w:ascii="Times New Roman" w:hAnsi="Times New Roman" w:cs="Times New Roman"/>
          <w:sz w:val="24"/>
          <w:szCs w:val="24"/>
        </w:rPr>
      </w:pPr>
      <w:r w:rsidRPr="0029272E">
        <w:rPr>
          <w:rFonts w:ascii="Times New Roman" w:hAnsi="Times New Roman" w:cs="Times New Roman"/>
          <w:sz w:val="24"/>
          <w:szCs w:val="24"/>
        </w:rPr>
        <w:lastRenderedPageBreak/>
        <w:t>[3] https://link.springer.com/article/10.1186%2Fs40965-018-0058-3</w:t>
      </w:r>
    </w:p>
    <w:p w:rsidR="0029272E" w:rsidRDefault="0029272E" w:rsidP="00A25CFC">
      <w:pPr>
        <w:pStyle w:val="Heading2"/>
      </w:pPr>
    </w:p>
    <w:p w:rsidR="00F8649F" w:rsidRDefault="00F8649F" w:rsidP="00F8649F">
      <w:pPr>
        <w:rPr>
          <w:rFonts w:ascii="Times New Roman" w:hAnsi="Times New Roman" w:cs="Times New Roman"/>
          <w:sz w:val="24"/>
          <w:szCs w:val="24"/>
        </w:rPr>
      </w:pPr>
      <w:bookmarkStart w:id="0" w:name="_GoBack"/>
      <w:bookmarkEnd w:id="0"/>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204" w:rsidRDefault="00495204" w:rsidP="00BA350D">
      <w:pPr>
        <w:spacing w:after="0" w:line="240" w:lineRule="auto"/>
      </w:pPr>
      <w:r>
        <w:separator/>
      </w:r>
    </w:p>
  </w:endnote>
  <w:endnote w:type="continuationSeparator" w:id="0">
    <w:p w:rsidR="00495204" w:rsidRDefault="0049520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204" w:rsidRDefault="00495204" w:rsidP="00BA350D">
      <w:pPr>
        <w:spacing w:after="0" w:line="240" w:lineRule="auto"/>
      </w:pPr>
      <w:r>
        <w:separator/>
      </w:r>
    </w:p>
  </w:footnote>
  <w:footnote w:type="continuationSeparator" w:id="0">
    <w:p w:rsidR="00495204" w:rsidRDefault="0049520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210FA0">
          <w:fldChar w:fldCharType="begin"/>
        </w:r>
        <w:r w:rsidR="00785D74">
          <w:instrText xml:space="preserve"> PAGE   \* MERGEFORMAT </w:instrText>
        </w:r>
        <w:r w:rsidR="00210FA0">
          <w:fldChar w:fldCharType="separate"/>
        </w:r>
        <w:r w:rsidR="008A1E4F">
          <w:rPr>
            <w:noProof/>
          </w:rPr>
          <w:t>2</w:t>
        </w:r>
        <w:r w:rsidR="00210FA0">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1147632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F0C8B" w:rsidP="005F0C8B">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Inter</w:t>
          </w:r>
          <w:r w:rsidRPr="003064E3">
            <w:rPr>
              <w:rFonts w:ascii="Times New Roman" w:hAnsi="Times New Roman" w:cs="Times New Roman"/>
              <w:b/>
              <w:sz w:val="28"/>
              <w:szCs w:val="20"/>
              <w:lang w:val="en-GB"/>
            </w:rPr>
            <w:t xml:space="preserve">-Program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Data Representation Development </w:t>
          </w:r>
          <w:r w:rsidR="009B722A">
            <w:rPr>
              <w:rFonts w:ascii="Times New Roman" w:hAnsi="Times New Roman" w:cs="Times New Roman"/>
              <w:b/>
              <w:sz w:val="28"/>
              <w:szCs w:val="20"/>
            </w:rPr>
            <w:t xml:space="preserve"> (</w:t>
          </w:r>
          <w:r>
            <w:rPr>
              <w:rFonts w:ascii="Times New Roman" w:hAnsi="Times New Roman" w:cs="Times New Roman"/>
              <w:b/>
              <w:sz w:val="28"/>
              <w:szCs w:val="20"/>
            </w:rPr>
            <w:t>IPET-DD</w:t>
          </w:r>
          <w:r w:rsidR="009B722A">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Zagreb</w:t>
          </w:r>
          <w:r w:rsidR="009B722A">
            <w:rPr>
              <w:rFonts w:ascii="Times New Roman" w:hAnsi="Times New Roman" w:cs="Times New Roman"/>
              <w:b/>
              <w:sz w:val="28"/>
              <w:szCs w:val="20"/>
            </w:rPr>
            <w:t xml:space="preserve">, </w:t>
          </w:r>
          <w:r>
            <w:rPr>
              <w:rFonts w:ascii="Times New Roman" w:hAnsi="Times New Roman" w:cs="Times New Roman"/>
              <w:b/>
              <w:sz w:val="28"/>
              <w:szCs w:val="20"/>
            </w:rPr>
            <w:t>Croatia</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 xml:space="preserve">18-20 </w:t>
          </w:r>
          <w:r>
            <w:rPr>
              <w:rFonts w:ascii="Times New Roman" w:hAnsi="Times New Roman" w:cs="Times New Roman"/>
              <w:b/>
              <w:sz w:val="28"/>
              <w:szCs w:val="20"/>
            </w:rPr>
            <w:t>February</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Pr>
              <w:rFonts w:ascii="Times New Roman" w:hAnsi="Times New Roman" w:cs="Times New Roman"/>
              <w:b/>
              <w:sz w:val="28"/>
              <w:szCs w:val="20"/>
            </w:rPr>
            <w:t>9</w:t>
          </w:r>
        </w:p>
        <w:p w:rsidR="0013270C" w:rsidRPr="00BA350D" w:rsidRDefault="0013270C" w:rsidP="003064E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3064E3">
            <w:rPr>
              <w:rFonts w:ascii="Times New Roman" w:hAnsi="Times New Roman" w:cs="Times New Roman"/>
              <w:sz w:val="28"/>
              <w:szCs w:val="20"/>
            </w:rPr>
            <w:t>Silvano</w:t>
          </w:r>
          <w:proofErr w:type="spellEnd"/>
          <w:r w:rsidR="003064E3">
            <w:rPr>
              <w:rFonts w:ascii="Times New Roman" w:hAnsi="Times New Roman" w:cs="Times New Roman"/>
              <w:sz w:val="28"/>
              <w:szCs w:val="20"/>
            </w:rPr>
            <w:t xml:space="preserve"> </w:t>
          </w:r>
          <w:proofErr w:type="spellStart"/>
          <w:r w:rsidR="003064E3">
            <w:rPr>
              <w:rFonts w:ascii="Times New Roman" w:hAnsi="Times New Roman" w:cs="Times New Roman"/>
              <w:sz w:val="28"/>
              <w:szCs w:val="20"/>
            </w:rPr>
            <w:t>Pecora</w:t>
          </w:r>
          <w:proofErr w:type="spellEnd"/>
          <w:r w:rsidR="003064E3">
            <w:rPr>
              <w:rFonts w:ascii="Times New Roman" w:hAnsi="Times New Roman" w:cs="Times New Roman"/>
              <w:sz w:val="28"/>
              <w:szCs w:val="20"/>
            </w:rPr>
            <w:t xml:space="preserve"> vice-President </w:t>
          </w:r>
          <w:proofErr w:type="spellStart"/>
          <w:r w:rsidR="003064E3">
            <w:rPr>
              <w:rFonts w:ascii="Times New Roman" w:hAnsi="Times New Roman" w:cs="Times New Roman"/>
              <w:sz w:val="28"/>
              <w:szCs w:val="20"/>
            </w:rPr>
            <w:t>CHy</w:t>
          </w:r>
          <w:proofErr w:type="spellEnd"/>
        </w:p>
      </w:tc>
      <w:tc>
        <w:tcPr>
          <w:tcW w:w="3851" w:type="dxa"/>
        </w:tcPr>
        <w:p w:rsidR="00BA350D" w:rsidRPr="009D716E" w:rsidRDefault="005F0C8B"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IPET-DD-1</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C60717">
            <w:rPr>
              <w:rFonts w:ascii="Times New Roman" w:hAnsi="Times New Roman" w:cs="Times New Roman"/>
              <w:b/>
              <w:bCs/>
              <w:sz w:val="28"/>
              <w:szCs w:val="20"/>
              <w:lang w:eastAsia="zh-CN"/>
            </w:rPr>
            <w:t>x</w:t>
          </w:r>
          <w:r w:rsidR="009B722A">
            <w:rPr>
              <w:rFonts w:ascii="Times New Roman" w:hAnsi="Times New Roman" w:cs="Times New Roman"/>
              <w:b/>
              <w:bCs/>
              <w:sz w:val="28"/>
              <w:szCs w:val="20"/>
              <w:lang w:eastAsia="zh-CN"/>
            </w:rPr>
            <w:t>x</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3064E3"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6.2.</w:t>
          </w:r>
          <w:r w:rsidR="00BA350D" w:rsidRPr="0013270C">
            <w:rPr>
              <w:rFonts w:ascii="Times New Roman" w:hAnsi="Times New Roman" w:cs="Times New Roman"/>
              <w:b/>
              <w:bCs/>
              <w:sz w:val="28"/>
              <w:szCs w:val="20"/>
              <w:lang w:eastAsia="zh-CN"/>
            </w:rPr>
            <w:t>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hyphenationZone w:val="283"/>
  <w:characterSpacingControl w:val="doNotCompress"/>
  <w:hdrShapeDefaults>
    <o:shapedefaults v:ext="edit" spidmax="7170"/>
  </w:hdrShapeDefaults>
  <w:footnotePr>
    <w:footnote w:id="-1"/>
    <w:footnote w:id="0"/>
  </w:footnotePr>
  <w:endnotePr>
    <w:endnote w:id="-1"/>
    <w:endnote w:id="0"/>
  </w:endnotePr>
  <w:compat>
    <w:compatSetting w:name="compatibilityMode" w:uri="http://schemas.microsoft.com/office/word" w:val="12"/>
  </w:compat>
  <w:rsids>
    <w:rsidRoot w:val="003064E3"/>
    <w:rsid w:val="000E62F7"/>
    <w:rsid w:val="0013270C"/>
    <w:rsid w:val="001A7EB8"/>
    <w:rsid w:val="00210FA0"/>
    <w:rsid w:val="00255045"/>
    <w:rsid w:val="0029272E"/>
    <w:rsid w:val="00302A95"/>
    <w:rsid w:val="003064E3"/>
    <w:rsid w:val="00382768"/>
    <w:rsid w:val="00393854"/>
    <w:rsid w:val="00456F30"/>
    <w:rsid w:val="00495204"/>
    <w:rsid w:val="004C627B"/>
    <w:rsid w:val="00511FE7"/>
    <w:rsid w:val="005F0C8B"/>
    <w:rsid w:val="0067003E"/>
    <w:rsid w:val="00711EBB"/>
    <w:rsid w:val="00785D74"/>
    <w:rsid w:val="008A1E4F"/>
    <w:rsid w:val="008C157E"/>
    <w:rsid w:val="0094789B"/>
    <w:rsid w:val="009B722A"/>
    <w:rsid w:val="009C3DE0"/>
    <w:rsid w:val="009D716E"/>
    <w:rsid w:val="00A25CFC"/>
    <w:rsid w:val="00A27A48"/>
    <w:rsid w:val="00AF5776"/>
    <w:rsid w:val="00B36904"/>
    <w:rsid w:val="00B439DE"/>
    <w:rsid w:val="00BA350D"/>
    <w:rsid w:val="00C5333A"/>
    <w:rsid w:val="00C60717"/>
    <w:rsid w:val="00C676E9"/>
    <w:rsid w:val="00CB6D6D"/>
    <w:rsid w:val="00CF7953"/>
    <w:rsid w:val="00D55749"/>
    <w:rsid w:val="00DE45A1"/>
    <w:rsid w:val="00E212B8"/>
    <w:rsid w:val="00EE1BBD"/>
    <w:rsid w:val="00F8649F"/>
    <w:rsid w:val="00F91051"/>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A0"/>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255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0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IPET-DD\IPET-DD-1\IPET-DD-1-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01E51-3B94-4202-863A-C219148A3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IPET-DD-1-AI(xx)-template</Template>
  <TotalTime>80</TotalTime>
  <Pages>2</Pages>
  <Words>292</Words>
  <Characters>1669</Characters>
  <Application>Microsoft Office Word</Application>
  <DocSecurity>0</DocSecurity>
  <Lines>13</Lines>
  <Paragraphs>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TT-GISC2018</vt:lpstr>
      <vt:lpstr>TT-GISC2018</vt:lpstr>
    </vt:vector>
  </TitlesOfParts>
  <Company>WMO</Company>
  <LinksUpToDate>false</LinksUpToDate>
  <CharactersWithSpaces>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5</cp:revision>
  <dcterms:created xsi:type="dcterms:W3CDTF">2019-02-06T09:47:00Z</dcterms:created>
  <dcterms:modified xsi:type="dcterms:W3CDTF">2019-02-12T10:32:00Z</dcterms:modified>
</cp:coreProperties>
</file>