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A3520" w14:textId="5C2A435F" w:rsidR="0072159E" w:rsidRPr="009F41E6" w:rsidRDefault="00664E37">
      <w:pPr>
        <w:rPr>
          <w:rFonts w:ascii="Arial" w:hAnsi="Arial" w:cs="Arial"/>
          <w:b/>
          <w:sz w:val="28"/>
          <w:szCs w:val="28"/>
        </w:rPr>
      </w:pPr>
      <w:r w:rsidRPr="009F41E6">
        <w:rPr>
          <w:rFonts w:ascii="Arial" w:hAnsi="Arial" w:cs="Arial"/>
          <w:b/>
          <w:sz w:val="28"/>
          <w:szCs w:val="28"/>
        </w:rPr>
        <w:t>7</w:t>
      </w:r>
      <w:r w:rsidRPr="009F41E6">
        <w:rPr>
          <w:rFonts w:ascii="Arial" w:hAnsi="Arial" w:cs="Arial"/>
          <w:b/>
          <w:sz w:val="28"/>
          <w:szCs w:val="28"/>
        </w:rPr>
        <w:tab/>
      </w:r>
      <w:r w:rsidR="00FB2C8B" w:rsidRPr="009F41E6">
        <w:rPr>
          <w:rFonts w:ascii="Arial" w:hAnsi="Arial" w:cs="Arial"/>
          <w:b/>
          <w:sz w:val="28"/>
          <w:szCs w:val="28"/>
        </w:rPr>
        <w:t xml:space="preserve">DATA </w:t>
      </w:r>
      <w:proofErr w:type="gramStart"/>
      <w:r w:rsidR="00FB2C8B">
        <w:rPr>
          <w:rFonts w:ascii="Arial" w:hAnsi="Arial" w:cs="Arial"/>
          <w:b/>
          <w:sz w:val="28"/>
          <w:szCs w:val="28"/>
        </w:rPr>
        <w:t>Management</w:t>
      </w:r>
      <w:r w:rsidR="00603CF7">
        <w:rPr>
          <w:rFonts w:ascii="Arial" w:hAnsi="Arial" w:cs="Arial"/>
          <w:b/>
          <w:sz w:val="28"/>
          <w:szCs w:val="28"/>
        </w:rPr>
        <w:t xml:space="preserve"> </w:t>
      </w:r>
      <w:r w:rsidR="00BF7130">
        <w:rPr>
          <w:rFonts w:ascii="Arial" w:hAnsi="Arial" w:cs="Arial"/>
          <w:b/>
          <w:sz w:val="28"/>
          <w:szCs w:val="28"/>
        </w:rPr>
        <w:t xml:space="preserve"> </w:t>
      </w:r>
      <w:r w:rsidR="009F41E6" w:rsidRPr="009F41E6">
        <w:rPr>
          <w:rFonts w:ascii="Arial" w:hAnsi="Arial" w:cs="Arial"/>
          <w:b/>
          <w:sz w:val="28"/>
          <w:szCs w:val="28"/>
        </w:rPr>
        <w:t>GOVERNANCE</w:t>
      </w:r>
      <w:proofErr w:type="gramEnd"/>
      <w:r w:rsidR="009F41E6" w:rsidRPr="009F41E6">
        <w:rPr>
          <w:rFonts w:ascii="Arial" w:hAnsi="Arial" w:cs="Arial"/>
          <w:b/>
          <w:sz w:val="28"/>
          <w:szCs w:val="28"/>
        </w:rPr>
        <w:t xml:space="preserve"> </w:t>
      </w:r>
    </w:p>
    <w:p w14:paraId="593D908F" w14:textId="088A13F9" w:rsidR="00B43526" w:rsidRDefault="002C350E" w:rsidP="002C350E">
      <w:pPr>
        <w:rPr>
          <w:rFonts w:ascii="Arial" w:hAnsi="Arial" w:cs="Arial"/>
        </w:rPr>
      </w:pPr>
      <w:r>
        <w:rPr>
          <w:rFonts w:ascii="Arial" w:hAnsi="Arial" w:cs="Arial"/>
        </w:rPr>
        <w:t>Structurally</w:t>
      </w:r>
      <w:r w:rsidR="00557DF3">
        <w:rPr>
          <w:rFonts w:ascii="Arial" w:hAnsi="Arial" w:cs="Arial"/>
        </w:rPr>
        <w:t>, governance</w:t>
      </w:r>
      <w:r>
        <w:rPr>
          <w:rFonts w:ascii="Arial" w:hAnsi="Arial" w:cs="Arial"/>
        </w:rPr>
        <w:t xml:space="preserve"> includes standard proce</w:t>
      </w:r>
      <w:r w:rsidR="00557DF3">
        <w:rPr>
          <w:rFonts w:ascii="Arial" w:hAnsi="Arial" w:cs="Arial"/>
        </w:rPr>
        <w:t>dures, policies, approval</w:t>
      </w:r>
      <w:r w:rsidR="00FE0C70">
        <w:rPr>
          <w:rFonts w:ascii="Arial" w:hAnsi="Arial" w:cs="Arial"/>
        </w:rPr>
        <w:t xml:space="preserve"> processes</w:t>
      </w:r>
      <w:r w:rsidR="00557DF3">
        <w:rPr>
          <w:rFonts w:ascii="Arial" w:hAnsi="Arial" w:cs="Arial"/>
        </w:rPr>
        <w:t xml:space="preserve">, along with accountabilities </w:t>
      </w:r>
      <w:r w:rsidR="00FE0C70">
        <w:rPr>
          <w:rFonts w:ascii="Arial" w:hAnsi="Arial" w:cs="Arial"/>
        </w:rPr>
        <w:t xml:space="preserve">and compliance mechanisms </w:t>
      </w:r>
      <w:r w:rsidR="00557DF3">
        <w:rPr>
          <w:rFonts w:ascii="Arial" w:hAnsi="Arial" w:cs="Arial"/>
        </w:rPr>
        <w:t xml:space="preserve">for ensuring the data is secure, accessible and </w:t>
      </w:r>
      <w:r w:rsidR="00FB2C8B">
        <w:rPr>
          <w:rFonts w:ascii="Arial" w:hAnsi="Arial" w:cs="Arial"/>
        </w:rPr>
        <w:t>useable</w:t>
      </w:r>
      <w:r w:rsidR="00557DF3">
        <w:rPr>
          <w:rFonts w:ascii="Arial" w:hAnsi="Arial" w:cs="Arial"/>
        </w:rPr>
        <w:t xml:space="preserve">. </w:t>
      </w:r>
      <w:r w:rsidR="00123796">
        <w:rPr>
          <w:rFonts w:ascii="Arial" w:hAnsi="Arial" w:cs="Arial"/>
        </w:rPr>
        <w:t>The scope of</w:t>
      </w:r>
      <w:r w:rsidR="00557DF3">
        <w:rPr>
          <w:rFonts w:ascii="Arial" w:hAnsi="Arial" w:cs="Arial"/>
        </w:rPr>
        <w:t xml:space="preserve"> </w:t>
      </w:r>
      <w:r w:rsidR="00123796">
        <w:rPr>
          <w:rFonts w:ascii="Arial" w:hAnsi="Arial" w:cs="Arial"/>
        </w:rPr>
        <w:t xml:space="preserve">data management </w:t>
      </w:r>
      <w:r w:rsidR="00557DF3">
        <w:rPr>
          <w:rFonts w:ascii="Arial" w:hAnsi="Arial" w:cs="Arial"/>
        </w:rPr>
        <w:t>governance</w:t>
      </w:r>
      <w:r w:rsidR="00646FAC">
        <w:rPr>
          <w:rFonts w:ascii="Arial" w:hAnsi="Arial" w:cs="Arial"/>
        </w:rPr>
        <w:t xml:space="preserve"> </w:t>
      </w:r>
      <w:r w:rsidR="00557DF3">
        <w:rPr>
          <w:rFonts w:ascii="Arial" w:hAnsi="Arial" w:cs="Arial"/>
        </w:rPr>
        <w:t xml:space="preserve">will be influenced by </w:t>
      </w:r>
      <w:r w:rsidR="00603CF7">
        <w:rPr>
          <w:rFonts w:ascii="Arial" w:hAnsi="Arial" w:cs="Arial"/>
        </w:rPr>
        <w:t xml:space="preserve">the collaborating entity </w:t>
      </w:r>
      <w:r w:rsidR="00557DF3">
        <w:rPr>
          <w:rFonts w:ascii="Arial" w:hAnsi="Arial" w:cs="Arial"/>
        </w:rPr>
        <w:t>strategy,</w:t>
      </w:r>
      <w:r w:rsidR="00123796">
        <w:rPr>
          <w:rFonts w:ascii="Arial" w:hAnsi="Arial" w:cs="Arial"/>
        </w:rPr>
        <w:t xml:space="preserve"> the user requirements </w:t>
      </w:r>
      <w:r w:rsidR="00557DF3">
        <w:rPr>
          <w:rFonts w:ascii="Arial" w:hAnsi="Arial" w:cs="Arial"/>
        </w:rPr>
        <w:t>as well as national and international requirements</w:t>
      </w:r>
      <w:r w:rsidR="00646FAC">
        <w:rPr>
          <w:rFonts w:ascii="Arial" w:hAnsi="Arial" w:cs="Arial"/>
        </w:rPr>
        <w:t xml:space="preserve">. </w:t>
      </w:r>
    </w:p>
    <w:p w14:paraId="29DFA2E1" w14:textId="239B9042" w:rsidR="00B43526" w:rsidRDefault="00B43526" w:rsidP="00B43526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>7.</w:t>
      </w:r>
      <w:r w:rsidR="0090525B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1E4D5F">
        <w:rPr>
          <w:rFonts w:ascii="Arial" w:hAnsi="Arial" w:cs="Arial"/>
          <w:b/>
          <w:color w:val="000000" w:themeColor="text1"/>
          <w:sz w:val="24"/>
          <w:szCs w:val="24"/>
        </w:rPr>
        <w:t>Data Management Oversight mechanism</w:t>
      </w:r>
    </w:p>
    <w:p w14:paraId="03785EEB" w14:textId="7BD85416" w:rsidR="00B43526" w:rsidRDefault="00123796" w:rsidP="00B4352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 entity should have a mechanism to oversee the various governance elements</w:t>
      </w:r>
      <w:r w:rsidR="00CC0E0B">
        <w:rPr>
          <w:rFonts w:ascii="Arial" w:hAnsi="Arial" w:cs="Arial"/>
          <w:color w:val="000000" w:themeColor="text1"/>
        </w:rPr>
        <w:t xml:space="preserve">. A </w:t>
      </w:r>
      <w:r w:rsidR="002368BF">
        <w:rPr>
          <w:rFonts w:ascii="Arial" w:hAnsi="Arial" w:cs="Arial"/>
          <w:color w:val="000000" w:themeColor="text1"/>
        </w:rPr>
        <w:t xml:space="preserve">body of stakeholders representing the </w:t>
      </w:r>
      <w:r w:rsidR="00CC0E0B">
        <w:rPr>
          <w:rFonts w:ascii="Arial" w:hAnsi="Arial" w:cs="Arial"/>
          <w:color w:val="000000" w:themeColor="text1"/>
        </w:rPr>
        <w:t xml:space="preserve">data </w:t>
      </w:r>
      <w:r w:rsidR="002368BF">
        <w:rPr>
          <w:rFonts w:ascii="Arial" w:hAnsi="Arial" w:cs="Arial"/>
          <w:color w:val="000000" w:themeColor="text1"/>
        </w:rPr>
        <w:t>service providers</w:t>
      </w:r>
      <w:r w:rsidR="00CC0E0B">
        <w:rPr>
          <w:rFonts w:ascii="Arial" w:hAnsi="Arial" w:cs="Arial"/>
          <w:color w:val="000000" w:themeColor="text1"/>
        </w:rPr>
        <w:t xml:space="preserve"> and subject matter</w:t>
      </w:r>
      <w:r w:rsidR="002368BF">
        <w:rPr>
          <w:rFonts w:ascii="Arial" w:hAnsi="Arial" w:cs="Arial"/>
          <w:color w:val="000000" w:themeColor="text1"/>
        </w:rPr>
        <w:t xml:space="preserve"> expertise in data management</w:t>
      </w:r>
      <w:r w:rsidR="00CC0E0B">
        <w:rPr>
          <w:rFonts w:ascii="Arial" w:hAnsi="Arial" w:cs="Arial"/>
          <w:color w:val="000000" w:themeColor="text1"/>
        </w:rPr>
        <w:t xml:space="preserve"> should form the core of this mechanism</w:t>
      </w:r>
      <w:r w:rsidR="002368BF">
        <w:rPr>
          <w:rFonts w:ascii="Arial" w:hAnsi="Arial" w:cs="Arial"/>
          <w:color w:val="000000" w:themeColor="text1"/>
        </w:rPr>
        <w:t xml:space="preserve">. Such a body </w:t>
      </w:r>
      <w:r w:rsidR="00CC0E0B">
        <w:rPr>
          <w:rFonts w:ascii="Arial" w:hAnsi="Arial" w:cs="Arial"/>
          <w:color w:val="000000" w:themeColor="text1"/>
        </w:rPr>
        <w:t xml:space="preserve">should have </w:t>
      </w:r>
      <w:r w:rsidR="0090525B">
        <w:rPr>
          <w:rFonts w:ascii="Arial" w:hAnsi="Arial" w:cs="Arial"/>
          <w:color w:val="000000" w:themeColor="text1"/>
        </w:rPr>
        <w:t xml:space="preserve">the authority to </w:t>
      </w:r>
      <w:r w:rsidR="00CC0E0B">
        <w:rPr>
          <w:rFonts w:ascii="Arial" w:hAnsi="Arial" w:cs="Arial"/>
          <w:color w:val="000000" w:themeColor="text1"/>
        </w:rPr>
        <w:t xml:space="preserve">adopt </w:t>
      </w:r>
      <w:r w:rsidR="0090525B">
        <w:rPr>
          <w:rFonts w:ascii="Arial" w:hAnsi="Arial" w:cs="Arial"/>
          <w:color w:val="000000" w:themeColor="text1"/>
        </w:rPr>
        <w:t>key decisions on data management</w:t>
      </w:r>
      <w:r w:rsidR="00CC0E0B">
        <w:rPr>
          <w:rFonts w:ascii="Arial" w:hAnsi="Arial" w:cs="Arial"/>
          <w:color w:val="000000" w:themeColor="text1"/>
        </w:rPr>
        <w:t xml:space="preserve"> aspects </w:t>
      </w:r>
      <w:r w:rsidR="0090525B">
        <w:rPr>
          <w:rFonts w:ascii="Arial" w:hAnsi="Arial" w:cs="Arial"/>
          <w:color w:val="000000" w:themeColor="text1"/>
        </w:rPr>
        <w:t xml:space="preserve">and endorse </w:t>
      </w:r>
      <w:r w:rsidR="00CC0E0B">
        <w:rPr>
          <w:rFonts w:ascii="Arial" w:hAnsi="Arial" w:cs="Arial"/>
          <w:color w:val="000000" w:themeColor="text1"/>
        </w:rPr>
        <w:t xml:space="preserve">related </w:t>
      </w:r>
      <w:r w:rsidR="0090525B">
        <w:rPr>
          <w:rFonts w:ascii="Arial" w:hAnsi="Arial" w:cs="Arial"/>
          <w:color w:val="000000" w:themeColor="text1"/>
        </w:rPr>
        <w:t xml:space="preserve">policies and procedures. It </w:t>
      </w:r>
      <w:r w:rsidR="00CC0E0B">
        <w:rPr>
          <w:rFonts w:ascii="Arial" w:hAnsi="Arial" w:cs="Arial"/>
          <w:color w:val="000000" w:themeColor="text1"/>
        </w:rPr>
        <w:t xml:space="preserve">should </w:t>
      </w:r>
      <w:r w:rsidR="0090525B">
        <w:rPr>
          <w:rFonts w:ascii="Arial" w:hAnsi="Arial" w:cs="Arial"/>
          <w:color w:val="000000" w:themeColor="text1"/>
        </w:rPr>
        <w:t>also be responsible for monitoring compliance with such policies and procedures</w:t>
      </w:r>
      <w:r w:rsidR="00CC0E0B">
        <w:rPr>
          <w:rFonts w:ascii="Arial" w:hAnsi="Arial" w:cs="Arial"/>
          <w:color w:val="000000" w:themeColor="text1"/>
        </w:rPr>
        <w:t>.</w:t>
      </w:r>
    </w:p>
    <w:p w14:paraId="253E812B" w14:textId="77777777" w:rsidR="00B43526" w:rsidRDefault="00B43526" w:rsidP="002C350E">
      <w:pPr>
        <w:rPr>
          <w:rFonts w:ascii="Arial" w:hAnsi="Arial" w:cs="Arial"/>
          <w:color w:val="000000" w:themeColor="text1"/>
        </w:rPr>
      </w:pPr>
    </w:p>
    <w:p w14:paraId="69EE11D4" w14:textId="16586D31" w:rsidR="00AA7E88" w:rsidRPr="005D662B" w:rsidRDefault="00AA7E88" w:rsidP="002C350E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>7.</w:t>
      </w:r>
      <w:r w:rsidR="0086422B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1E4D5F">
        <w:rPr>
          <w:rFonts w:ascii="Arial" w:hAnsi="Arial" w:cs="Arial"/>
          <w:b/>
          <w:color w:val="000000" w:themeColor="text1"/>
          <w:sz w:val="24"/>
          <w:szCs w:val="24"/>
        </w:rPr>
        <w:t xml:space="preserve">Data Management </w:t>
      </w: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>Polic</w:t>
      </w:r>
      <w:r w:rsidR="001E4D5F">
        <w:rPr>
          <w:rFonts w:ascii="Arial" w:hAnsi="Arial" w:cs="Arial"/>
          <w:b/>
          <w:color w:val="000000" w:themeColor="text1"/>
          <w:sz w:val="24"/>
          <w:szCs w:val="24"/>
        </w:rPr>
        <w:t>y</w:t>
      </w:r>
    </w:p>
    <w:p w14:paraId="6D2EEF98" w14:textId="28F0BF06" w:rsidR="00922567" w:rsidRDefault="00CA45FF" w:rsidP="002C350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 Entity should have a</w:t>
      </w:r>
      <w:r w:rsidR="00E970DA">
        <w:rPr>
          <w:rFonts w:ascii="Arial" w:hAnsi="Arial" w:cs="Arial"/>
          <w:color w:val="000000" w:themeColor="text1"/>
        </w:rPr>
        <w:t xml:space="preserve"> </w:t>
      </w:r>
      <w:r w:rsidR="004B7FC4">
        <w:rPr>
          <w:rFonts w:ascii="Arial" w:hAnsi="Arial" w:cs="Arial"/>
          <w:color w:val="000000" w:themeColor="text1"/>
        </w:rPr>
        <w:t xml:space="preserve">data management </w:t>
      </w:r>
      <w:r w:rsidR="00B2722F">
        <w:rPr>
          <w:rFonts w:ascii="Arial" w:hAnsi="Arial" w:cs="Arial"/>
          <w:color w:val="000000" w:themeColor="text1"/>
        </w:rPr>
        <w:t>p</w:t>
      </w:r>
      <w:r w:rsidR="004B7FC4">
        <w:rPr>
          <w:rFonts w:ascii="Arial" w:hAnsi="Arial" w:cs="Arial"/>
          <w:color w:val="000000" w:themeColor="text1"/>
        </w:rPr>
        <w:t>olicy</w:t>
      </w:r>
      <w:r w:rsidR="00B2722F">
        <w:rPr>
          <w:rFonts w:ascii="Arial" w:hAnsi="Arial" w:cs="Arial"/>
          <w:color w:val="000000" w:themeColor="text1"/>
        </w:rPr>
        <w:t xml:space="preserve"> suite</w:t>
      </w:r>
      <w:r w:rsidR="00E970DA">
        <w:rPr>
          <w:rFonts w:ascii="Arial" w:hAnsi="Arial" w:cs="Arial"/>
          <w:color w:val="000000" w:themeColor="text1"/>
        </w:rPr>
        <w:t xml:space="preserve"> to promote a consistent, enforceable and well </w:t>
      </w:r>
      <w:r w:rsidR="00922567">
        <w:rPr>
          <w:rFonts w:ascii="Arial" w:hAnsi="Arial" w:cs="Arial"/>
          <w:color w:val="000000" w:themeColor="text1"/>
        </w:rPr>
        <w:t xml:space="preserve">communicated </w:t>
      </w:r>
      <w:r w:rsidR="00E970DA">
        <w:rPr>
          <w:rFonts w:ascii="Arial" w:hAnsi="Arial" w:cs="Arial"/>
          <w:color w:val="000000" w:themeColor="text1"/>
        </w:rPr>
        <w:t xml:space="preserve">set of </w:t>
      </w:r>
      <w:r w:rsidR="00922567">
        <w:rPr>
          <w:rFonts w:ascii="Arial" w:hAnsi="Arial" w:cs="Arial"/>
          <w:color w:val="000000" w:themeColor="text1"/>
        </w:rPr>
        <w:t xml:space="preserve">rules and standards, </w:t>
      </w:r>
      <w:r w:rsidR="00EC4A1A">
        <w:rPr>
          <w:rFonts w:ascii="Arial" w:hAnsi="Arial" w:cs="Arial"/>
          <w:color w:val="000000" w:themeColor="text1"/>
        </w:rPr>
        <w:t>to</w:t>
      </w:r>
      <w:r w:rsidR="00922567">
        <w:rPr>
          <w:rFonts w:ascii="Arial" w:hAnsi="Arial" w:cs="Arial"/>
          <w:color w:val="000000" w:themeColor="text1"/>
        </w:rPr>
        <w:t xml:space="preserve"> improve the efficiency and commonality of data-related processes within the</w:t>
      </w:r>
      <w:r w:rsidR="004B7FC4">
        <w:rPr>
          <w:rFonts w:ascii="Arial" w:hAnsi="Arial" w:cs="Arial"/>
          <w:color w:val="000000" w:themeColor="text1"/>
        </w:rPr>
        <w:t xml:space="preserve"> </w:t>
      </w:r>
      <w:r w:rsidR="00B2722F">
        <w:rPr>
          <w:rFonts w:ascii="Arial" w:hAnsi="Arial" w:cs="Arial"/>
          <w:color w:val="000000" w:themeColor="text1"/>
        </w:rPr>
        <w:t>E</w:t>
      </w:r>
      <w:r w:rsidR="004B7FC4">
        <w:rPr>
          <w:rFonts w:ascii="Arial" w:hAnsi="Arial" w:cs="Arial"/>
          <w:color w:val="000000" w:themeColor="text1"/>
        </w:rPr>
        <w:t>ntity</w:t>
      </w:r>
      <w:r w:rsidR="00922567">
        <w:rPr>
          <w:rFonts w:ascii="Arial" w:hAnsi="Arial" w:cs="Arial"/>
          <w:color w:val="000000" w:themeColor="text1"/>
        </w:rPr>
        <w:t xml:space="preserve">. </w:t>
      </w:r>
      <w:r w:rsidR="004B7FC4">
        <w:rPr>
          <w:rFonts w:ascii="Arial" w:hAnsi="Arial" w:cs="Arial"/>
          <w:color w:val="000000" w:themeColor="text1"/>
        </w:rPr>
        <w:t xml:space="preserve">The </w:t>
      </w:r>
      <w:r w:rsidR="00922567">
        <w:rPr>
          <w:rFonts w:ascii="Arial" w:hAnsi="Arial" w:cs="Arial"/>
          <w:color w:val="000000" w:themeColor="text1"/>
        </w:rPr>
        <w:t xml:space="preserve">policy </w:t>
      </w:r>
      <w:r w:rsidR="004B7FC4">
        <w:rPr>
          <w:rFonts w:ascii="Arial" w:hAnsi="Arial" w:cs="Arial"/>
          <w:color w:val="000000" w:themeColor="text1"/>
        </w:rPr>
        <w:t xml:space="preserve">should </w:t>
      </w:r>
      <w:r w:rsidR="00922567">
        <w:rPr>
          <w:rFonts w:ascii="Arial" w:hAnsi="Arial" w:cs="Arial"/>
          <w:color w:val="000000" w:themeColor="text1"/>
        </w:rPr>
        <w:t xml:space="preserve">be clear and </w:t>
      </w:r>
      <w:r w:rsidR="00B2722F">
        <w:rPr>
          <w:rFonts w:ascii="Arial" w:hAnsi="Arial" w:cs="Arial"/>
          <w:color w:val="000000" w:themeColor="text1"/>
        </w:rPr>
        <w:t xml:space="preserve">concise and complemented </w:t>
      </w:r>
      <w:r w:rsidR="00922567">
        <w:rPr>
          <w:rFonts w:ascii="Arial" w:hAnsi="Arial" w:cs="Arial"/>
          <w:color w:val="000000" w:themeColor="text1"/>
        </w:rPr>
        <w:t xml:space="preserve">by </w:t>
      </w:r>
      <w:r w:rsidR="00922567" w:rsidRPr="00922567">
        <w:rPr>
          <w:rFonts w:ascii="Arial" w:hAnsi="Arial" w:cs="Arial"/>
          <w:i/>
          <w:color w:val="000000" w:themeColor="text1"/>
        </w:rPr>
        <w:t>guidelines</w:t>
      </w:r>
      <w:r w:rsidR="00922567">
        <w:rPr>
          <w:rFonts w:ascii="Arial" w:hAnsi="Arial" w:cs="Arial"/>
          <w:color w:val="000000" w:themeColor="text1"/>
        </w:rPr>
        <w:t xml:space="preserve">, or process descriptions. </w:t>
      </w:r>
      <w:r w:rsidR="00207EFE">
        <w:rPr>
          <w:rFonts w:ascii="Arial" w:hAnsi="Arial" w:cs="Arial"/>
          <w:color w:val="000000" w:themeColor="text1"/>
        </w:rPr>
        <w:t>A template for data management policy and recommended policies and showcase is provided in Appendix.</w:t>
      </w:r>
    </w:p>
    <w:p w14:paraId="3CAA848B" w14:textId="77777777" w:rsidR="00465886" w:rsidRDefault="00465886" w:rsidP="002C350E">
      <w:pPr>
        <w:rPr>
          <w:rFonts w:ascii="Arial" w:hAnsi="Arial" w:cs="Arial"/>
          <w:color w:val="000000" w:themeColor="text1"/>
        </w:rPr>
      </w:pPr>
      <w:commentRangeStart w:id="0"/>
      <w:r>
        <w:rPr>
          <w:rFonts w:ascii="Arial" w:hAnsi="Arial" w:cs="Arial"/>
          <w:color w:val="000000" w:themeColor="text1"/>
        </w:rPr>
        <w:t>It is recommended that a typical data policy contain the following information:</w:t>
      </w:r>
    </w:p>
    <w:p w14:paraId="74AB98BE" w14:textId="77777777" w:rsidR="00465886" w:rsidRPr="009F5A38" w:rsidRDefault="00057F7A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9F5A38">
        <w:rPr>
          <w:rFonts w:ascii="Arial" w:hAnsi="Arial" w:cs="Arial"/>
          <w:color w:val="000000" w:themeColor="text1"/>
        </w:rPr>
        <w:t>Name of the P</w:t>
      </w:r>
      <w:r w:rsidR="00465886" w:rsidRPr="009F5A38">
        <w:rPr>
          <w:rFonts w:ascii="Arial" w:hAnsi="Arial" w:cs="Arial"/>
          <w:color w:val="000000" w:themeColor="text1"/>
        </w:rPr>
        <w:t>olicy</w:t>
      </w:r>
    </w:p>
    <w:p w14:paraId="760F9F77" w14:textId="77777777" w:rsidR="00465886" w:rsidRPr="009F5A38" w:rsidRDefault="00465886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9F5A38">
        <w:rPr>
          <w:rFonts w:ascii="Arial" w:hAnsi="Arial" w:cs="Arial"/>
          <w:color w:val="000000" w:themeColor="text1"/>
        </w:rPr>
        <w:t>Statement of what the Policy sets out to achieve</w:t>
      </w:r>
    </w:p>
    <w:p w14:paraId="50658E8B" w14:textId="77777777" w:rsidR="00057F7A" w:rsidRPr="009F5A38" w:rsidRDefault="00057F7A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9F5A38">
        <w:rPr>
          <w:rFonts w:ascii="Arial" w:hAnsi="Arial" w:cs="Arial"/>
          <w:color w:val="000000" w:themeColor="text1"/>
        </w:rPr>
        <w:t>The types or classes of data or information the Policy applies to</w:t>
      </w:r>
    </w:p>
    <w:p w14:paraId="631A3D24" w14:textId="77777777" w:rsidR="00057F7A" w:rsidRPr="009F5A38" w:rsidRDefault="00057F7A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9F5A38">
        <w:rPr>
          <w:rFonts w:ascii="Arial" w:hAnsi="Arial" w:cs="Arial"/>
          <w:color w:val="000000" w:themeColor="text1"/>
        </w:rPr>
        <w:t>The date of issue and when the Pol</w:t>
      </w:r>
      <w:r w:rsidR="009F5A38" w:rsidRPr="009F5A38">
        <w:rPr>
          <w:rFonts w:ascii="Arial" w:hAnsi="Arial" w:cs="Arial"/>
          <w:color w:val="000000" w:themeColor="text1"/>
        </w:rPr>
        <w:t>i</w:t>
      </w:r>
      <w:r w:rsidRPr="009F5A38">
        <w:rPr>
          <w:rFonts w:ascii="Arial" w:hAnsi="Arial" w:cs="Arial"/>
          <w:color w:val="000000" w:themeColor="text1"/>
        </w:rPr>
        <w:t>cy comes into effect</w:t>
      </w:r>
    </w:p>
    <w:p w14:paraId="00A87555" w14:textId="77777777" w:rsidR="00057F7A" w:rsidRPr="009F5A38" w:rsidRDefault="00057F7A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9F5A38">
        <w:rPr>
          <w:rFonts w:ascii="Arial" w:hAnsi="Arial" w:cs="Arial"/>
          <w:color w:val="000000" w:themeColor="text1"/>
        </w:rPr>
        <w:t xml:space="preserve">An </w:t>
      </w:r>
      <w:r w:rsidR="009F5A38" w:rsidRPr="009F5A38">
        <w:rPr>
          <w:rFonts w:ascii="Arial" w:hAnsi="Arial" w:cs="Arial"/>
          <w:color w:val="000000" w:themeColor="text1"/>
        </w:rPr>
        <w:t>O</w:t>
      </w:r>
      <w:r w:rsidRPr="009F5A38">
        <w:rPr>
          <w:rFonts w:ascii="Arial" w:hAnsi="Arial" w:cs="Arial"/>
          <w:color w:val="000000" w:themeColor="text1"/>
        </w:rPr>
        <w:t>verview of what the Policy covers, and if applicable, what is out of scope</w:t>
      </w:r>
    </w:p>
    <w:p w14:paraId="59A9FCE4" w14:textId="77777777" w:rsidR="007915EF" w:rsidRDefault="00057F7A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7915EF">
        <w:rPr>
          <w:rFonts w:ascii="Arial" w:hAnsi="Arial" w:cs="Arial"/>
          <w:color w:val="000000" w:themeColor="text1"/>
        </w:rPr>
        <w:t xml:space="preserve">A short summary of relevant background information, </w:t>
      </w:r>
      <w:r w:rsidR="009F5A38" w:rsidRPr="007915EF">
        <w:rPr>
          <w:rFonts w:ascii="Arial" w:hAnsi="Arial" w:cs="Arial"/>
          <w:color w:val="000000" w:themeColor="text1"/>
        </w:rPr>
        <w:t xml:space="preserve">that puts the Policy in context, including links to broader strategies, and informs on related Policies and </w:t>
      </w:r>
      <w:r w:rsidR="007915EF" w:rsidRPr="007915EF">
        <w:rPr>
          <w:rFonts w:ascii="Arial" w:hAnsi="Arial" w:cs="Arial"/>
          <w:color w:val="000000" w:themeColor="text1"/>
        </w:rPr>
        <w:t xml:space="preserve">standards, including relevant WMO standards (e.g., WMO Core Metadata profile), policies and regulations. </w:t>
      </w:r>
    </w:p>
    <w:p w14:paraId="6957ADD0" w14:textId="5841FC86" w:rsidR="00057F7A" w:rsidRPr="007915EF" w:rsidRDefault="009F5A38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7915EF">
        <w:rPr>
          <w:rFonts w:ascii="Arial" w:hAnsi="Arial" w:cs="Arial"/>
          <w:color w:val="000000" w:themeColor="text1"/>
        </w:rPr>
        <w:t>Details of the directive, including processes for seeking exemptions</w:t>
      </w:r>
      <w:r w:rsidR="007915EF">
        <w:rPr>
          <w:rFonts w:ascii="Arial" w:hAnsi="Arial" w:cs="Arial"/>
          <w:color w:val="000000" w:themeColor="text1"/>
        </w:rPr>
        <w:t xml:space="preserve">. Links to appropriate Guidelines or </w:t>
      </w:r>
      <w:r w:rsidR="00FB2C8B">
        <w:rPr>
          <w:rFonts w:ascii="Arial" w:hAnsi="Arial" w:cs="Arial"/>
          <w:color w:val="000000" w:themeColor="text1"/>
        </w:rPr>
        <w:t>standards</w:t>
      </w:r>
      <w:r w:rsidR="007915EF">
        <w:rPr>
          <w:rFonts w:ascii="Arial" w:hAnsi="Arial" w:cs="Arial"/>
          <w:color w:val="000000" w:themeColor="text1"/>
        </w:rPr>
        <w:t xml:space="preserve"> documents that describe details of the implementation of the Policy would be included here. </w:t>
      </w:r>
      <w:r w:rsidRPr="007915EF">
        <w:rPr>
          <w:rFonts w:ascii="Arial" w:hAnsi="Arial" w:cs="Arial"/>
          <w:color w:val="000000" w:themeColor="text1"/>
        </w:rPr>
        <w:t xml:space="preserve">   </w:t>
      </w:r>
    </w:p>
    <w:p w14:paraId="63B3FAF3" w14:textId="77777777" w:rsidR="009F5A38" w:rsidRPr="009F5A38" w:rsidRDefault="009F5A38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9F5A38">
        <w:rPr>
          <w:rFonts w:ascii="Arial" w:hAnsi="Arial" w:cs="Arial"/>
          <w:color w:val="000000" w:themeColor="text1"/>
        </w:rPr>
        <w:t>Accountability: who is responsible for interpreting the Policy, providing exemptions, etc, and what are the processes for these things</w:t>
      </w:r>
    </w:p>
    <w:p w14:paraId="0AAF15D2" w14:textId="0015FF93" w:rsidR="009F5A38" w:rsidRPr="009F5A38" w:rsidRDefault="009F5A38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9F5A38">
        <w:rPr>
          <w:rFonts w:ascii="Arial" w:hAnsi="Arial" w:cs="Arial"/>
          <w:color w:val="000000" w:themeColor="text1"/>
        </w:rPr>
        <w:t xml:space="preserve">Describe how compliance will be monitored and enforced, via options that </w:t>
      </w:r>
      <w:r w:rsidR="00FB2C8B" w:rsidRPr="009F5A38">
        <w:rPr>
          <w:rFonts w:ascii="Arial" w:hAnsi="Arial" w:cs="Arial"/>
          <w:color w:val="000000" w:themeColor="text1"/>
        </w:rPr>
        <w:t>might</w:t>
      </w:r>
      <w:r w:rsidRPr="009F5A38">
        <w:rPr>
          <w:rFonts w:ascii="Arial" w:hAnsi="Arial" w:cs="Arial"/>
          <w:color w:val="000000" w:themeColor="text1"/>
        </w:rPr>
        <w:t xml:space="preserve"> in</w:t>
      </w:r>
      <w:r w:rsidR="007915EF">
        <w:rPr>
          <w:rFonts w:ascii="Arial" w:hAnsi="Arial" w:cs="Arial"/>
          <w:color w:val="000000" w:themeColor="text1"/>
        </w:rPr>
        <w:t>cl</w:t>
      </w:r>
      <w:r w:rsidRPr="009F5A38">
        <w:rPr>
          <w:rFonts w:ascii="Arial" w:hAnsi="Arial" w:cs="Arial"/>
          <w:color w:val="000000" w:themeColor="text1"/>
        </w:rPr>
        <w:t xml:space="preserve">ude: self-assessment; submission of specific documentation; independent review by a third party. </w:t>
      </w:r>
    </w:p>
    <w:p w14:paraId="79E4CF16" w14:textId="77777777" w:rsidR="009F5A38" w:rsidRPr="009F5A38" w:rsidRDefault="009F5A38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9F5A38">
        <w:rPr>
          <w:rFonts w:ascii="Arial" w:hAnsi="Arial" w:cs="Arial"/>
          <w:color w:val="000000" w:themeColor="text1"/>
        </w:rPr>
        <w:t>Timefra</w:t>
      </w:r>
      <w:r w:rsidR="00FA0802">
        <w:rPr>
          <w:rFonts w:ascii="Arial" w:hAnsi="Arial" w:cs="Arial"/>
          <w:color w:val="000000" w:themeColor="text1"/>
        </w:rPr>
        <w:t>mes for reviewing the Policy (t</w:t>
      </w:r>
      <w:r w:rsidRPr="009F5A38">
        <w:rPr>
          <w:rFonts w:ascii="Arial" w:hAnsi="Arial" w:cs="Arial"/>
          <w:color w:val="000000" w:themeColor="text1"/>
        </w:rPr>
        <w:t>ypically two to four years), and/or any events that might trigger a need to review the Policy, such as a change in a country’s Government legislation or WMO regulations</w:t>
      </w:r>
    </w:p>
    <w:p w14:paraId="59E968DD" w14:textId="77777777" w:rsidR="00057F7A" w:rsidRPr="009F5A38" w:rsidRDefault="009F5A38" w:rsidP="009F5A3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9F5A38">
        <w:rPr>
          <w:rFonts w:ascii="Arial" w:hAnsi="Arial" w:cs="Arial"/>
          <w:color w:val="000000" w:themeColor="text1"/>
        </w:rPr>
        <w:lastRenderedPageBreak/>
        <w:t xml:space="preserve">Ownership: which senior leader in the NMHS has overall responsibility for the Policy. </w:t>
      </w:r>
    </w:p>
    <w:p w14:paraId="6A68D973" w14:textId="77777777" w:rsidR="007915EF" w:rsidRDefault="007915EF" w:rsidP="002C350E">
      <w:pPr>
        <w:rPr>
          <w:rFonts w:ascii="Arial" w:hAnsi="Arial" w:cs="Arial"/>
          <w:color w:val="000000" w:themeColor="text1"/>
        </w:rPr>
      </w:pPr>
    </w:p>
    <w:p w14:paraId="536AF195" w14:textId="77777777" w:rsidR="008979DC" w:rsidRDefault="007915EF" w:rsidP="002C350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Examples of t</w:t>
      </w:r>
      <w:r w:rsidR="008979DC">
        <w:rPr>
          <w:rFonts w:ascii="Arial" w:hAnsi="Arial" w:cs="Arial"/>
          <w:color w:val="000000" w:themeColor="text1"/>
        </w:rPr>
        <w:t xml:space="preserve">he types of policies required within an NMHS </w:t>
      </w:r>
      <w:r>
        <w:rPr>
          <w:rFonts w:ascii="Arial" w:hAnsi="Arial" w:cs="Arial"/>
          <w:color w:val="000000" w:themeColor="text1"/>
        </w:rPr>
        <w:t xml:space="preserve">include the following: </w:t>
      </w:r>
    </w:p>
    <w:p w14:paraId="48C2D50B" w14:textId="77777777" w:rsidR="007915EF" w:rsidRPr="001A1CFC" w:rsidRDefault="007915EF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>Policy on metadata, including observational, discoverability and provenance metadata</w:t>
      </w:r>
      <w:r w:rsidR="00123339">
        <w:rPr>
          <w:rFonts w:ascii="Arial" w:hAnsi="Arial" w:cs="Arial"/>
          <w:color w:val="000000" w:themeColor="text1"/>
        </w:rPr>
        <w:t xml:space="preserve"> (such a Policy must accommodate the more detailed requirements of climate data for observational and provenance metadata)</w:t>
      </w:r>
    </w:p>
    <w:p w14:paraId="7573E0C2" w14:textId="77777777" w:rsidR="007915EF" w:rsidRPr="001A1CFC" w:rsidRDefault="007915EF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>Policy on defining and communicating the authoritative version of a dataset and version control (without this it becomes problematic to define which version of a dataset was used to generate particular products)</w:t>
      </w:r>
    </w:p>
    <w:p w14:paraId="7982638A" w14:textId="77777777" w:rsidR="007915EF" w:rsidRPr="001A1CFC" w:rsidRDefault="007915EF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>Data storage and retention policy (how long datasets should be kept for, based on a combination of, a country’s national archiving legislation, identified business needs for the data/information, and where applicable, WMO guidelines (refer Section…..)</w:t>
      </w:r>
    </w:p>
    <w:p w14:paraId="1A31A916" w14:textId="77777777" w:rsidR="007915EF" w:rsidRPr="001A1CFC" w:rsidRDefault="007915EF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>Policy around data access and licencing, including under which circumstances charging might be appropriate</w:t>
      </w:r>
      <w:r>
        <w:rPr>
          <w:rStyle w:val="FootnoteReference"/>
          <w:rFonts w:ascii="Arial" w:hAnsi="Arial" w:cs="Arial"/>
          <w:color w:val="000000" w:themeColor="text1"/>
        </w:rPr>
        <w:footnoteReference w:id="1"/>
      </w:r>
      <w:r w:rsidRPr="001A1CFC">
        <w:rPr>
          <w:rFonts w:ascii="Arial" w:hAnsi="Arial" w:cs="Arial"/>
          <w:color w:val="000000" w:themeColor="text1"/>
        </w:rPr>
        <w:t xml:space="preserve"> </w:t>
      </w:r>
      <w:r w:rsidR="001A1CFC" w:rsidRPr="001A1CFC">
        <w:rPr>
          <w:rFonts w:ascii="Arial" w:hAnsi="Arial" w:cs="Arial"/>
          <w:color w:val="000000" w:themeColor="text1"/>
        </w:rPr>
        <w:t>, and which types of data might be exempt from being made freely available</w:t>
      </w:r>
    </w:p>
    <w:p w14:paraId="7E305F85" w14:textId="77777777" w:rsidR="001A1CFC" w:rsidRPr="001A1CFC" w:rsidRDefault="001A1CFC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>Policies around Cloud computing</w:t>
      </w:r>
    </w:p>
    <w:p w14:paraId="20CD69CE" w14:textId="77777777" w:rsidR="001A1CFC" w:rsidRPr="001A1CFC" w:rsidRDefault="001A1CFC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>Policies on security, cybersecurity, backups</w:t>
      </w:r>
    </w:p>
    <w:p w14:paraId="0360BA50" w14:textId="77777777" w:rsidR="001A1CFC" w:rsidRPr="001A1CFC" w:rsidRDefault="001A1CFC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>Policy on data quality</w:t>
      </w:r>
    </w:p>
    <w:p w14:paraId="30D84490" w14:textId="77777777" w:rsidR="001A1CFC" w:rsidRPr="001A1CFC" w:rsidRDefault="001A1CFC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 xml:space="preserve">Policy on hard copy records management </w:t>
      </w:r>
    </w:p>
    <w:p w14:paraId="73CB164F" w14:textId="77777777" w:rsidR="001A1CFC" w:rsidRPr="001A1CFC" w:rsidRDefault="001A1CFC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>Policy on techn</w:t>
      </w:r>
      <w:r w:rsidR="008F5AB0">
        <w:rPr>
          <w:rFonts w:ascii="Arial" w:hAnsi="Arial" w:cs="Arial"/>
          <w:color w:val="000000" w:themeColor="text1"/>
        </w:rPr>
        <w:t>ology</w:t>
      </w:r>
      <w:r w:rsidRPr="001A1CFC">
        <w:rPr>
          <w:rFonts w:ascii="Arial" w:hAnsi="Arial" w:cs="Arial"/>
          <w:color w:val="000000" w:themeColor="text1"/>
        </w:rPr>
        <w:t xml:space="preserve"> migration and decommissioning</w:t>
      </w:r>
    </w:p>
    <w:p w14:paraId="5123D846" w14:textId="77777777" w:rsidR="001A1CFC" w:rsidRDefault="001A1CFC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1A1CFC">
        <w:rPr>
          <w:rFonts w:ascii="Arial" w:hAnsi="Arial" w:cs="Arial"/>
          <w:color w:val="000000" w:themeColor="text1"/>
        </w:rPr>
        <w:t>Policy on documentation and so-called “business records”</w:t>
      </w:r>
    </w:p>
    <w:p w14:paraId="672CCDC5" w14:textId="77777777" w:rsidR="009E4955" w:rsidRDefault="009E4955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Policy and procedure on archival of new datasets as part of the Climate Record. </w:t>
      </w:r>
    </w:p>
    <w:p w14:paraId="3CDEDE53" w14:textId="77777777" w:rsidR="001A1CFC" w:rsidRPr="001A1CFC" w:rsidRDefault="001A1CFC" w:rsidP="001A1CF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Policy on spatial and geospatial data, including relevant standards, projections, map backgrounds etc</w:t>
      </w:r>
    </w:p>
    <w:p w14:paraId="4D03F53C" w14:textId="77777777" w:rsidR="00057F7A" w:rsidRDefault="001A1CFC" w:rsidP="002C350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An example of </w:t>
      </w:r>
      <w:r w:rsidR="009E4955">
        <w:rPr>
          <w:rFonts w:ascii="Arial" w:hAnsi="Arial" w:cs="Arial"/>
          <w:color w:val="000000" w:themeColor="text1"/>
        </w:rPr>
        <w:t xml:space="preserve">one such </w:t>
      </w:r>
      <w:r>
        <w:rPr>
          <w:rFonts w:ascii="Arial" w:hAnsi="Arial" w:cs="Arial"/>
          <w:color w:val="000000" w:themeColor="text1"/>
        </w:rPr>
        <w:t>Policy</w:t>
      </w:r>
      <w:r w:rsidR="009E4955">
        <w:rPr>
          <w:rFonts w:ascii="Arial" w:hAnsi="Arial" w:cs="Arial"/>
          <w:color w:val="000000" w:themeColor="text1"/>
        </w:rPr>
        <w:t xml:space="preserve">, </w:t>
      </w:r>
      <w:r w:rsidR="009E4955" w:rsidRPr="009E4955">
        <w:rPr>
          <w:rFonts w:ascii="Arial" w:hAnsi="Arial" w:cs="Arial"/>
          <w:i/>
          <w:color w:val="000000" w:themeColor="text1"/>
        </w:rPr>
        <w:t>Techn</w:t>
      </w:r>
      <w:r w:rsidR="00123339">
        <w:rPr>
          <w:rFonts w:ascii="Arial" w:hAnsi="Arial" w:cs="Arial"/>
          <w:i/>
          <w:color w:val="000000" w:themeColor="text1"/>
        </w:rPr>
        <w:t xml:space="preserve">ology </w:t>
      </w:r>
      <w:r w:rsidR="009E4955" w:rsidRPr="009E4955">
        <w:rPr>
          <w:rFonts w:ascii="Arial" w:hAnsi="Arial" w:cs="Arial"/>
          <w:i/>
          <w:color w:val="000000" w:themeColor="text1"/>
        </w:rPr>
        <w:t>migration and decommissioning</w:t>
      </w:r>
      <w:r w:rsidR="009E4955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is provided in Appendix x </w:t>
      </w:r>
      <w:commentRangeEnd w:id="0"/>
      <w:r w:rsidR="00B2722F">
        <w:rPr>
          <w:rStyle w:val="CommentReference"/>
        </w:rPr>
        <w:commentReference w:id="0"/>
      </w:r>
    </w:p>
    <w:p w14:paraId="2BE3EBE5" w14:textId="356131A7" w:rsidR="008F5AB0" w:rsidRDefault="008F5AB0" w:rsidP="008F5AB0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>7.</w:t>
      </w:r>
      <w:r w:rsidR="0086422B">
        <w:rPr>
          <w:rFonts w:ascii="Arial" w:hAnsi="Arial" w:cs="Arial"/>
          <w:b/>
          <w:color w:val="000000" w:themeColor="text1"/>
          <w:sz w:val="24"/>
          <w:szCs w:val="24"/>
        </w:rPr>
        <w:t>3</w:t>
      </w: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5D662B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207EFE">
        <w:rPr>
          <w:rFonts w:ascii="Arial" w:hAnsi="Arial" w:cs="Arial"/>
          <w:b/>
          <w:color w:val="000000" w:themeColor="text1"/>
          <w:sz w:val="24"/>
          <w:szCs w:val="24"/>
        </w:rPr>
        <w:t xml:space="preserve">Climate Data Management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processes</w:t>
      </w:r>
    </w:p>
    <w:p w14:paraId="61DD75A6" w14:textId="136EE4DA" w:rsidR="008F5AB0" w:rsidRDefault="009925C2" w:rsidP="008F5AB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Entity should document </w:t>
      </w:r>
      <w:r>
        <w:rPr>
          <w:rFonts w:ascii="Arial" w:hAnsi="Arial" w:cs="Arial"/>
          <w:color w:val="000000" w:themeColor="text1"/>
        </w:rPr>
        <w:t xml:space="preserve">Climate Data Management </w:t>
      </w:r>
      <w:r w:rsidRPr="00EB2FE2">
        <w:rPr>
          <w:rFonts w:ascii="Arial" w:hAnsi="Arial" w:cs="Arial"/>
          <w:color w:val="000000" w:themeColor="text1"/>
        </w:rPr>
        <w:t>Processes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which </w:t>
      </w:r>
      <w:r w:rsidR="00FB2C8B">
        <w:rPr>
          <w:rFonts w:ascii="Arial" w:hAnsi="Arial" w:cs="Arial"/>
          <w:color w:val="000000" w:themeColor="text1"/>
        </w:rPr>
        <w:t>describe the</w:t>
      </w:r>
      <w:r w:rsidR="00E422A6">
        <w:rPr>
          <w:rFonts w:ascii="Arial" w:hAnsi="Arial" w:cs="Arial"/>
          <w:color w:val="000000" w:themeColor="text1"/>
        </w:rPr>
        <w:t xml:space="preserve"> s</w:t>
      </w:r>
      <w:r w:rsidR="00955F7E">
        <w:rPr>
          <w:rFonts w:ascii="Arial" w:hAnsi="Arial" w:cs="Arial"/>
          <w:color w:val="000000" w:themeColor="text1"/>
        </w:rPr>
        <w:t>pecif</w:t>
      </w:r>
      <w:r w:rsidR="00E422A6">
        <w:rPr>
          <w:rFonts w:ascii="Arial" w:hAnsi="Arial" w:cs="Arial"/>
          <w:color w:val="000000" w:themeColor="text1"/>
        </w:rPr>
        <w:t xml:space="preserve">ic </w:t>
      </w:r>
      <w:r w:rsidR="00955F7E">
        <w:rPr>
          <w:rFonts w:ascii="Arial" w:hAnsi="Arial" w:cs="Arial"/>
          <w:color w:val="000000" w:themeColor="text1"/>
        </w:rPr>
        <w:t>steps</w:t>
      </w:r>
      <w:r w:rsidR="00E422A6">
        <w:rPr>
          <w:rFonts w:ascii="Arial" w:hAnsi="Arial" w:cs="Arial"/>
          <w:color w:val="000000" w:themeColor="text1"/>
        </w:rPr>
        <w:t xml:space="preserve"> to be taken in conducting </w:t>
      </w:r>
      <w:r w:rsidR="00FB2C8B">
        <w:rPr>
          <w:rFonts w:ascii="Arial" w:hAnsi="Arial" w:cs="Arial"/>
          <w:color w:val="000000" w:themeColor="text1"/>
        </w:rPr>
        <w:t>tasks</w:t>
      </w:r>
      <w:r w:rsidR="00E422A6">
        <w:rPr>
          <w:rFonts w:ascii="Arial" w:hAnsi="Arial" w:cs="Arial"/>
          <w:color w:val="000000" w:themeColor="text1"/>
        </w:rPr>
        <w:t xml:space="preserve">, and frequently contain </w:t>
      </w:r>
      <w:r w:rsidR="007A2807">
        <w:rPr>
          <w:rFonts w:ascii="Arial" w:hAnsi="Arial" w:cs="Arial"/>
          <w:color w:val="000000" w:themeColor="text1"/>
        </w:rPr>
        <w:t xml:space="preserve">reference </w:t>
      </w:r>
      <w:r w:rsidR="00E422A6">
        <w:rPr>
          <w:rFonts w:ascii="Arial" w:hAnsi="Arial" w:cs="Arial"/>
          <w:color w:val="000000" w:themeColor="text1"/>
        </w:rPr>
        <w:t xml:space="preserve">to more detailed </w:t>
      </w:r>
      <w:r w:rsidR="007A2807">
        <w:rPr>
          <w:rFonts w:ascii="Arial" w:hAnsi="Arial" w:cs="Arial"/>
          <w:color w:val="000000" w:themeColor="text1"/>
        </w:rPr>
        <w:t xml:space="preserve">material such as guidebooks </w:t>
      </w:r>
      <w:r>
        <w:rPr>
          <w:rFonts w:ascii="Arial" w:hAnsi="Arial" w:cs="Arial"/>
          <w:color w:val="000000" w:themeColor="text1"/>
        </w:rPr>
        <w:t>which encompass</w:t>
      </w:r>
      <w:r w:rsidR="007A2807">
        <w:rPr>
          <w:rFonts w:ascii="Arial" w:hAnsi="Arial" w:cs="Arial"/>
          <w:color w:val="000000" w:themeColor="text1"/>
        </w:rPr>
        <w:t xml:space="preserve"> procedure</w:t>
      </w:r>
      <w:r>
        <w:rPr>
          <w:rFonts w:ascii="Arial" w:hAnsi="Arial" w:cs="Arial"/>
          <w:color w:val="000000" w:themeColor="text1"/>
        </w:rPr>
        <w:t>s</w:t>
      </w:r>
      <w:r w:rsidR="007A2807">
        <w:rPr>
          <w:rFonts w:ascii="Arial" w:hAnsi="Arial" w:cs="Arial"/>
          <w:color w:val="000000" w:themeColor="text1"/>
        </w:rPr>
        <w:t xml:space="preserve"> and </w:t>
      </w:r>
      <w:r w:rsidR="008F16C0">
        <w:rPr>
          <w:rFonts w:ascii="Arial" w:hAnsi="Arial" w:cs="Arial"/>
          <w:color w:val="000000" w:themeColor="text1"/>
        </w:rPr>
        <w:t xml:space="preserve">identification of </w:t>
      </w:r>
      <w:r w:rsidR="007A2807">
        <w:rPr>
          <w:rFonts w:ascii="Arial" w:hAnsi="Arial" w:cs="Arial"/>
          <w:color w:val="000000" w:themeColor="text1"/>
        </w:rPr>
        <w:t>various intervention levels for queries and problem solving</w:t>
      </w:r>
      <w:r w:rsidR="00E422A6">
        <w:rPr>
          <w:rFonts w:ascii="Arial" w:hAnsi="Arial" w:cs="Arial"/>
          <w:color w:val="000000" w:themeColor="text1"/>
        </w:rPr>
        <w:t xml:space="preserve">. </w:t>
      </w:r>
    </w:p>
    <w:p w14:paraId="76D9F69A" w14:textId="77777777" w:rsidR="00057F7A" w:rsidRPr="00A750D8" w:rsidRDefault="00057F7A" w:rsidP="002C350E">
      <w:pPr>
        <w:rPr>
          <w:rFonts w:ascii="Arial" w:hAnsi="Arial" w:cs="Arial"/>
        </w:rPr>
      </w:pPr>
      <w:bookmarkStart w:id="1" w:name="_GoBack"/>
      <w:bookmarkEnd w:id="1"/>
    </w:p>
    <w:sectPr w:rsidR="00057F7A" w:rsidRPr="00A75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Christina Lief" w:date="2018-04-19T21:46:00Z" w:initials="CL">
    <w:p w14:paraId="58EADD2A" w14:textId="173D6826" w:rsidR="00B2722F" w:rsidRDefault="00B2722F">
      <w:pPr>
        <w:pStyle w:val="CommentText"/>
      </w:pPr>
      <w:r>
        <w:rPr>
          <w:rStyle w:val="CommentReference"/>
        </w:rPr>
        <w:annotationRef/>
      </w:r>
      <w:r>
        <w:t>To be moved to the appendix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8EADD2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8EADD2A" w16cid:durableId="1E838CB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2DBAB" w14:textId="77777777" w:rsidR="00BA5499" w:rsidRDefault="00BA5499" w:rsidP="007915EF">
      <w:pPr>
        <w:spacing w:after="0" w:line="240" w:lineRule="auto"/>
      </w:pPr>
      <w:r>
        <w:separator/>
      </w:r>
    </w:p>
  </w:endnote>
  <w:endnote w:type="continuationSeparator" w:id="0">
    <w:p w14:paraId="60E3DA66" w14:textId="77777777" w:rsidR="00BA5499" w:rsidRDefault="00BA5499" w:rsidP="0079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BFB2F" w14:textId="77777777" w:rsidR="00BA5499" w:rsidRDefault="00BA5499" w:rsidP="007915EF">
      <w:pPr>
        <w:spacing w:after="0" w:line="240" w:lineRule="auto"/>
      </w:pPr>
      <w:r>
        <w:separator/>
      </w:r>
    </w:p>
  </w:footnote>
  <w:footnote w:type="continuationSeparator" w:id="0">
    <w:p w14:paraId="0E6EAA88" w14:textId="77777777" w:rsidR="00BA5499" w:rsidRDefault="00BA5499" w:rsidP="007915EF">
      <w:pPr>
        <w:spacing w:after="0" w:line="240" w:lineRule="auto"/>
      </w:pPr>
      <w:r>
        <w:continuationSeparator/>
      </w:r>
    </w:p>
  </w:footnote>
  <w:footnote w:id="1">
    <w:p w14:paraId="073EE640" w14:textId="77777777" w:rsidR="007915EF" w:rsidRDefault="007915E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A1CFC">
        <w:t xml:space="preserve">WMO regulations 25, 40 and 60 are explicit about the requirement to make certain datasets and products freely available, and this should be reflected in the Policy; however, charges could be applied for value-added services such as additional quality control beyond the normal routine QC, or the production of a customised climate map.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F4E18"/>
    <w:multiLevelType w:val="hybridMultilevel"/>
    <w:tmpl w:val="67A6CD06"/>
    <w:lvl w:ilvl="0" w:tplc="42C86836">
      <w:start w:val="7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0D04A45"/>
    <w:multiLevelType w:val="hybridMultilevel"/>
    <w:tmpl w:val="DDB621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651C9"/>
    <w:multiLevelType w:val="hybridMultilevel"/>
    <w:tmpl w:val="BCF83144"/>
    <w:lvl w:ilvl="0" w:tplc="261075E8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403A53"/>
    <w:multiLevelType w:val="hybridMultilevel"/>
    <w:tmpl w:val="633EA1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ristina Lief">
    <w15:presenceInfo w15:providerId="Windows Live" w15:userId="6ea7dbea7d7dde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E37"/>
    <w:rsid w:val="00057F7A"/>
    <w:rsid w:val="000963FD"/>
    <w:rsid w:val="00123339"/>
    <w:rsid w:val="00123796"/>
    <w:rsid w:val="001A1CFC"/>
    <w:rsid w:val="001E4D5F"/>
    <w:rsid w:val="00205311"/>
    <w:rsid w:val="00207EFE"/>
    <w:rsid w:val="002368BF"/>
    <w:rsid w:val="002A67F8"/>
    <w:rsid w:val="002C350E"/>
    <w:rsid w:val="00335B18"/>
    <w:rsid w:val="00465886"/>
    <w:rsid w:val="004B1FB5"/>
    <w:rsid w:val="004B7FC4"/>
    <w:rsid w:val="00557DF3"/>
    <w:rsid w:val="005D662B"/>
    <w:rsid w:val="00603CF7"/>
    <w:rsid w:val="00646FAC"/>
    <w:rsid w:val="00664E37"/>
    <w:rsid w:val="00700C37"/>
    <w:rsid w:val="0072159E"/>
    <w:rsid w:val="007826A3"/>
    <w:rsid w:val="007913FB"/>
    <w:rsid w:val="007915EF"/>
    <w:rsid w:val="007A2807"/>
    <w:rsid w:val="0086422B"/>
    <w:rsid w:val="008979DC"/>
    <w:rsid w:val="008F16C0"/>
    <w:rsid w:val="008F5AB0"/>
    <w:rsid w:val="0090525B"/>
    <w:rsid w:val="00922567"/>
    <w:rsid w:val="00955F7E"/>
    <w:rsid w:val="009925C2"/>
    <w:rsid w:val="009E4955"/>
    <w:rsid w:val="009F41E6"/>
    <w:rsid w:val="009F5A38"/>
    <w:rsid w:val="00A750D8"/>
    <w:rsid w:val="00AA7E88"/>
    <w:rsid w:val="00B2722F"/>
    <w:rsid w:val="00B373C5"/>
    <w:rsid w:val="00B43526"/>
    <w:rsid w:val="00BA5499"/>
    <w:rsid w:val="00BF7130"/>
    <w:rsid w:val="00CA45FF"/>
    <w:rsid w:val="00CC0E0B"/>
    <w:rsid w:val="00DA4D28"/>
    <w:rsid w:val="00DF5C02"/>
    <w:rsid w:val="00E4171B"/>
    <w:rsid w:val="00E422A6"/>
    <w:rsid w:val="00E970DA"/>
    <w:rsid w:val="00EB2FE2"/>
    <w:rsid w:val="00EC4A1A"/>
    <w:rsid w:val="00F53BDC"/>
    <w:rsid w:val="00FA0802"/>
    <w:rsid w:val="00FB2C8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CDEFB"/>
  <w15:docId w15:val="{BE5AAD49-25ED-496F-99C9-5956D248C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F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350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57F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915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15E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915EF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272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72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72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7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722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2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2222C-268F-4E79-854E-43A055C0A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Wright</dc:creator>
  <cp:lastModifiedBy>Christina Lief</cp:lastModifiedBy>
  <cp:revision>15</cp:revision>
  <dcterms:created xsi:type="dcterms:W3CDTF">2018-04-19T19:04:00Z</dcterms:created>
  <dcterms:modified xsi:type="dcterms:W3CDTF">2018-04-19T20:16:00Z</dcterms:modified>
</cp:coreProperties>
</file>