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05A" w:rsidRDefault="00CE644D">
      <w:pPr>
        <w:pStyle w:val="Kop1"/>
        <w:spacing w:before="0" w:after="0" w:line="240" w:lineRule="auto"/>
        <w:jc w:val="center"/>
        <w:rPr>
          <w:sz w:val="36"/>
          <w:szCs w:val="36"/>
        </w:rPr>
      </w:pPr>
      <w:bookmarkStart w:id="0" w:name="_td6c2s2nsgl9" w:colFirst="0" w:colLast="0"/>
      <w:bookmarkEnd w:id="0"/>
      <w:r>
        <w:rPr>
          <w:sz w:val="36"/>
          <w:szCs w:val="36"/>
        </w:rPr>
        <w:t>BOG C: Discovery and Access for the WMO Data Catalog of High-quality Climate Data</w:t>
      </w:r>
    </w:p>
    <w:p w:rsidR="00371395" w:rsidRDefault="00371395" w:rsidP="00371395">
      <w:pPr>
        <w:pStyle w:val="Ondertitel"/>
        <w:spacing w:line="240" w:lineRule="auto"/>
        <w:jc w:val="center"/>
        <w:rPr>
          <w:rFonts w:ascii="Verdana" w:eastAsia="Verdana" w:hAnsi="Verdana" w:cs="Verdana"/>
          <w:sz w:val="18"/>
          <w:szCs w:val="18"/>
          <w:highlight w:val="white"/>
        </w:rPr>
      </w:pPr>
      <w:bookmarkStart w:id="1" w:name="_kgvsimaeuima" w:colFirst="0" w:colLast="0"/>
      <w:bookmarkEnd w:id="1"/>
      <w:r>
        <w:rPr>
          <w:rFonts w:ascii="Verdana" w:eastAsia="Verdana" w:hAnsi="Verdana" w:cs="Verdana"/>
          <w:sz w:val="18"/>
          <w:szCs w:val="18"/>
          <w:highlight w:val="white"/>
        </w:rPr>
        <w:t>2018-07-18</w:t>
      </w:r>
    </w:p>
    <w:p w:rsidR="0006705A" w:rsidRDefault="00CE644D" w:rsidP="00371395">
      <w:pPr>
        <w:pStyle w:val="Ondertitel"/>
        <w:spacing w:line="240" w:lineRule="auto"/>
        <w:jc w:val="center"/>
      </w:pPr>
      <w:r>
        <w:rPr>
          <w:rFonts w:ascii="Verdana" w:eastAsia="Verdana" w:hAnsi="Verdana" w:cs="Verdana"/>
          <w:sz w:val="18"/>
          <w:szCs w:val="18"/>
          <w:highlight w:val="white"/>
        </w:rPr>
        <w:t>MILAN, Anna (NOAA/NCEI) Lead, ROBERTS, Kate (BOM), BUSSELBERG, Thorsten (DWD/WIS), BERGERON, Cedric (ECMWF)</w:t>
      </w:r>
    </w:p>
    <w:p w:rsidR="0006705A" w:rsidRDefault="0006705A">
      <w:pPr>
        <w:rPr>
          <w:b/>
          <w:sz w:val="24"/>
          <w:szCs w:val="24"/>
        </w:rPr>
      </w:pPr>
      <w:bookmarkStart w:id="2" w:name="_dv3gf1ano1z2" w:colFirst="0" w:colLast="0"/>
      <w:bookmarkEnd w:id="2"/>
    </w:p>
    <w:p w:rsidR="0006705A" w:rsidRDefault="00CE644D">
      <w:pPr>
        <w:rPr>
          <w:b/>
          <w:sz w:val="24"/>
          <w:szCs w:val="24"/>
        </w:rPr>
      </w:pPr>
      <w:bookmarkStart w:id="3" w:name="_gjdgxs" w:colFirst="0" w:colLast="0"/>
      <w:bookmarkEnd w:id="3"/>
      <w:r>
        <w:rPr>
          <w:b/>
          <w:sz w:val="24"/>
          <w:szCs w:val="24"/>
        </w:rPr>
        <w:t>Terms of Reference</w:t>
      </w:r>
    </w:p>
    <w:p w:rsidR="0006705A" w:rsidRDefault="00CE644D">
      <w:pPr>
        <w:rPr>
          <w:i/>
          <w:sz w:val="24"/>
          <w:szCs w:val="24"/>
        </w:rPr>
      </w:pPr>
      <w:r>
        <w:rPr>
          <w:i/>
          <w:sz w:val="24"/>
          <w:szCs w:val="24"/>
        </w:rPr>
        <w:t>Promotion mechanism of the Data Catalog in the WMO Information System (WIS) and the main search engines.</w:t>
      </w:r>
    </w:p>
    <w:p w:rsidR="0006705A" w:rsidRDefault="00CE644D">
      <w:pPr>
        <w:numPr>
          <w:ilvl w:val="0"/>
          <w:numId w:val="3"/>
        </w:numPr>
        <w:pBdr>
          <w:top w:val="nil"/>
          <w:left w:val="nil"/>
          <w:bottom w:val="nil"/>
          <w:right w:val="nil"/>
          <w:between w:val="nil"/>
        </w:pBdr>
        <w:contextualSpacing/>
        <w:rPr>
          <w:color w:val="000000"/>
          <w:sz w:val="24"/>
          <w:szCs w:val="24"/>
        </w:rPr>
      </w:pPr>
      <w:r>
        <w:rPr>
          <w:color w:val="000000"/>
          <w:sz w:val="24"/>
          <w:szCs w:val="24"/>
        </w:rPr>
        <w:t>Define Discovery</w:t>
      </w:r>
    </w:p>
    <w:p w:rsidR="0006705A" w:rsidRDefault="00CE644D">
      <w:pPr>
        <w:numPr>
          <w:ilvl w:val="0"/>
          <w:numId w:val="3"/>
        </w:numPr>
        <w:pBdr>
          <w:top w:val="nil"/>
          <w:left w:val="nil"/>
          <w:bottom w:val="nil"/>
          <w:right w:val="nil"/>
          <w:between w:val="nil"/>
        </w:pBdr>
        <w:contextualSpacing/>
        <w:rPr>
          <w:color w:val="000000"/>
          <w:sz w:val="24"/>
          <w:szCs w:val="24"/>
        </w:rPr>
      </w:pPr>
      <w:r>
        <w:rPr>
          <w:color w:val="000000"/>
          <w:sz w:val="24"/>
          <w:szCs w:val="24"/>
        </w:rPr>
        <w:t xml:space="preserve">Define the requirements to promote “trusted” WMO Datasets </w:t>
      </w:r>
    </w:p>
    <w:p w:rsidR="0006705A" w:rsidRDefault="00CE644D">
      <w:pPr>
        <w:numPr>
          <w:ilvl w:val="0"/>
          <w:numId w:val="3"/>
        </w:numPr>
        <w:pBdr>
          <w:top w:val="nil"/>
          <w:left w:val="nil"/>
          <w:bottom w:val="nil"/>
          <w:right w:val="nil"/>
          <w:between w:val="nil"/>
        </w:pBdr>
        <w:contextualSpacing/>
        <w:rPr>
          <w:color w:val="000000"/>
          <w:sz w:val="24"/>
          <w:szCs w:val="24"/>
        </w:rPr>
      </w:pPr>
      <w:r>
        <w:rPr>
          <w:color w:val="000000"/>
          <w:sz w:val="24"/>
          <w:szCs w:val="24"/>
        </w:rPr>
        <w:t>Define the mechanism of promoting the “trusted” WMO Datasets</w:t>
      </w:r>
    </w:p>
    <w:p w:rsidR="0006705A" w:rsidRDefault="0006705A">
      <w:pPr>
        <w:rPr>
          <w:b/>
          <w:sz w:val="24"/>
          <w:szCs w:val="24"/>
        </w:rPr>
      </w:pPr>
    </w:p>
    <w:p w:rsidR="0006705A" w:rsidRDefault="00CE644D">
      <w:pPr>
        <w:rPr>
          <w:b/>
          <w:sz w:val="24"/>
          <w:szCs w:val="24"/>
        </w:rPr>
      </w:pPr>
      <w:r>
        <w:rPr>
          <w:b/>
          <w:sz w:val="24"/>
          <w:szCs w:val="24"/>
        </w:rPr>
        <w:t>Discovery</w:t>
      </w:r>
    </w:p>
    <w:p w:rsidR="0006705A" w:rsidRDefault="00CE644D">
      <w:pPr>
        <w:numPr>
          <w:ilvl w:val="0"/>
          <w:numId w:val="1"/>
        </w:numPr>
        <w:pBdr>
          <w:top w:val="nil"/>
          <w:left w:val="nil"/>
          <w:bottom w:val="nil"/>
          <w:right w:val="nil"/>
          <w:between w:val="nil"/>
        </w:pBdr>
        <w:contextualSpacing/>
        <w:rPr>
          <w:color w:val="000000"/>
          <w:sz w:val="24"/>
          <w:szCs w:val="24"/>
        </w:rPr>
      </w:pPr>
      <w:r>
        <w:rPr>
          <w:color w:val="000000"/>
          <w:sz w:val="24"/>
          <w:szCs w:val="24"/>
        </w:rPr>
        <w:t xml:space="preserve">The audience for these “trusted” datasets are </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CCI, CBS and WIS users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 xml:space="preserve">Key climate decision makers </w:t>
      </w:r>
    </w:p>
    <w:p w:rsidR="0006705A" w:rsidRDefault="00CE644D">
      <w:pPr>
        <w:numPr>
          <w:ilvl w:val="1"/>
          <w:numId w:val="1"/>
        </w:numPr>
        <w:contextualSpacing/>
        <w:rPr>
          <w:sz w:val="24"/>
          <w:szCs w:val="24"/>
        </w:rPr>
      </w:pPr>
      <w:r>
        <w:rPr>
          <w:sz w:val="24"/>
          <w:szCs w:val="24"/>
        </w:rPr>
        <w:t>Could be any user in the world for any purpose</w:t>
      </w:r>
    </w:p>
    <w:p w:rsidR="0006705A" w:rsidRDefault="00CE644D">
      <w:pPr>
        <w:numPr>
          <w:ilvl w:val="0"/>
          <w:numId w:val="1"/>
        </w:numPr>
        <w:pBdr>
          <w:top w:val="nil"/>
          <w:left w:val="nil"/>
          <w:bottom w:val="nil"/>
          <w:right w:val="nil"/>
          <w:between w:val="nil"/>
        </w:pBdr>
        <w:contextualSpacing/>
        <w:rPr>
          <w:color w:val="000000"/>
          <w:sz w:val="24"/>
          <w:szCs w:val="24"/>
        </w:rPr>
      </w:pPr>
      <w:r>
        <w:rPr>
          <w:color w:val="000000"/>
          <w:sz w:val="24"/>
          <w:szCs w:val="24"/>
        </w:rPr>
        <w:t xml:space="preserve">Discovery metadata helps find potential datasets and determine the suitability of a dataset for your use, this includes: </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Trustworthiness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Accessibility</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Licensing</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Source (satellite, in-situ)</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Data Formats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Responsibilities (contacts)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Cite-ability</w:t>
      </w:r>
    </w:p>
    <w:p w:rsidR="0006705A" w:rsidRDefault="0006705A">
      <w:pPr>
        <w:rPr>
          <w:b/>
          <w:sz w:val="24"/>
          <w:szCs w:val="24"/>
        </w:rPr>
      </w:pPr>
    </w:p>
    <w:p w:rsidR="0006705A" w:rsidRDefault="00CE644D">
      <w:pPr>
        <w:rPr>
          <w:b/>
          <w:sz w:val="24"/>
          <w:szCs w:val="24"/>
        </w:rPr>
      </w:pPr>
      <w:r>
        <w:rPr>
          <w:b/>
          <w:sz w:val="24"/>
          <w:szCs w:val="24"/>
        </w:rPr>
        <w:t>Requirements</w:t>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Discovery in WIS (already a requirement)</w:t>
      </w:r>
    </w:p>
    <w:p w:rsidR="0006705A" w:rsidRDefault="00CE644D">
      <w:pPr>
        <w:numPr>
          <w:ilvl w:val="1"/>
          <w:numId w:val="2"/>
        </w:numPr>
        <w:pBdr>
          <w:top w:val="nil"/>
          <w:left w:val="nil"/>
          <w:bottom w:val="nil"/>
          <w:right w:val="nil"/>
          <w:between w:val="nil"/>
        </w:pBdr>
        <w:contextualSpacing/>
        <w:rPr>
          <w:color w:val="000000"/>
          <w:sz w:val="24"/>
          <w:szCs w:val="24"/>
        </w:rPr>
      </w:pPr>
      <w:r>
        <w:rPr>
          <w:color w:val="000000"/>
          <w:sz w:val="24"/>
          <w:szCs w:val="24"/>
        </w:rPr>
        <w:t>Comply with WMO Core Profile 1.3 of ISO 19115</w:t>
      </w:r>
    </w:p>
    <w:p w:rsidR="0006705A" w:rsidRDefault="00CE644D">
      <w:pPr>
        <w:numPr>
          <w:ilvl w:val="2"/>
          <w:numId w:val="2"/>
        </w:numPr>
        <w:pBdr>
          <w:top w:val="nil"/>
          <w:left w:val="nil"/>
          <w:bottom w:val="nil"/>
          <w:right w:val="nil"/>
          <w:between w:val="nil"/>
        </w:pBdr>
        <w:contextualSpacing/>
        <w:rPr>
          <w:color w:val="000000"/>
          <w:sz w:val="24"/>
          <w:szCs w:val="24"/>
        </w:rPr>
      </w:pPr>
      <w:r>
        <w:rPr>
          <w:color w:val="000000"/>
          <w:sz w:val="24"/>
          <w:szCs w:val="24"/>
        </w:rPr>
        <w:t>Scope: “specification that describes the content, structure and encoding of discovery metadata”</w:t>
      </w:r>
    </w:p>
    <w:p w:rsidR="0006705A" w:rsidRDefault="00CE644D">
      <w:pPr>
        <w:numPr>
          <w:ilvl w:val="2"/>
          <w:numId w:val="2"/>
        </w:numPr>
        <w:pBdr>
          <w:top w:val="nil"/>
          <w:left w:val="nil"/>
          <w:bottom w:val="nil"/>
          <w:right w:val="nil"/>
          <w:between w:val="nil"/>
        </w:pBdr>
        <w:contextualSpacing/>
        <w:rPr>
          <w:color w:val="000000"/>
          <w:sz w:val="24"/>
          <w:szCs w:val="24"/>
        </w:rPr>
      </w:pPr>
      <w:r>
        <w:rPr>
          <w:color w:val="000000"/>
          <w:sz w:val="24"/>
          <w:szCs w:val="24"/>
        </w:rPr>
        <w:t>Basic entry requirement to the WIS and GISC Catalogs have the capabilities to handle the broader suite ISO 19115 standards</w:t>
      </w:r>
    </w:p>
    <w:p w:rsidR="0006705A" w:rsidRDefault="00CE644D">
      <w:pPr>
        <w:numPr>
          <w:ilvl w:val="0"/>
          <w:numId w:val="2"/>
        </w:numPr>
        <w:contextualSpacing/>
        <w:rPr>
          <w:sz w:val="24"/>
          <w:szCs w:val="24"/>
        </w:rPr>
      </w:pPr>
      <w:r>
        <w:rPr>
          <w:sz w:val="24"/>
          <w:szCs w:val="24"/>
        </w:rPr>
        <w:t>Search Engine Indexing</w:t>
      </w:r>
      <w:r>
        <w:rPr>
          <w:sz w:val="24"/>
          <w:szCs w:val="24"/>
        </w:rPr>
        <w:tab/>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Specific discovery content rules that can enhance promotion and filtering of trusted datasets</w:t>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Engage with each relevant data provider to ensure they engage with the relevant GISC to include in the WIS</w:t>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TBD- synchronization of original metadata and decisions about point of truth metadata</w:t>
      </w:r>
    </w:p>
    <w:p w:rsidR="0006705A" w:rsidRDefault="0006705A">
      <w:pPr>
        <w:pBdr>
          <w:top w:val="nil"/>
          <w:left w:val="nil"/>
          <w:bottom w:val="nil"/>
          <w:right w:val="nil"/>
          <w:between w:val="nil"/>
        </w:pBdr>
        <w:ind w:left="720" w:hanging="720"/>
        <w:rPr>
          <w:color w:val="000000"/>
          <w:sz w:val="24"/>
          <w:szCs w:val="24"/>
        </w:rPr>
      </w:pPr>
    </w:p>
    <w:p w:rsidR="0006705A" w:rsidRDefault="00CE644D">
      <w:pPr>
        <w:rPr>
          <w:b/>
          <w:sz w:val="24"/>
          <w:szCs w:val="24"/>
        </w:rPr>
      </w:pPr>
      <w:r>
        <w:rPr>
          <w:b/>
          <w:sz w:val="24"/>
          <w:szCs w:val="24"/>
        </w:rPr>
        <w:t>Dependencies</w:t>
      </w:r>
    </w:p>
    <w:p w:rsidR="0006705A" w:rsidRPr="00C1087E" w:rsidRDefault="00CE644D">
      <w:pPr>
        <w:numPr>
          <w:ilvl w:val="0"/>
          <w:numId w:val="5"/>
        </w:numPr>
        <w:pBdr>
          <w:top w:val="nil"/>
          <w:left w:val="nil"/>
          <w:bottom w:val="nil"/>
          <w:right w:val="nil"/>
          <w:between w:val="nil"/>
        </w:pBdr>
        <w:contextualSpacing/>
        <w:rPr>
          <w:b/>
          <w:color w:val="000000"/>
          <w:sz w:val="24"/>
          <w:szCs w:val="24"/>
        </w:rPr>
      </w:pPr>
      <w:r>
        <w:rPr>
          <w:color w:val="000000"/>
          <w:sz w:val="24"/>
          <w:szCs w:val="24"/>
        </w:rPr>
        <w:t>Maturity Assessment includes publication of WMO compliant metadata to the WIS in order to achieve a high score in the respective category</w:t>
      </w:r>
    </w:p>
    <w:p w:rsidR="00C1087E" w:rsidRDefault="00C1087E" w:rsidP="00C1087E">
      <w:pPr>
        <w:numPr>
          <w:ilvl w:val="0"/>
          <w:numId w:val="5"/>
        </w:numPr>
        <w:pBdr>
          <w:top w:val="nil"/>
          <w:left w:val="nil"/>
          <w:bottom w:val="nil"/>
          <w:right w:val="nil"/>
          <w:between w:val="nil"/>
        </w:pBdr>
        <w:contextualSpacing/>
        <w:rPr>
          <w:color w:val="000000"/>
          <w:sz w:val="24"/>
          <w:szCs w:val="24"/>
        </w:rPr>
      </w:pPr>
      <w:r>
        <w:rPr>
          <w:color w:val="000000"/>
          <w:sz w:val="24"/>
          <w:szCs w:val="24"/>
        </w:rPr>
        <w:t>Harvesting original metadata to WIS</w:t>
      </w:r>
    </w:p>
    <w:p w:rsidR="00C1087E" w:rsidRDefault="00C1087E" w:rsidP="00C1087E">
      <w:pPr>
        <w:numPr>
          <w:ilvl w:val="0"/>
          <w:numId w:val="5"/>
        </w:numPr>
        <w:pBdr>
          <w:top w:val="nil"/>
          <w:left w:val="nil"/>
          <w:bottom w:val="nil"/>
          <w:right w:val="nil"/>
          <w:between w:val="nil"/>
        </w:pBdr>
        <w:contextualSpacing/>
        <w:rPr>
          <w:color w:val="000000"/>
          <w:sz w:val="24"/>
          <w:szCs w:val="24"/>
        </w:rPr>
      </w:pPr>
      <w:r>
        <w:rPr>
          <w:color w:val="000000"/>
          <w:sz w:val="24"/>
          <w:szCs w:val="24"/>
        </w:rPr>
        <w:t>Capacity to extract metadata dynamically from WIS</w:t>
      </w:r>
    </w:p>
    <w:p w:rsidR="0006705A" w:rsidRDefault="0006705A">
      <w:pPr>
        <w:pBdr>
          <w:top w:val="nil"/>
          <w:left w:val="nil"/>
          <w:bottom w:val="nil"/>
          <w:right w:val="nil"/>
          <w:between w:val="nil"/>
        </w:pBdr>
        <w:ind w:left="720" w:hanging="720"/>
        <w:rPr>
          <w:color w:val="000000"/>
          <w:sz w:val="24"/>
          <w:szCs w:val="24"/>
        </w:rPr>
      </w:pPr>
    </w:p>
    <w:p w:rsidR="0006705A" w:rsidRDefault="00CE644D">
      <w:pPr>
        <w:rPr>
          <w:b/>
          <w:sz w:val="24"/>
          <w:szCs w:val="24"/>
        </w:rPr>
      </w:pPr>
      <w:r>
        <w:rPr>
          <w:b/>
          <w:sz w:val="24"/>
          <w:szCs w:val="24"/>
        </w:rPr>
        <w:t>Mechanisms</w:t>
      </w:r>
    </w:p>
    <w:p w:rsidR="0006705A" w:rsidRDefault="00CE644D">
      <w:pPr>
        <w:numPr>
          <w:ilvl w:val="0"/>
          <w:numId w:val="5"/>
        </w:numPr>
        <w:pBdr>
          <w:top w:val="nil"/>
          <w:left w:val="nil"/>
          <w:bottom w:val="nil"/>
          <w:right w:val="nil"/>
          <w:between w:val="nil"/>
        </w:pBdr>
        <w:contextualSpacing/>
        <w:rPr>
          <w:color w:val="000000"/>
          <w:sz w:val="24"/>
          <w:szCs w:val="24"/>
        </w:rPr>
      </w:pPr>
      <w:r>
        <w:rPr>
          <w:color w:val="000000"/>
          <w:sz w:val="24"/>
          <w:szCs w:val="24"/>
        </w:rPr>
        <w:t xml:space="preserve">To support search engine indexing – possible interim solutions before WIS 2.0 is available (listed in order by level of effort). </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WMO hosted static web page with static list of ‘trusted data sets’ with associated metadata links (to the WIS metadata record, other authoritative metadata record or the data home page as a last resort) (</w:t>
      </w:r>
      <w:r>
        <w:rPr>
          <w:i/>
          <w:color w:val="000000"/>
          <w:sz w:val="24"/>
          <w:szCs w:val="24"/>
        </w:rPr>
        <w:t>not 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limited search engine indexing, 2 hours, fast implementation, doesn’t support discovery for use, does not meet WMO WIS integration requirement</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 xml:space="preserve">WMO hosted static web page with static link to the trusted datasets in WIS </w:t>
      </w:r>
      <w:r>
        <w:rPr>
          <w:i/>
          <w:color w:val="000000"/>
          <w:sz w:val="24"/>
          <w:szCs w:val="24"/>
        </w:rPr>
        <w:t>(recommended)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limited search engine indexing; Easy to add an additional filter string in the WIS for query; limited support for discovery; partially meets WMO WIS integration requirement; Define and leverage a keyword that identifies ‘trusted data’</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 xml:space="preserve">WMO hosted web page/lightweight catalog of trusted datasets that is dynamically populated by a filtered query from the WIS </w:t>
      </w:r>
      <w:r>
        <w:rPr>
          <w:i/>
          <w:color w:val="000000"/>
          <w:sz w:val="24"/>
          <w:szCs w:val="24"/>
        </w:rPr>
        <w:t>(recommended)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search engine indexing; robust support for discovery; consistency and customization; Infrastructure set up and maintenance; meets WMO WIS integration requirement</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Build a new WMO catalog application of trusted datasets only (</w:t>
      </w:r>
      <w:r>
        <w:rPr>
          <w:i/>
          <w:color w:val="000000"/>
          <w:sz w:val="24"/>
          <w:szCs w:val="24"/>
        </w:rPr>
        <w:t>not 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provides search engine indexing, consistency and customization; Infrastructure set up and maintenance; not leveraging current WMO solutions</w:t>
      </w:r>
    </w:p>
    <w:p w:rsidR="0006705A" w:rsidRDefault="0006705A">
      <w:pPr>
        <w:pBdr>
          <w:top w:val="nil"/>
          <w:left w:val="nil"/>
          <w:bottom w:val="nil"/>
          <w:right w:val="nil"/>
          <w:between w:val="nil"/>
        </w:pBdr>
        <w:ind w:left="2160" w:hanging="720"/>
        <w:rPr>
          <w:color w:val="000000"/>
          <w:sz w:val="24"/>
          <w:szCs w:val="24"/>
        </w:rPr>
      </w:pPr>
    </w:p>
    <w:p w:rsidR="0006705A" w:rsidRDefault="00C1087E">
      <w:pPr>
        <w:rPr>
          <w:sz w:val="24"/>
          <w:szCs w:val="24"/>
        </w:rPr>
      </w:pPr>
      <w:r>
        <w:rPr>
          <w:sz w:val="24"/>
          <w:szCs w:val="24"/>
        </w:rPr>
        <w:t>Next Steps:</w:t>
      </w:r>
    </w:p>
    <w:p w:rsidR="00C1087E" w:rsidRDefault="00C1087E" w:rsidP="00C1087E">
      <w:pPr>
        <w:pStyle w:val="Lijstalinea"/>
        <w:numPr>
          <w:ilvl w:val="0"/>
          <w:numId w:val="4"/>
        </w:numPr>
        <w:rPr>
          <w:sz w:val="24"/>
          <w:szCs w:val="24"/>
        </w:rPr>
      </w:pPr>
      <w:r>
        <w:rPr>
          <w:sz w:val="24"/>
          <w:szCs w:val="24"/>
        </w:rPr>
        <w:t>Compile list of metadata resources for each trusted dataset</w:t>
      </w:r>
    </w:p>
    <w:p w:rsidR="00C1087E" w:rsidRPr="00C1087E" w:rsidRDefault="00C1087E" w:rsidP="00C1087E">
      <w:pPr>
        <w:pStyle w:val="Lijstalinea"/>
        <w:numPr>
          <w:ilvl w:val="0"/>
          <w:numId w:val="4"/>
        </w:numPr>
        <w:rPr>
          <w:sz w:val="24"/>
          <w:szCs w:val="24"/>
        </w:rPr>
      </w:pPr>
      <w:r>
        <w:rPr>
          <w:sz w:val="24"/>
          <w:szCs w:val="24"/>
        </w:rPr>
        <w:t>Ensure WMCP metadata is produced (or translated)</w:t>
      </w:r>
      <w:bookmarkStart w:id="4" w:name="_GoBack"/>
      <w:bookmarkEnd w:id="4"/>
      <w:r>
        <w:rPr>
          <w:sz w:val="24"/>
          <w:szCs w:val="24"/>
        </w:rPr>
        <w:t xml:space="preserve"> and harvested to WIS</w:t>
      </w:r>
    </w:p>
    <w:sectPr w:rsidR="00C1087E" w:rsidRPr="00C1087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52A8B"/>
    <w:multiLevelType w:val="multilevel"/>
    <w:tmpl w:val="9EB2BE60"/>
    <w:lvl w:ilvl="0">
      <w:start w:val="1"/>
      <w:numFmt w:val="bullet"/>
      <w:lvlText w:val="●"/>
      <w:lvlJc w:val="left"/>
      <w:pPr>
        <w:ind w:left="720" w:hanging="360"/>
      </w:pPr>
      <w:rPr>
        <w:rFonts w:ascii="Arial" w:eastAsia="Arial" w:hAnsi="Arial" w:cs="Arial"/>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5A11B15"/>
    <w:multiLevelType w:val="multilevel"/>
    <w:tmpl w:val="56C41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71B5265"/>
    <w:multiLevelType w:val="multilevel"/>
    <w:tmpl w:val="4A76EB1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44B438A"/>
    <w:multiLevelType w:val="multilevel"/>
    <w:tmpl w:val="72EC5444"/>
    <w:lvl w:ilvl="0">
      <w:start w:val="1"/>
      <w:numFmt w:val="bullet"/>
      <w:lvlText w:val="-"/>
      <w:lvlJc w:val="left"/>
      <w:pPr>
        <w:ind w:left="720" w:hanging="360"/>
      </w:pPr>
      <w:rPr>
        <w:rFonts w:ascii="Arial" w:eastAsia="Arial" w:hAnsi="Arial" w:cs="Arial"/>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4DBB4D9E"/>
    <w:multiLevelType w:val="multilevel"/>
    <w:tmpl w:val="D5A0F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200"/>
  <w:doNotDisplayPageBoundaries/>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05A"/>
    <w:rsid w:val="0006705A"/>
    <w:rsid w:val="00371395"/>
    <w:rsid w:val="00C1087E"/>
    <w:rsid w:val="00CE6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style>
  <w:style w:type="paragraph" w:styleId="Kop1">
    <w:name w:val="heading 1"/>
    <w:basedOn w:val="Standaard"/>
    <w:next w:val="Standaard"/>
    <w:pPr>
      <w:keepNext/>
      <w:keepLines/>
      <w:spacing w:before="480" w:after="120"/>
      <w:outlineLvl w:val="0"/>
    </w:pPr>
    <w:rPr>
      <w:b/>
      <w:sz w:val="48"/>
      <w:szCs w:val="48"/>
    </w:rPr>
  </w:style>
  <w:style w:type="paragraph" w:styleId="Kop2">
    <w:name w:val="heading 2"/>
    <w:basedOn w:val="Standaard"/>
    <w:next w:val="Standaard"/>
    <w:pPr>
      <w:keepNext/>
      <w:keepLines/>
      <w:spacing w:before="360" w:after="80"/>
      <w:outlineLvl w:val="1"/>
    </w:pPr>
    <w:rPr>
      <w:b/>
      <w:sz w:val="36"/>
      <w:szCs w:val="36"/>
    </w:rPr>
  </w:style>
  <w:style w:type="paragraph" w:styleId="Kop3">
    <w:name w:val="heading 3"/>
    <w:basedOn w:val="Standaard"/>
    <w:next w:val="Standaard"/>
    <w:pPr>
      <w:keepNext/>
      <w:keepLines/>
      <w:spacing w:before="280" w:after="80"/>
      <w:outlineLvl w:val="2"/>
    </w:pPr>
    <w:rPr>
      <w:b/>
      <w:sz w:val="28"/>
      <w:szCs w:val="28"/>
    </w:rPr>
  </w:style>
  <w:style w:type="paragraph" w:styleId="Kop4">
    <w:name w:val="heading 4"/>
    <w:basedOn w:val="Standaard"/>
    <w:next w:val="Standaard"/>
    <w:pPr>
      <w:keepNext/>
      <w:keepLines/>
      <w:spacing w:before="240" w:after="40"/>
      <w:outlineLvl w:val="3"/>
    </w:pPr>
    <w:rPr>
      <w:b/>
      <w:sz w:val="24"/>
      <w:szCs w:val="24"/>
    </w:rPr>
  </w:style>
  <w:style w:type="paragraph" w:styleId="Kop5">
    <w:name w:val="heading 5"/>
    <w:basedOn w:val="Standaard"/>
    <w:next w:val="Standaard"/>
    <w:pPr>
      <w:keepNext/>
      <w:keepLines/>
      <w:spacing w:before="220" w:after="40"/>
      <w:outlineLvl w:val="4"/>
    </w:pPr>
    <w:rPr>
      <w:b/>
    </w:rPr>
  </w:style>
  <w:style w:type="paragraph" w:styleId="Kop6">
    <w:name w:val="heading 6"/>
    <w:basedOn w:val="Standaard"/>
    <w:next w:val="Standaard"/>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pPr>
      <w:keepNext/>
      <w:keepLines/>
      <w:spacing w:before="480" w:after="120"/>
    </w:pPr>
    <w:rPr>
      <w:b/>
      <w:sz w:val="72"/>
      <w:szCs w:val="72"/>
    </w:rPr>
  </w:style>
  <w:style w:type="paragraph" w:styleId="Ondertitel">
    <w:name w:val="Subtitle"/>
    <w:basedOn w:val="Standaard"/>
    <w:next w:val="Standaard"/>
    <w:pPr>
      <w:keepNext/>
      <w:keepLines/>
      <w:spacing w:before="360" w:after="80"/>
    </w:pPr>
    <w:rPr>
      <w:rFonts w:ascii="Georgia" w:eastAsia="Georgia" w:hAnsi="Georgia" w:cs="Georgia"/>
      <w:i/>
      <w:color w:val="666666"/>
      <w:sz w:val="48"/>
      <w:szCs w:val="48"/>
    </w:rPr>
  </w:style>
  <w:style w:type="paragraph" w:styleId="Lijstalinea">
    <w:name w:val="List Paragraph"/>
    <w:basedOn w:val="Standaard"/>
    <w:uiPriority w:val="34"/>
    <w:qFormat/>
    <w:rsid w:val="00C108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style>
  <w:style w:type="paragraph" w:styleId="Kop1">
    <w:name w:val="heading 1"/>
    <w:basedOn w:val="Standaard"/>
    <w:next w:val="Standaard"/>
    <w:pPr>
      <w:keepNext/>
      <w:keepLines/>
      <w:spacing w:before="480" w:after="120"/>
      <w:outlineLvl w:val="0"/>
    </w:pPr>
    <w:rPr>
      <w:b/>
      <w:sz w:val="48"/>
      <w:szCs w:val="48"/>
    </w:rPr>
  </w:style>
  <w:style w:type="paragraph" w:styleId="Kop2">
    <w:name w:val="heading 2"/>
    <w:basedOn w:val="Standaard"/>
    <w:next w:val="Standaard"/>
    <w:pPr>
      <w:keepNext/>
      <w:keepLines/>
      <w:spacing w:before="360" w:after="80"/>
      <w:outlineLvl w:val="1"/>
    </w:pPr>
    <w:rPr>
      <w:b/>
      <w:sz w:val="36"/>
      <w:szCs w:val="36"/>
    </w:rPr>
  </w:style>
  <w:style w:type="paragraph" w:styleId="Kop3">
    <w:name w:val="heading 3"/>
    <w:basedOn w:val="Standaard"/>
    <w:next w:val="Standaard"/>
    <w:pPr>
      <w:keepNext/>
      <w:keepLines/>
      <w:spacing w:before="280" w:after="80"/>
      <w:outlineLvl w:val="2"/>
    </w:pPr>
    <w:rPr>
      <w:b/>
      <w:sz w:val="28"/>
      <w:szCs w:val="28"/>
    </w:rPr>
  </w:style>
  <w:style w:type="paragraph" w:styleId="Kop4">
    <w:name w:val="heading 4"/>
    <w:basedOn w:val="Standaard"/>
    <w:next w:val="Standaard"/>
    <w:pPr>
      <w:keepNext/>
      <w:keepLines/>
      <w:spacing w:before="240" w:after="40"/>
      <w:outlineLvl w:val="3"/>
    </w:pPr>
    <w:rPr>
      <w:b/>
      <w:sz w:val="24"/>
      <w:szCs w:val="24"/>
    </w:rPr>
  </w:style>
  <w:style w:type="paragraph" w:styleId="Kop5">
    <w:name w:val="heading 5"/>
    <w:basedOn w:val="Standaard"/>
    <w:next w:val="Standaard"/>
    <w:pPr>
      <w:keepNext/>
      <w:keepLines/>
      <w:spacing w:before="220" w:after="40"/>
      <w:outlineLvl w:val="4"/>
    </w:pPr>
    <w:rPr>
      <w:b/>
    </w:rPr>
  </w:style>
  <w:style w:type="paragraph" w:styleId="Kop6">
    <w:name w:val="heading 6"/>
    <w:basedOn w:val="Standaard"/>
    <w:next w:val="Standaard"/>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pPr>
      <w:keepNext/>
      <w:keepLines/>
      <w:spacing w:before="480" w:after="120"/>
    </w:pPr>
    <w:rPr>
      <w:b/>
      <w:sz w:val="72"/>
      <w:szCs w:val="72"/>
    </w:rPr>
  </w:style>
  <w:style w:type="paragraph" w:styleId="Ondertitel">
    <w:name w:val="Subtitle"/>
    <w:basedOn w:val="Standaard"/>
    <w:next w:val="Standaard"/>
    <w:pPr>
      <w:keepNext/>
      <w:keepLines/>
      <w:spacing w:before="360" w:after="80"/>
    </w:pPr>
    <w:rPr>
      <w:rFonts w:ascii="Georgia" w:eastAsia="Georgia" w:hAnsi="Georgia" w:cs="Georgia"/>
      <w:i/>
      <w:color w:val="666666"/>
      <w:sz w:val="48"/>
      <w:szCs w:val="48"/>
    </w:rPr>
  </w:style>
  <w:style w:type="paragraph" w:styleId="Lijstalinea">
    <w:name w:val="List Paragraph"/>
    <w:basedOn w:val="Standaard"/>
    <w:uiPriority w:val="34"/>
    <w:qFormat/>
    <w:rsid w:val="00C10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86F14687</Template>
  <TotalTime>29</TotalTime>
  <Pages>1</Pages>
  <Words>502</Words>
  <Characters>2763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Milan</dc:creator>
  <cp:lastModifiedBy>Siegmund, Peter (KNMI)</cp:lastModifiedBy>
  <cp:revision>2</cp:revision>
  <dcterms:created xsi:type="dcterms:W3CDTF">2018-04-18T07:54:00Z</dcterms:created>
  <dcterms:modified xsi:type="dcterms:W3CDTF">2018-04-18T07:54:00Z</dcterms:modified>
</cp:coreProperties>
</file>