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59E" w:rsidRPr="009F41E6" w:rsidRDefault="00664E37">
      <w:pPr>
        <w:rPr>
          <w:rFonts w:ascii="Arial" w:hAnsi="Arial" w:cs="Arial"/>
          <w:b/>
          <w:sz w:val="28"/>
          <w:szCs w:val="28"/>
        </w:rPr>
      </w:pPr>
      <w:r w:rsidRPr="009F41E6">
        <w:rPr>
          <w:rFonts w:ascii="Arial" w:hAnsi="Arial" w:cs="Arial"/>
          <w:b/>
          <w:sz w:val="28"/>
          <w:szCs w:val="28"/>
        </w:rPr>
        <w:t>7</w:t>
      </w:r>
      <w:r w:rsidRPr="009F41E6">
        <w:rPr>
          <w:rFonts w:ascii="Arial" w:hAnsi="Arial" w:cs="Arial"/>
          <w:b/>
          <w:sz w:val="28"/>
          <w:szCs w:val="28"/>
        </w:rPr>
        <w:tab/>
      </w:r>
      <w:proofErr w:type="gramStart"/>
      <w:r w:rsidRPr="009F41E6">
        <w:rPr>
          <w:rFonts w:ascii="Arial" w:hAnsi="Arial" w:cs="Arial"/>
          <w:b/>
          <w:sz w:val="28"/>
          <w:szCs w:val="28"/>
        </w:rPr>
        <w:t>D</w:t>
      </w:r>
      <w:r w:rsidR="009F41E6" w:rsidRPr="009F41E6">
        <w:rPr>
          <w:rFonts w:ascii="Arial" w:hAnsi="Arial" w:cs="Arial"/>
          <w:b/>
          <w:sz w:val="28"/>
          <w:szCs w:val="28"/>
        </w:rPr>
        <w:t xml:space="preserve">ATA </w:t>
      </w:r>
      <w:r w:rsidR="009F41E6">
        <w:rPr>
          <w:rFonts w:ascii="Arial" w:hAnsi="Arial" w:cs="Arial"/>
          <w:b/>
          <w:sz w:val="28"/>
          <w:szCs w:val="28"/>
        </w:rPr>
        <w:t xml:space="preserve"> </w:t>
      </w:r>
      <w:r w:rsidR="00BF7130">
        <w:rPr>
          <w:rFonts w:ascii="Arial" w:hAnsi="Arial" w:cs="Arial"/>
          <w:b/>
          <w:sz w:val="28"/>
          <w:szCs w:val="28"/>
        </w:rPr>
        <w:t>and</w:t>
      </w:r>
      <w:proofErr w:type="gramEnd"/>
      <w:r w:rsidR="00BF7130">
        <w:rPr>
          <w:rFonts w:ascii="Arial" w:hAnsi="Arial" w:cs="Arial"/>
          <w:b/>
          <w:sz w:val="28"/>
          <w:szCs w:val="28"/>
        </w:rPr>
        <w:t xml:space="preserve"> INFORMATION </w:t>
      </w:r>
      <w:r w:rsidR="009F41E6" w:rsidRPr="009F41E6">
        <w:rPr>
          <w:rFonts w:ascii="Arial" w:hAnsi="Arial" w:cs="Arial"/>
          <w:b/>
          <w:sz w:val="28"/>
          <w:szCs w:val="28"/>
        </w:rPr>
        <w:t xml:space="preserve">GOVERNANCE </w:t>
      </w:r>
    </w:p>
    <w:p w:rsidR="009F41E6" w:rsidRDefault="009F41E6">
      <w:pPr>
        <w:rPr>
          <w:rFonts w:ascii="Arial" w:hAnsi="Arial" w:cs="Arial"/>
        </w:rPr>
      </w:pPr>
      <w:r w:rsidRPr="002C350E">
        <w:rPr>
          <w:rFonts w:ascii="Arial" w:hAnsi="Arial" w:cs="Arial"/>
        </w:rPr>
        <w:t xml:space="preserve">In </w:t>
      </w:r>
      <w:r w:rsidR="002C350E" w:rsidRPr="002C350E">
        <w:rPr>
          <w:rFonts w:ascii="Arial" w:hAnsi="Arial" w:cs="Arial"/>
        </w:rPr>
        <w:t>Section 2.2</w:t>
      </w:r>
      <w:r w:rsidRPr="002C350E">
        <w:rPr>
          <w:rFonts w:ascii="Arial" w:hAnsi="Arial" w:cs="Arial"/>
        </w:rPr>
        <w:t xml:space="preserve">, we defined </w:t>
      </w:r>
      <w:r w:rsidR="002C350E" w:rsidRPr="002C350E">
        <w:rPr>
          <w:rFonts w:ascii="Arial" w:hAnsi="Arial" w:cs="Arial"/>
        </w:rPr>
        <w:t xml:space="preserve">data management governance as the rules, principles and </w:t>
      </w:r>
      <w:r w:rsidR="00955F7E">
        <w:rPr>
          <w:rFonts w:ascii="Arial" w:hAnsi="Arial" w:cs="Arial"/>
        </w:rPr>
        <w:t xml:space="preserve">decision-making and </w:t>
      </w:r>
      <w:r w:rsidR="002C350E" w:rsidRPr="002C350E">
        <w:rPr>
          <w:rFonts w:ascii="Arial" w:hAnsi="Arial" w:cs="Arial"/>
        </w:rPr>
        <w:t xml:space="preserve">authorization processes that describe how NMHS data is managed. </w:t>
      </w:r>
      <w:r w:rsidR="002C350E">
        <w:rPr>
          <w:rFonts w:ascii="Arial" w:hAnsi="Arial" w:cs="Arial"/>
        </w:rPr>
        <w:t>Structurally</w:t>
      </w:r>
      <w:r w:rsidR="00557DF3">
        <w:rPr>
          <w:rFonts w:ascii="Arial" w:hAnsi="Arial" w:cs="Arial"/>
        </w:rPr>
        <w:t>, governance</w:t>
      </w:r>
      <w:r w:rsidR="002C350E">
        <w:rPr>
          <w:rFonts w:ascii="Arial" w:hAnsi="Arial" w:cs="Arial"/>
        </w:rPr>
        <w:t xml:space="preserve"> includes standard proce</w:t>
      </w:r>
      <w:r w:rsidR="00557DF3">
        <w:rPr>
          <w:rFonts w:ascii="Arial" w:hAnsi="Arial" w:cs="Arial"/>
        </w:rPr>
        <w:t>dures, policies, approval</w:t>
      </w:r>
      <w:r w:rsidR="00FE0C70">
        <w:rPr>
          <w:rFonts w:ascii="Arial" w:hAnsi="Arial" w:cs="Arial"/>
        </w:rPr>
        <w:t xml:space="preserve"> processes</w:t>
      </w:r>
      <w:r w:rsidR="00557DF3">
        <w:rPr>
          <w:rFonts w:ascii="Arial" w:hAnsi="Arial" w:cs="Arial"/>
        </w:rPr>
        <w:t xml:space="preserve">, along with accountabilities </w:t>
      </w:r>
      <w:r w:rsidR="00FE0C70">
        <w:rPr>
          <w:rFonts w:ascii="Arial" w:hAnsi="Arial" w:cs="Arial"/>
        </w:rPr>
        <w:t xml:space="preserve">and compliance mechanisms </w:t>
      </w:r>
      <w:r w:rsidR="00557DF3">
        <w:rPr>
          <w:rFonts w:ascii="Arial" w:hAnsi="Arial" w:cs="Arial"/>
        </w:rPr>
        <w:t xml:space="preserve">for ensuring the NMHS’ data is secure, accessible and fit for purpose. Details of the governance </w:t>
      </w:r>
      <w:r w:rsidR="00646FAC">
        <w:rPr>
          <w:rFonts w:ascii="Arial" w:hAnsi="Arial" w:cs="Arial"/>
        </w:rPr>
        <w:t xml:space="preserve">framework </w:t>
      </w:r>
      <w:r w:rsidR="00557DF3">
        <w:rPr>
          <w:rFonts w:ascii="Arial" w:hAnsi="Arial" w:cs="Arial"/>
        </w:rPr>
        <w:t>will be influenced by NMHS needs and overall strategy, as well as national and international requirements</w:t>
      </w:r>
      <w:r w:rsidR="00646FAC">
        <w:rPr>
          <w:rFonts w:ascii="Arial" w:hAnsi="Arial" w:cs="Arial"/>
        </w:rPr>
        <w:t xml:space="preserve">. The later includes relevant technical regulations. </w:t>
      </w:r>
      <w:r w:rsidR="00557DF3">
        <w:rPr>
          <w:rFonts w:ascii="Arial" w:hAnsi="Arial" w:cs="Arial"/>
        </w:rPr>
        <w:t xml:space="preserve"> </w:t>
      </w:r>
    </w:p>
    <w:p w:rsidR="00AA7E88" w:rsidRDefault="005D662B" w:rsidP="002C350E">
      <w:pPr>
        <w:rPr>
          <w:rFonts w:ascii="Arial" w:hAnsi="Arial" w:cs="Arial"/>
        </w:rPr>
      </w:pPr>
      <w:r>
        <w:rPr>
          <w:rFonts w:ascii="Arial" w:hAnsi="Arial" w:cs="Arial"/>
        </w:rPr>
        <w:t>An effective NMHS Data and Information Management Governance Framework should be developed from a cross-domain perspective, but recognising the particular needs of climate data</w:t>
      </w:r>
      <w:r w:rsidR="00F53BDC">
        <w:rPr>
          <w:rFonts w:ascii="Arial" w:hAnsi="Arial" w:cs="Arial"/>
        </w:rPr>
        <w:t xml:space="preserve">, which </w:t>
      </w:r>
      <w:r w:rsidR="00123339">
        <w:rPr>
          <w:rFonts w:ascii="Arial" w:hAnsi="Arial" w:cs="Arial"/>
        </w:rPr>
        <w:t xml:space="preserve">has particular needs for continuity, completeness and metadata as outlined in Section 2.2.  </w:t>
      </w:r>
    </w:p>
    <w:p w:rsidR="00B43526" w:rsidRDefault="00B43526" w:rsidP="002C350E">
      <w:pPr>
        <w:rPr>
          <w:rFonts w:ascii="Arial" w:hAnsi="Arial" w:cs="Arial"/>
        </w:rPr>
      </w:pPr>
    </w:p>
    <w:p w:rsidR="00B43526" w:rsidRDefault="00B43526" w:rsidP="00B43526">
      <w:pPr>
        <w:rPr>
          <w:rFonts w:ascii="Arial" w:hAnsi="Arial" w:cs="Arial"/>
          <w:b/>
          <w:color w:val="000000" w:themeColor="text1"/>
          <w:sz w:val="24"/>
          <w:szCs w:val="24"/>
        </w:rPr>
      </w:pPr>
      <w:r w:rsidRPr="005D662B">
        <w:rPr>
          <w:rFonts w:ascii="Arial" w:hAnsi="Arial" w:cs="Arial"/>
          <w:b/>
          <w:color w:val="000000" w:themeColor="text1"/>
          <w:sz w:val="24"/>
          <w:szCs w:val="24"/>
        </w:rPr>
        <w:t>7.</w:t>
      </w:r>
      <w:r w:rsidR="0090525B">
        <w:rPr>
          <w:rFonts w:ascii="Arial" w:hAnsi="Arial" w:cs="Arial"/>
          <w:b/>
          <w:color w:val="000000" w:themeColor="text1"/>
          <w:sz w:val="24"/>
          <w:szCs w:val="24"/>
        </w:rPr>
        <w:t>1</w:t>
      </w:r>
      <w:r w:rsidRPr="005D662B">
        <w:rPr>
          <w:rFonts w:ascii="Arial" w:hAnsi="Arial" w:cs="Arial"/>
          <w:b/>
          <w:color w:val="000000" w:themeColor="text1"/>
          <w:sz w:val="24"/>
          <w:szCs w:val="24"/>
        </w:rPr>
        <w:t xml:space="preserve"> </w:t>
      </w:r>
      <w:r w:rsidRPr="005D662B">
        <w:rPr>
          <w:rFonts w:ascii="Arial" w:hAnsi="Arial" w:cs="Arial"/>
          <w:b/>
          <w:color w:val="000000" w:themeColor="text1"/>
          <w:sz w:val="24"/>
          <w:szCs w:val="24"/>
        </w:rPr>
        <w:tab/>
      </w:r>
      <w:r>
        <w:rPr>
          <w:rFonts w:ascii="Arial" w:hAnsi="Arial" w:cs="Arial"/>
          <w:b/>
          <w:color w:val="000000" w:themeColor="text1"/>
          <w:sz w:val="24"/>
          <w:szCs w:val="24"/>
        </w:rPr>
        <w:t xml:space="preserve">Decision-making and compliance </w:t>
      </w:r>
    </w:p>
    <w:p w:rsidR="00B43526" w:rsidRDefault="002368BF" w:rsidP="00B43526">
      <w:pPr>
        <w:rPr>
          <w:rFonts w:ascii="Arial" w:hAnsi="Arial" w:cs="Arial"/>
          <w:color w:val="000000" w:themeColor="text1"/>
        </w:rPr>
      </w:pPr>
      <w:r>
        <w:rPr>
          <w:rFonts w:ascii="Arial" w:hAnsi="Arial" w:cs="Arial"/>
          <w:color w:val="000000" w:themeColor="text1"/>
        </w:rPr>
        <w:t>An NMHS’s data and information management operations needs to reflect the needs of its service providers, as well as national and international requirements and standards, and be consistent with the NMHS’s overall strategy</w:t>
      </w:r>
      <w:r w:rsidR="0090525B">
        <w:rPr>
          <w:rFonts w:ascii="Arial" w:hAnsi="Arial" w:cs="Arial"/>
          <w:color w:val="000000" w:themeColor="text1"/>
        </w:rPr>
        <w:t xml:space="preserve">, </w:t>
      </w:r>
      <w:r>
        <w:rPr>
          <w:rFonts w:ascii="Arial" w:hAnsi="Arial" w:cs="Arial"/>
          <w:color w:val="000000" w:themeColor="text1"/>
        </w:rPr>
        <w:t>values</w:t>
      </w:r>
      <w:r w:rsidR="0090525B">
        <w:rPr>
          <w:rFonts w:ascii="Arial" w:hAnsi="Arial" w:cs="Arial"/>
          <w:color w:val="000000" w:themeColor="text1"/>
        </w:rPr>
        <w:t xml:space="preserve"> and enduring data principles</w:t>
      </w:r>
      <w:r>
        <w:rPr>
          <w:rFonts w:ascii="Arial" w:hAnsi="Arial" w:cs="Arial"/>
          <w:color w:val="000000" w:themeColor="text1"/>
        </w:rPr>
        <w:t xml:space="preserve">. </w:t>
      </w:r>
      <w:r w:rsidR="00B43526" w:rsidRPr="00B43526">
        <w:rPr>
          <w:rFonts w:ascii="Arial" w:hAnsi="Arial" w:cs="Arial"/>
          <w:color w:val="000000" w:themeColor="text1"/>
        </w:rPr>
        <w:t xml:space="preserve">To ensure </w:t>
      </w:r>
      <w:r>
        <w:rPr>
          <w:rFonts w:ascii="Arial" w:hAnsi="Arial" w:cs="Arial"/>
          <w:color w:val="000000" w:themeColor="text1"/>
        </w:rPr>
        <w:t xml:space="preserve">these requirements are met high-level oversight is required, typically through a body of stakeholders representing the NMHS service providers, and with relevant expertise in data and records management. Such a body might be termed </w:t>
      </w:r>
      <w:r w:rsidR="0090525B">
        <w:rPr>
          <w:rFonts w:ascii="Arial" w:hAnsi="Arial" w:cs="Arial"/>
          <w:color w:val="000000" w:themeColor="text1"/>
        </w:rPr>
        <w:t xml:space="preserve">along the lines of a Data Governance Committee, and have the authority to approve key decisions on data and its management, and endorse policies and procedures. It would also be responsible for monitoring compliance with such policies and procedures, and establishing work programs to address emerging issues or opportunities with regard to data and its management. </w:t>
      </w:r>
    </w:p>
    <w:p w:rsidR="0090525B" w:rsidRDefault="0090525B" w:rsidP="00B43526">
      <w:pPr>
        <w:rPr>
          <w:rFonts w:ascii="Arial" w:hAnsi="Arial" w:cs="Arial"/>
          <w:color w:val="000000" w:themeColor="text1"/>
        </w:rPr>
      </w:pPr>
      <w:r>
        <w:rPr>
          <w:rFonts w:ascii="Arial" w:hAnsi="Arial" w:cs="Arial"/>
          <w:color w:val="000000" w:themeColor="text1"/>
        </w:rPr>
        <w:t>The role of the climate representative on such a committee would be to:</w:t>
      </w:r>
    </w:p>
    <w:p w:rsidR="0090525B" w:rsidRDefault="0090525B" w:rsidP="0090525B">
      <w:pPr>
        <w:pStyle w:val="ListParagraph"/>
        <w:numPr>
          <w:ilvl w:val="0"/>
          <w:numId w:val="4"/>
        </w:numPr>
        <w:rPr>
          <w:rFonts w:ascii="Arial" w:hAnsi="Arial" w:cs="Arial"/>
          <w:color w:val="000000" w:themeColor="text1"/>
        </w:rPr>
      </w:pPr>
      <w:r>
        <w:rPr>
          <w:rFonts w:ascii="Arial" w:hAnsi="Arial" w:cs="Arial"/>
          <w:color w:val="000000" w:themeColor="text1"/>
        </w:rPr>
        <w:t xml:space="preserve">Ensure the needs of climate service providers, climate monitoring and </w:t>
      </w:r>
      <w:r w:rsidR="004B1FB5">
        <w:rPr>
          <w:rFonts w:ascii="Arial" w:hAnsi="Arial" w:cs="Arial"/>
          <w:color w:val="000000" w:themeColor="text1"/>
        </w:rPr>
        <w:t>prediction, and climate data management are reflected in overall decision-making, and are not adversely affected by decisions or policies;</w:t>
      </w:r>
    </w:p>
    <w:p w:rsidR="004B1FB5" w:rsidRPr="0090525B" w:rsidRDefault="004B1FB5" w:rsidP="0090525B">
      <w:pPr>
        <w:pStyle w:val="ListParagraph"/>
        <w:numPr>
          <w:ilvl w:val="0"/>
          <w:numId w:val="4"/>
        </w:numPr>
        <w:rPr>
          <w:rFonts w:ascii="Arial" w:hAnsi="Arial" w:cs="Arial"/>
          <w:color w:val="000000" w:themeColor="text1"/>
        </w:rPr>
      </w:pPr>
      <w:r>
        <w:rPr>
          <w:rFonts w:ascii="Arial" w:hAnsi="Arial" w:cs="Arial"/>
          <w:color w:val="000000" w:themeColor="text1"/>
        </w:rPr>
        <w:t xml:space="preserve">Communicate </w:t>
      </w:r>
    </w:p>
    <w:p w:rsidR="00B43526" w:rsidRDefault="00B43526" w:rsidP="002C350E">
      <w:pPr>
        <w:rPr>
          <w:rFonts w:ascii="Arial" w:hAnsi="Arial" w:cs="Arial"/>
          <w:color w:val="000000" w:themeColor="text1"/>
        </w:rPr>
      </w:pPr>
    </w:p>
    <w:p w:rsidR="00AA7E88" w:rsidRPr="005D662B" w:rsidRDefault="00AA7E88" w:rsidP="002C350E">
      <w:pPr>
        <w:rPr>
          <w:rFonts w:ascii="Arial" w:hAnsi="Arial" w:cs="Arial"/>
          <w:b/>
          <w:color w:val="000000" w:themeColor="text1"/>
          <w:sz w:val="24"/>
          <w:szCs w:val="24"/>
        </w:rPr>
      </w:pPr>
      <w:r w:rsidRPr="005D662B">
        <w:rPr>
          <w:rFonts w:ascii="Arial" w:hAnsi="Arial" w:cs="Arial"/>
          <w:b/>
          <w:color w:val="000000" w:themeColor="text1"/>
          <w:sz w:val="24"/>
          <w:szCs w:val="24"/>
        </w:rPr>
        <w:t>7.</w:t>
      </w:r>
      <w:r w:rsidR="0086422B">
        <w:rPr>
          <w:rFonts w:ascii="Arial" w:hAnsi="Arial" w:cs="Arial"/>
          <w:b/>
          <w:color w:val="000000" w:themeColor="text1"/>
          <w:sz w:val="24"/>
          <w:szCs w:val="24"/>
        </w:rPr>
        <w:t>2</w:t>
      </w:r>
      <w:r w:rsidRPr="005D662B">
        <w:rPr>
          <w:rFonts w:ascii="Arial" w:hAnsi="Arial" w:cs="Arial"/>
          <w:b/>
          <w:color w:val="000000" w:themeColor="text1"/>
          <w:sz w:val="24"/>
          <w:szCs w:val="24"/>
        </w:rPr>
        <w:t xml:space="preserve"> </w:t>
      </w:r>
      <w:r w:rsidRPr="005D662B">
        <w:rPr>
          <w:rFonts w:ascii="Arial" w:hAnsi="Arial" w:cs="Arial"/>
          <w:b/>
          <w:color w:val="000000" w:themeColor="text1"/>
          <w:sz w:val="24"/>
          <w:szCs w:val="24"/>
        </w:rPr>
        <w:tab/>
        <w:t>Policies</w:t>
      </w:r>
    </w:p>
    <w:p w:rsidR="00922567" w:rsidRDefault="00B373C5" w:rsidP="002C350E">
      <w:pPr>
        <w:rPr>
          <w:rFonts w:ascii="Arial" w:hAnsi="Arial" w:cs="Arial"/>
          <w:color w:val="000000" w:themeColor="text1"/>
        </w:rPr>
      </w:pPr>
      <w:r w:rsidRPr="00A750D8">
        <w:rPr>
          <w:rFonts w:ascii="Arial" w:hAnsi="Arial" w:cs="Arial"/>
          <w:color w:val="000000" w:themeColor="text1"/>
        </w:rPr>
        <w:t xml:space="preserve">The DAMA dictionary of data management defines data policy as “a </w:t>
      </w:r>
      <w:r w:rsidRPr="00A750D8">
        <w:rPr>
          <w:rFonts w:ascii="Arial" w:hAnsi="Arial" w:cs="Arial"/>
        </w:rPr>
        <w:t xml:space="preserve">short statement of management intent and fundamental rules governing the creation, acquisition, integrity, security, quality, and use of data and information". </w:t>
      </w:r>
      <w:r w:rsidR="005D662B" w:rsidRPr="00A750D8">
        <w:rPr>
          <w:rFonts w:ascii="Arial" w:hAnsi="Arial" w:cs="Arial"/>
          <w:color w:val="000000" w:themeColor="text1"/>
        </w:rPr>
        <w:t xml:space="preserve"> </w:t>
      </w:r>
      <w:r w:rsidR="00E970DA">
        <w:rPr>
          <w:rFonts w:ascii="Arial" w:hAnsi="Arial" w:cs="Arial"/>
          <w:color w:val="000000" w:themeColor="text1"/>
        </w:rPr>
        <w:t xml:space="preserve">The intent of the policies is to promote a consistent, enforceable and well </w:t>
      </w:r>
      <w:r w:rsidR="00922567">
        <w:rPr>
          <w:rFonts w:ascii="Arial" w:hAnsi="Arial" w:cs="Arial"/>
          <w:color w:val="000000" w:themeColor="text1"/>
        </w:rPr>
        <w:t xml:space="preserve">communicated </w:t>
      </w:r>
      <w:r w:rsidR="00E970DA">
        <w:rPr>
          <w:rFonts w:ascii="Arial" w:hAnsi="Arial" w:cs="Arial"/>
          <w:color w:val="000000" w:themeColor="text1"/>
        </w:rPr>
        <w:t xml:space="preserve">set of </w:t>
      </w:r>
      <w:r w:rsidR="00922567">
        <w:rPr>
          <w:rFonts w:ascii="Arial" w:hAnsi="Arial" w:cs="Arial"/>
          <w:color w:val="000000" w:themeColor="text1"/>
        </w:rPr>
        <w:t xml:space="preserve">rules and standards, in order to improve the efficiency and commonality of data-related processes within the NMHS. It is recommended that policy statements should be clear and brief, and state what needs to be done without going into the details of how it should be done; that level of detail would be covered by </w:t>
      </w:r>
      <w:r w:rsidR="00922567" w:rsidRPr="00922567">
        <w:rPr>
          <w:rFonts w:ascii="Arial" w:hAnsi="Arial" w:cs="Arial"/>
          <w:i/>
          <w:color w:val="000000" w:themeColor="text1"/>
        </w:rPr>
        <w:t>guidelines</w:t>
      </w:r>
      <w:r w:rsidR="00922567">
        <w:rPr>
          <w:rFonts w:ascii="Arial" w:hAnsi="Arial" w:cs="Arial"/>
          <w:color w:val="000000" w:themeColor="text1"/>
        </w:rPr>
        <w:t xml:space="preserve">, or process descriptions. </w:t>
      </w:r>
    </w:p>
    <w:p w:rsidR="00465886" w:rsidRDefault="00465886" w:rsidP="002C350E">
      <w:pPr>
        <w:rPr>
          <w:rFonts w:ascii="Arial" w:hAnsi="Arial" w:cs="Arial"/>
          <w:color w:val="000000" w:themeColor="text1"/>
        </w:rPr>
      </w:pPr>
      <w:r>
        <w:rPr>
          <w:rFonts w:ascii="Arial" w:hAnsi="Arial" w:cs="Arial"/>
          <w:color w:val="000000" w:themeColor="text1"/>
        </w:rPr>
        <w:t>It is recommended that a typical data policy contain the following information:</w:t>
      </w:r>
    </w:p>
    <w:p w:rsidR="00465886" w:rsidRPr="009F5A38" w:rsidRDefault="00057F7A"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lastRenderedPageBreak/>
        <w:t>Name of the P</w:t>
      </w:r>
      <w:r w:rsidR="00465886" w:rsidRPr="009F5A38">
        <w:rPr>
          <w:rFonts w:ascii="Arial" w:hAnsi="Arial" w:cs="Arial"/>
          <w:color w:val="000000" w:themeColor="text1"/>
        </w:rPr>
        <w:t>olicy</w:t>
      </w:r>
    </w:p>
    <w:p w:rsidR="00465886" w:rsidRPr="009F5A38" w:rsidRDefault="00465886"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Statement of what the Policy sets out to achieve</w:t>
      </w:r>
    </w:p>
    <w:p w:rsidR="00057F7A" w:rsidRPr="009F5A38" w:rsidRDefault="00057F7A"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The types or classes of data or information the Policy applies to</w:t>
      </w:r>
    </w:p>
    <w:p w:rsidR="00057F7A" w:rsidRPr="009F5A38" w:rsidRDefault="00057F7A"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The date of issue and when the Pol</w:t>
      </w:r>
      <w:r w:rsidR="009F5A38" w:rsidRPr="009F5A38">
        <w:rPr>
          <w:rFonts w:ascii="Arial" w:hAnsi="Arial" w:cs="Arial"/>
          <w:color w:val="000000" w:themeColor="text1"/>
        </w:rPr>
        <w:t>i</w:t>
      </w:r>
      <w:r w:rsidRPr="009F5A38">
        <w:rPr>
          <w:rFonts w:ascii="Arial" w:hAnsi="Arial" w:cs="Arial"/>
          <w:color w:val="000000" w:themeColor="text1"/>
        </w:rPr>
        <w:t>cy comes into effect</w:t>
      </w:r>
    </w:p>
    <w:p w:rsidR="00057F7A" w:rsidRPr="009F5A38" w:rsidRDefault="00057F7A"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 xml:space="preserve">An </w:t>
      </w:r>
      <w:r w:rsidR="009F5A38" w:rsidRPr="009F5A38">
        <w:rPr>
          <w:rFonts w:ascii="Arial" w:hAnsi="Arial" w:cs="Arial"/>
          <w:color w:val="000000" w:themeColor="text1"/>
        </w:rPr>
        <w:t>O</w:t>
      </w:r>
      <w:r w:rsidRPr="009F5A38">
        <w:rPr>
          <w:rFonts w:ascii="Arial" w:hAnsi="Arial" w:cs="Arial"/>
          <w:color w:val="000000" w:themeColor="text1"/>
        </w:rPr>
        <w:t>verview of what the Policy covers, and if applicable, what is out of scope</w:t>
      </w:r>
    </w:p>
    <w:p w:rsidR="007915EF" w:rsidRDefault="00057F7A" w:rsidP="009F5A38">
      <w:pPr>
        <w:pStyle w:val="ListParagraph"/>
        <w:numPr>
          <w:ilvl w:val="0"/>
          <w:numId w:val="2"/>
        </w:numPr>
        <w:rPr>
          <w:rFonts w:ascii="Arial" w:hAnsi="Arial" w:cs="Arial"/>
          <w:color w:val="000000" w:themeColor="text1"/>
        </w:rPr>
      </w:pPr>
      <w:r w:rsidRPr="007915EF">
        <w:rPr>
          <w:rFonts w:ascii="Arial" w:hAnsi="Arial" w:cs="Arial"/>
          <w:color w:val="000000" w:themeColor="text1"/>
        </w:rPr>
        <w:t xml:space="preserve">A short summary of relevant background information, </w:t>
      </w:r>
      <w:r w:rsidR="009F5A38" w:rsidRPr="007915EF">
        <w:rPr>
          <w:rFonts w:ascii="Arial" w:hAnsi="Arial" w:cs="Arial"/>
          <w:color w:val="000000" w:themeColor="text1"/>
        </w:rPr>
        <w:t xml:space="preserve">that puts the Policy in context, including links to broader strategies, and informs on related Policies and </w:t>
      </w:r>
      <w:r w:rsidR="007915EF" w:rsidRPr="007915EF">
        <w:rPr>
          <w:rFonts w:ascii="Arial" w:hAnsi="Arial" w:cs="Arial"/>
          <w:color w:val="000000" w:themeColor="text1"/>
        </w:rPr>
        <w:t xml:space="preserve">standards, including relevant WMO standards (e.g., WMO Core Metadata profile), policies and regulations. </w:t>
      </w:r>
    </w:p>
    <w:p w:rsidR="00057F7A" w:rsidRPr="007915EF" w:rsidRDefault="009F5A38" w:rsidP="009F5A38">
      <w:pPr>
        <w:pStyle w:val="ListParagraph"/>
        <w:numPr>
          <w:ilvl w:val="0"/>
          <w:numId w:val="2"/>
        </w:numPr>
        <w:rPr>
          <w:rFonts w:ascii="Arial" w:hAnsi="Arial" w:cs="Arial"/>
          <w:color w:val="000000" w:themeColor="text1"/>
        </w:rPr>
      </w:pPr>
      <w:r w:rsidRPr="007915EF">
        <w:rPr>
          <w:rFonts w:ascii="Arial" w:hAnsi="Arial" w:cs="Arial"/>
          <w:color w:val="000000" w:themeColor="text1"/>
        </w:rPr>
        <w:t>Details of the directive, including processes for seeking exemptions</w:t>
      </w:r>
      <w:r w:rsidR="007915EF">
        <w:rPr>
          <w:rFonts w:ascii="Arial" w:hAnsi="Arial" w:cs="Arial"/>
          <w:color w:val="000000" w:themeColor="text1"/>
        </w:rPr>
        <w:t xml:space="preserve">. Links to appropriate Guidelines or </w:t>
      </w:r>
      <w:proofErr w:type="spellStart"/>
      <w:r w:rsidR="007915EF">
        <w:rPr>
          <w:rFonts w:ascii="Arial" w:hAnsi="Arial" w:cs="Arial"/>
          <w:color w:val="000000" w:themeColor="text1"/>
        </w:rPr>
        <w:t>stndards</w:t>
      </w:r>
      <w:proofErr w:type="spellEnd"/>
      <w:r w:rsidR="007915EF">
        <w:rPr>
          <w:rFonts w:ascii="Arial" w:hAnsi="Arial" w:cs="Arial"/>
          <w:color w:val="000000" w:themeColor="text1"/>
        </w:rPr>
        <w:t xml:space="preserve"> documents that describe details of the implementation of the Policy would be included here. </w:t>
      </w:r>
      <w:r w:rsidRPr="007915EF">
        <w:rPr>
          <w:rFonts w:ascii="Arial" w:hAnsi="Arial" w:cs="Arial"/>
          <w:color w:val="000000" w:themeColor="text1"/>
        </w:rPr>
        <w:t xml:space="preserve">   </w:t>
      </w:r>
    </w:p>
    <w:p w:rsidR="009F5A38" w:rsidRPr="009F5A38" w:rsidRDefault="009F5A38"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 xml:space="preserve">Accountability: who is responsible for interpreting the Policy, providing exemptions, </w:t>
      </w:r>
      <w:proofErr w:type="spellStart"/>
      <w:r w:rsidRPr="009F5A38">
        <w:rPr>
          <w:rFonts w:ascii="Arial" w:hAnsi="Arial" w:cs="Arial"/>
          <w:color w:val="000000" w:themeColor="text1"/>
        </w:rPr>
        <w:t>etc</w:t>
      </w:r>
      <w:proofErr w:type="spellEnd"/>
      <w:r w:rsidRPr="009F5A38">
        <w:rPr>
          <w:rFonts w:ascii="Arial" w:hAnsi="Arial" w:cs="Arial"/>
          <w:color w:val="000000" w:themeColor="text1"/>
        </w:rPr>
        <w:t>, and what are the processes for these things</w:t>
      </w:r>
    </w:p>
    <w:p w:rsidR="009F5A38" w:rsidRPr="009F5A38" w:rsidRDefault="009F5A38"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 xml:space="preserve">Describe how compliance will be monitored and enforced, via options </w:t>
      </w:r>
      <w:proofErr w:type="gramStart"/>
      <w:r w:rsidRPr="009F5A38">
        <w:rPr>
          <w:rFonts w:ascii="Arial" w:hAnsi="Arial" w:cs="Arial"/>
          <w:color w:val="000000" w:themeColor="text1"/>
        </w:rPr>
        <w:t>that ,</w:t>
      </w:r>
      <w:proofErr w:type="spellStart"/>
      <w:r w:rsidRPr="009F5A38">
        <w:rPr>
          <w:rFonts w:ascii="Arial" w:hAnsi="Arial" w:cs="Arial"/>
          <w:color w:val="000000" w:themeColor="text1"/>
        </w:rPr>
        <w:t>ight</w:t>
      </w:r>
      <w:proofErr w:type="spellEnd"/>
      <w:proofErr w:type="gramEnd"/>
      <w:r w:rsidRPr="009F5A38">
        <w:rPr>
          <w:rFonts w:ascii="Arial" w:hAnsi="Arial" w:cs="Arial"/>
          <w:color w:val="000000" w:themeColor="text1"/>
        </w:rPr>
        <w:t xml:space="preserve"> in</w:t>
      </w:r>
      <w:r w:rsidR="007915EF">
        <w:rPr>
          <w:rFonts w:ascii="Arial" w:hAnsi="Arial" w:cs="Arial"/>
          <w:color w:val="000000" w:themeColor="text1"/>
        </w:rPr>
        <w:t>cl</w:t>
      </w:r>
      <w:r w:rsidRPr="009F5A38">
        <w:rPr>
          <w:rFonts w:ascii="Arial" w:hAnsi="Arial" w:cs="Arial"/>
          <w:color w:val="000000" w:themeColor="text1"/>
        </w:rPr>
        <w:t xml:space="preserve">ude: self-assessment; submission of specific documentation; independent review by a third party. </w:t>
      </w:r>
    </w:p>
    <w:p w:rsidR="009F5A38" w:rsidRPr="009F5A38" w:rsidRDefault="009F5A38"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Timefra</w:t>
      </w:r>
      <w:r w:rsidR="00FA0802">
        <w:rPr>
          <w:rFonts w:ascii="Arial" w:hAnsi="Arial" w:cs="Arial"/>
          <w:color w:val="000000" w:themeColor="text1"/>
        </w:rPr>
        <w:t>mes for reviewing the Policy (t</w:t>
      </w:r>
      <w:r w:rsidRPr="009F5A38">
        <w:rPr>
          <w:rFonts w:ascii="Arial" w:hAnsi="Arial" w:cs="Arial"/>
          <w:color w:val="000000" w:themeColor="text1"/>
        </w:rPr>
        <w:t>ypically two to four years), and/or any events that might trigger a need to review the Policy, such as a change in a country’s Government legislation or WMO regulations</w:t>
      </w:r>
    </w:p>
    <w:p w:rsidR="00057F7A" w:rsidRPr="009F5A38" w:rsidRDefault="009F5A38" w:rsidP="009F5A38">
      <w:pPr>
        <w:pStyle w:val="ListParagraph"/>
        <w:numPr>
          <w:ilvl w:val="0"/>
          <w:numId w:val="2"/>
        </w:numPr>
        <w:rPr>
          <w:rFonts w:ascii="Arial" w:hAnsi="Arial" w:cs="Arial"/>
          <w:color w:val="000000" w:themeColor="text1"/>
        </w:rPr>
      </w:pPr>
      <w:r w:rsidRPr="009F5A38">
        <w:rPr>
          <w:rFonts w:ascii="Arial" w:hAnsi="Arial" w:cs="Arial"/>
          <w:color w:val="000000" w:themeColor="text1"/>
        </w:rPr>
        <w:t xml:space="preserve">Ownership: which senior leader in the NMHS has overall responsibility for the </w:t>
      </w:r>
      <w:proofErr w:type="gramStart"/>
      <w:r w:rsidRPr="009F5A38">
        <w:rPr>
          <w:rFonts w:ascii="Arial" w:hAnsi="Arial" w:cs="Arial"/>
          <w:color w:val="000000" w:themeColor="text1"/>
        </w:rPr>
        <w:t>Policy.</w:t>
      </w:r>
      <w:proofErr w:type="gramEnd"/>
      <w:r w:rsidRPr="009F5A38">
        <w:rPr>
          <w:rFonts w:ascii="Arial" w:hAnsi="Arial" w:cs="Arial"/>
          <w:color w:val="000000" w:themeColor="text1"/>
        </w:rPr>
        <w:t xml:space="preserve"> </w:t>
      </w:r>
    </w:p>
    <w:p w:rsidR="007915EF" w:rsidRDefault="007915EF" w:rsidP="002C350E">
      <w:pPr>
        <w:rPr>
          <w:rFonts w:ascii="Arial" w:hAnsi="Arial" w:cs="Arial"/>
          <w:color w:val="000000" w:themeColor="text1"/>
        </w:rPr>
      </w:pPr>
    </w:p>
    <w:p w:rsidR="008979DC" w:rsidRDefault="007915EF" w:rsidP="002C350E">
      <w:pPr>
        <w:rPr>
          <w:rFonts w:ascii="Arial" w:hAnsi="Arial" w:cs="Arial"/>
          <w:color w:val="000000" w:themeColor="text1"/>
        </w:rPr>
      </w:pPr>
      <w:r>
        <w:rPr>
          <w:rFonts w:ascii="Arial" w:hAnsi="Arial" w:cs="Arial"/>
          <w:color w:val="000000" w:themeColor="text1"/>
        </w:rPr>
        <w:t>Examples of t</w:t>
      </w:r>
      <w:r w:rsidR="008979DC">
        <w:rPr>
          <w:rFonts w:ascii="Arial" w:hAnsi="Arial" w:cs="Arial"/>
          <w:color w:val="000000" w:themeColor="text1"/>
        </w:rPr>
        <w:t xml:space="preserve">he types of policies required within an NMHS </w:t>
      </w:r>
      <w:r>
        <w:rPr>
          <w:rFonts w:ascii="Arial" w:hAnsi="Arial" w:cs="Arial"/>
          <w:color w:val="000000" w:themeColor="text1"/>
        </w:rPr>
        <w:t xml:space="preserve">include the following: </w:t>
      </w:r>
    </w:p>
    <w:p w:rsidR="007915EF" w:rsidRPr="001A1CFC" w:rsidRDefault="007915EF"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Policy on metadata, including observational, discoverability and provenance metadata</w:t>
      </w:r>
      <w:r w:rsidR="00123339">
        <w:rPr>
          <w:rFonts w:ascii="Arial" w:hAnsi="Arial" w:cs="Arial"/>
          <w:color w:val="000000" w:themeColor="text1"/>
        </w:rPr>
        <w:t xml:space="preserve"> (such a Policy must accommodate the more detailed requirements of climate data for observational and provenance metadata)</w:t>
      </w:r>
    </w:p>
    <w:p w:rsidR="007915EF" w:rsidRPr="001A1CFC" w:rsidRDefault="007915EF"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Policy on defining and communicating the authoritative version of a dataset and version control (without this it becomes problematic to define which version of a dataset was used to generate particular products)</w:t>
      </w:r>
    </w:p>
    <w:p w:rsidR="007915EF" w:rsidRPr="001A1CFC" w:rsidRDefault="007915EF"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Data storage and retention policy (how long datasets should be kept for, based on a combination of, a country’s national archiving legislation, identified business needs for the data/information, and where applicable, WMO guidelines (refer Section…..)</w:t>
      </w:r>
    </w:p>
    <w:p w:rsidR="007915EF" w:rsidRPr="001A1CFC" w:rsidRDefault="007915EF"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Policy around data access and licencing, including under which circumstances charging might be appropriate</w:t>
      </w:r>
      <w:r>
        <w:rPr>
          <w:rStyle w:val="FootnoteReference"/>
          <w:rFonts w:ascii="Arial" w:hAnsi="Arial" w:cs="Arial"/>
          <w:color w:val="000000" w:themeColor="text1"/>
        </w:rPr>
        <w:footnoteReference w:id="1"/>
      </w:r>
      <w:r w:rsidRPr="001A1CFC">
        <w:rPr>
          <w:rFonts w:ascii="Arial" w:hAnsi="Arial" w:cs="Arial"/>
          <w:color w:val="000000" w:themeColor="text1"/>
        </w:rPr>
        <w:t xml:space="preserve"> </w:t>
      </w:r>
      <w:r w:rsidR="001A1CFC" w:rsidRPr="001A1CFC">
        <w:rPr>
          <w:rFonts w:ascii="Arial" w:hAnsi="Arial" w:cs="Arial"/>
          <w:color w:val="000000" w:themeColor="text1"/>
        </w:rPr>
        <w:t>, and which types of data might be exempt from being made freely available</w:t>
      </w:r>
    </w:p>
    <w:p w:rsidR="001A1CFC" w:rsidRPr="001A1CFC" w:rsidRDefault="001A1CFC"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Policies around Cloud computing</w:t>
      </w:r>
    </w:p>
    <w:p w:rsidR="001A1CFC" w:rsidRPr="001A1CFC" w:rsidRDefault="001A1CFC"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Policies on security, cybersecurity, backups</w:t>
      </w:r>
    </w:p>
    <w:p w:rsidR="001A1CFC" w:rsidRPr="001A1CFC" w:rsidRDefault="001A1CFC"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Policy on data quality</w:t>
      </w:r>
    </w:p>
    <w:p w:rsidR="001A1CFC" w:rsidRPr="001A1CFC" w:rsidRDefault="001A1CFC"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 xml:space="preserve">Policy on hard copy records management </w:t>
      </w:r>
    </w:p>
    <w:p w:rsidR="001A1CFC" w:rsidRPr="001A1CFC" w:rsidRDefault="001A1CFC"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t>Policy on techn</w:t>
      </w:r>
      <w:r w:rsidR="008F5AB0">
        <w:rPr>
          <w:rFonts w:ascii="Arial" w:hAnsi="Arial" w:cs="Arial"/>
          <w:color w:val="000000" w:themeColor="text1"/>
        </w:rPr>
        <w:t>ology</w:t>
      </w:r>
      <w:r w:rsidRPr="001A1CFC">
        <w:rPr>
          <w:rFonts w:ascii="Arial" w:hAnsi="Arial" w:cs="Arial"/>
          <w:color w:val="000000" w:themeColor="text1"/>
        </w:rPr>
        <w:t xml:space="preserve"> migration and decommissioning</w:t>
      </w:r>
    </w:p>
    <w:p w:rsidR="001A1CFC" w:rsidRDefault="001A1CFC" w:rsidP="001A1CFC">
      <w:pPr>
        <w:pStyle w:val="ListParagraph"/>
        <w:numPr>
          <w:ilvl w:val="0"/>
          <w:numId w:val="3"/>
        </w:numPr>
        <w:rPr>
          <w:rFonts w:ascii="Arial" w:hAnsi="Arial" w:cs="Arial"/>
          <w:color w:val="000000" w:themeColor="text1"/>
        </w:rPr>
      </w:pPr>
      <w:r w:rsidRPr="001A1CFC">
        <w:rPr>
          <w:rFonts w:ascii="Arial" w:hAnsi="Arial" w:cs="Arial"/>
          <w:color w:val="000000" w:themeColor="text1"/>
        </w:rPr>
        <w:lastRenderedPageBreak/>
        <w:t>Policy on documentation and so-called “business records”</w:t>
      </w:r>
    </w:p>
    <w:p w:rsidR="009E4955" w:rsidRDefault="009E4955" w:rsidP="001A1CFC">
      <w:pPr>
        <w:pStyle w:val="ListParagraph"/>
        <w:numPr>
          <w:ilvl w:val="0"/>
          <w:numId w:val="3"/>
        </w:numPr>
        <w:rPr>
          <w:rFonts w:ascii="Arial" w:hAnsi="Arial" w:cs="Arial"/>
          <w:color w:val="000000" w:themeColor="text1"/>
        </w:rPr>
      </w:pPr>
      <w:r>
        <w:rPr>
          <w:rFonts w:ascii="Arial" w:hAnsi="Arial" w:cs="Arial"/>
          <w:color w:val="000000" w:themeColor="text1"/>
        </w:rPr>
        <w:t xml:space="preserve">Policy and procedure on archival of new datasets as part of the Climate Record. </w:t>
      </w:r>
    </w:p>
    <w:p w:rsidR="001A1CFC" w:rsidRPr="001A1CFC" w:rsidRDefault="001A1CFC" w:rsidP="001A1CFC">
      <w:pPr>
        <w:pStyle w:val="ListParagraph"/>
        <w:numPr>
          <w:ilvl w:val="0"/>
          <w:numId w:val="3"/>
        </w:numPr>
        <w:rPr>
          <w:rFonts w:ascii="Arial" w:hAnsi="Arial" w:cs="Arial"/>
          <w:color w:val="000000" w:themeColor="text1"/>
        </w:rPr>
      </w:pPr>
      <w:r>
        <w:rPr>
          <w:rFonts w:ascii="Arial" w:hAnsi="Arial" w:cs="Arial"/>
          <w:color w:val="000000" w:themeColor="text1"/>
        </w:rPr>
        <w:t xml:space="preserve">Policy on spatial and geospatial data, including relevant standards, projections, map backgrounds </w:t>
      </w:r>
      <w:proofErr w:type="spellStart"/>
      <w:r>
        <w:rPr>
          <w:rFonts w:ascii="Arial" w:hAnsi="Arial" w:cs="Arial"/>
          <w:color w:val="000000" w:themeColor="text1"/>
        </w:rPr>
        <w:t>etc</w:t>
      </w:r>
      <w:proofErr w:type="spellEnd"/>
    </w:p>
    <w:p w:rsidR="00057F7A" w:rsidRDefault="001A1CFC" w:rsidP="002C350E">
      <w:pPr>
        <w:rPr>
          <w:rFonts w:ascii="Arial" w:hAnsi="Arial" w:cs="Arial"/>
          <w:color w:val="000000" w:themeColor="text1"/>
        </w:rPr>
      </w:pPr>
      <w:r>
        <w:rPr>
          <w:rFonts w:ascii="Arial" w:hAnsi="Arial" w:cs="Arial"/>
          <w:color w:val="000000" w:themeColor="text1"/>
        </w:rPr>
        <w:t xml:space="preserve">An example of </w:t>
      </w:r>
      <w:r w:rsidR="009E4955">
        <w:rPr>
          <w:rFonts w:ascii="Arial" w:hAnsi="Arial" w:cs="Arial"/>
          <w:color w:val="000000" w:themeColor="text1"/>
        </w:rPr>
        <w:t xml:space="preserve">one such </w:t>
      </w:r>
      <w:r>
        <w:rPr>
          <w:rFonts w:ascii="Arial" w:hAnsi="Arial" w:cs="Arial"/>
          <w:color w:val="000000" w:themeColor="text1"/>
        </w:rPr>
        <w:t>Policy</w:t>
      </w:r>
      <w:r w:rsidR="009E4955">
        <w:rPr>
          <w:rFonts w:ascii="Arial" w:hAnsi="Arial" w:cs="Arial"/>
          <w:color w:val="000000" w:themeColor="text1"/>
        </w:rPr>
        <w:t xml:space="preserve">, </w:t>
      </w:r>
      <w:r w:rsidR="009E4955" w:rsidRPr="009E4955">
        <w:rPr>
          <w:rFonts w:ascii="Arial" w:hAnsi="Arial" w:cs="Arial"/>
          <w:i/>
          <w:color w:val="000000" w:themeColor="text1"/>
        </w:rPr>
        <w:t>Techn</w:t>
      </w:r>
      <w:r w:rsidR="00123339">
        <w:rPr>
          <w:rFonts w:ascii="Arial" w:hAnsi="Arial" w:cs="Arial"/>
          <w:i/>
          <w:color w:val="000000" w:themeColor="text1"/>
        </w:rPr>
        <w:t xml:space="preserve">ology </w:t>
      </w:r>
      <w:r w:rsidR="009E4955" w:rsidRPr="009E4955">
        <w:rPr>
          <w:rFonts w:ascii="Arial" w:hAnsi="Arial" w:cs="Arial"/>
          <w:i/>
          <w:color w:val="000000" w:themeColor="text1"/>
        </w:rPr>
        <w:t>migration and decommissioning</w:t>
      </w:r>
      <w:r w:rsidR="009E4955">
        <w:rPr>
          <w:rFonts w:ascii="Arial" w:hAnsi="Arial" w:cs="Arial"/>
          <w:color w:val="000000" w:themeColor="text1"/>
        </w:rPr>
        <w:t>,</w:t>
      </w:r>
      <w:r>
        <w:rPr>
          <w:rFonts w:ascii="Arial" w:hAnsi="Arial" w:cs="Arial"/>
          <w:color w:val="000000" w:themeColor="text1"/>
        </w:rPr>
        <w:t xml:space="preserve"> is provided in Appendix x </w:t>
      </w:r>
    </w:p>
    <w:p w:rsidR="008F5AB0" w:rsidRDefault="008F5AB0" w:rsidP="008F5AB0">
      <w:pPr>
        <w:rPr>
          <w:rFonts w:ascii="Arial" w:hAnsi="Arial" w:cs="Arial"/>
          <w:b/>
          <w:color w:val="000000" w:themeColor="text1"/>
          <w:sz w:val="24"/>
          <w:szCs w:val="24"/>
        </w:rPr>
      </w:pPr>
      <w:r w:rsidRPr="005D662B">
        <w:rPr>
          <w:rFonts w:ascii="Arial" w:hAnsi="Arial" w:cs="Arial"/>
          <w:b/>
          <w:color w:val="000000" w:themeColor="text1"/>
          <w:sz w:val="24"/>
          <w:szCs w:val="24"/>
        </w:rPr>
        <w:t>7.</w:t>
      </w:r>
      <w:r w:rsidR="0086422B">
        <w:rPr>
          <w:rFonts w:ascii="Arial" w:hAnsi="Arial" w:cs="Arial"/>
          <w:b/>
          <w:color w:val="000000" w:themeColor="text1"/>
          <w:sz w:val="24"/>
          <w:szCs w:val="24"/>
        </w:rPr>
        <w:t>3</w:t>
      </w:r>
      <w:r w:rsidRPr="005D662B">
        <w:rPr>
          <w:rFonts w:ascii="Arial" w:hAnsi="Arial" w:cs="Arial"/>
          <w:b/>
          <w:color w:val="000000" w:themeColor="text1"/>
          <w:sz w:val="24"/>
          <w:szCs w:val="24"/>
        </w:rPr>
        <w:t xml:space="preserve"> </w:t>
      </w:r>
      <w:r w:rsidRPr="005D662B">
        <w:rPr>
          <w:rFonts w:ascii="Arial" w:hAnsi="Arial" w:cs="Arial"/>
          <w:b/>
          <w:color w:val="000000" w:themeColor="text1"/>
          <w:sz w:val="24"/>
          <w:szCs w:val="24"/>
        </w:rPr>
        <w:tab/>
      </w:r>
      <w:r>
        <w:rPr>
          <w:rFonts w:ascii="Arial" w:hAnsi="Arial" w:cs="Arial"/>
          <w:b/>
          <w:color w:val="000000" w:themeColor="text1"/>
          <w:sz w:val="24"/>
          <w:szCs w:val="24"/>
        </w:rPr>
        <w:t>Guidelines and processes</w:t>
      </w:r>
    </w:p>
    <w:p w:rsidR="008F5AB0" w:rsidRDefault="008F5AB0" w:rsidP="008F5AB0">
      <w:pPr>
        <w:rPr>
          <w:rFonts w:ascii="Arial" w:hAnsi="Arial" w:cs="Arial"/>
          <w:color w:val="000000" w:themeColor="text1"/>
        </w:rPr>
      </w:pPr>
      <w:r w:rsidRPr="008F5AB0">
        <w:rPr>
          <w:rFonts w:ascii="Arial" w:hAnsi="Arial" w:cs="Arial"/>
          <w:color w:val="000000" w:themeColor="text1"/>
        </w:rPr>
        <w:t xml:space="preserve">While policies </w:t>
      </w:r>
      <w:r w:rsidR="00955F7E">
        <w:rPr>
          <w:rFonts w:ascii="Arial" w:hAnsi="Arial" w:cs="Arial"/>
          <w:color w:val="000000" w:themeColor="text1"/>
        </w:rPr>
        <w:t xml:space="preserve">set out what the requirements are for particular aspects of data management, guidelines </w:t>
      </w:r>
      <w:r w:rsidR="00E422A6">
        <w:rPr>
          <w:rFonts w:ascii="Arial" w:hAnsi="Arial" w:cs="Arial"/>
          <w:color w:val="000000" w:themeColor="text1"/>
        </w:rPr>
        <w:t xml:space="preserve">and processes </w:t>
      </w:r>
      <w:r w:rsidR="00123339">
        <w:rPr>
          <w:rFonts w:ascii="Arial" w:hAnsi="Arial" w:cs="Arial"/>
          <w:color w:val="000000" w:themeColor="text1"/>
        </w:rPr>
        <w:t xml:space="preserve">describe </w:t>
      </w:r>
      <w:r w:rsidR="00955F7E">
        <w:rPr>
          <w:rFonts w:ascii="Arial" w:hAnsi="Arial" w:cs="Arial"/>
          <w:color w:val="000000" w:themeColor="text1"/>
        </w:rPr>
        <w:t xml:space="preserve">how these aspects are to be achieved. </w:t>
      </w:r>
      <w:r w:rsidR="00E422A6">
        <w:rPr>
          <w:rFonts w:ascii="Arial" w:hAnsi="Arial" w:cs="Arial"/>
          <w:color w:val="000000" w:themeColor="text1"/>
        </w:rPr>
        <w:t xml:space="preserve">It is recommended that all data and information management processes be described as part of the system and operational documentation. </w:t>
      </w:r>
      <w:r w:rsidR="00E422A6" w:rsidRPr="00E4171B">
        <w:rPr>
          <w:rFonts w:ascii="Arial" w:hAnsi="Arial" w:cs="Arial"/>
          <w:i/>
          <w:color w:val="000000" w:themeColor="text1"/>
        </w:rPr>
        <w:t>Processes</w:t>
      </w:r>
      <w:r w:rsidR="00E422A6">
        <w:rPr>
          <w:rFonts w:ascii="Arial" w:hAnsi="Arial" w:cs="Arial"/>
          <w:color w:val="000000" w:themeColor="text1"/>
        </w:rPr>
        <w:t xml:space="preserve"> document the s</w:t>
      </w:r>
      <w:r w:rsidR="00955F7E">
        <w:rPr>
          <w:rFonts w:ascii="Arial" w:hAnsi="Arial" w:cs="Arial"/>
          <w:color w:val="000000" w:themeColor="text1"/>
        </w:rPr>
        <w:t>pecif</w:t>
      </w:r>
      <w:r w:rsidR="00E422A6">
        <w:rPr>
          <w:rFonts w:ascii="Arial" w:hAnsi="Arial" w:cs="Arial"/>
          <w:color w:val="000000" w:themeColor="text1"/>
        </w:rPr>
        <w:t xml:space="preserve">ic </w:t>
      </w:r>
      <w:r w:rsidR="00955F7E">
        <w:rPr>
          <w:rFonts w:ascii="Arial" w:hAnsi="Arial" w:cs="Arial"/>
          <w:color w:val="000000" w:themeColor="text1"/>
        </w:rPr>
        <w:t>steps</w:t>
      </w:r>
      <w:r w:rsidR="00E422A6">
        <w:rPr>
          <w:rFonts w:ascii="Arial" w:hAnsi="Arial" w:cs="Arial"/>
          <w:color w:val="000000" w:themeColor="text1"/>
        </w:rPr>
        <w:t xml:space="preserve"> to be taken in conducting particular tasks, and frequently contain links to more detailed information and reference materials, such as manuals. They also describe escalation processes (</w:t>
      </w:r>
      <w:proofErr w:type="spellStart"/>
      <w:r w:rsidR="00E422A6">
        <w:rPr>
          <w:rFonts w:ascii="Arial" w:hAnsi="Arial" w:cs="Arial"/>
          <w:color w:val="000000" w:themeColor="text1"/>
        </w:rPr>
        <w:t>i.e</w:t>
      </w:r>
      <w:proofErr w:type="spellEnd"/>
      <w:r w:rsidR="00E422A6">
        <w:rPr>
          <w:rFonts w:ascii="Arial" w:hAnsi="Arial" w:cs="Arial"/>
          <w:color w:val="000000" w:themeColor="text1"/>
        </w:rPr>
        <w:t xml:space="preserve">, when to elevate problem solving and decision-making to more senior staff), who has sign-off for routine matters, etc., and reporting procedures. They should also contain information on trouble-shooting, i.e., </w:t>
      </w:r>
      <w:r w:rsidR="00E4171B">
        <w:rPr>
          <w:rFonts w:ascii="Arial" w:hAnsi="Arial" w:cs="Arial"/>
          <w:color w:val="000000" w:themeColor="text1"/>
        </w:rPr>
        <w:t xml:space="preserve">approached to commonly-encountered problems. Like policies, procedures are expected to be followed. </w:t>
      </w:r>
      <w:r w:rsidR="00E422A6" w:rsidRPr="00E4171B">
        <w:rPr>
          <w:rFonts w:ascii="Arial" w:hAnsi="Arial" w:cs="Arial"/>
          <w:i/>
          <w:color w:val="000000" w:themeColor="text1"/>
        </w:rPr>
        <w:t>Guidelines</w:t>
      </w:r>
      <w:r w:rsidR="00E422A6">
        <w:rPr>
          <w:rFonts w:ascii="Arial" w:hAnsi="Arial" w:cs="Arial"/>
          <w:color w:val="000000" w:themeColor="text1"/>
        </w:rPr>
        <w:t xml:space="preserve"> </w:t>
      </w:r>
      <w:r w:rsidR="00E4171B">
        <w:rPr>
          <w:rFonts w:ascii="Arial" w:hAnsi="Arial" w:cs="Arial"/>
          <w:color w:val="000000" w:themeColor="text1"/>
        </w:rPr>
        <w:t xml:space="preserve">by contrast set down suggested approaches representing recommended best-practice, and are generally not binding. </w:t>
      </w:r>
    </w:p>
    <w:p w:rsidR="00E4171B" w:rsidRDefault="00E4171B" w:rsidP="008F5AB0">
      <w:pPr>
        <w:rPr>
          <w:rFonts w:ascii="Arial" w:hAnsi="Arial" w:cs="Arial"/>
          <w:color w:val="000000" w:themeColor="text1"/>
        </w:rPr>
      </w:pPr>
      <w:r>
        <w:rPr>
          <w:rFonts w:ascii="Arial" w:hAnsi="Arial" w:cs="Arial"/>
          <w:color w:val="000000" w:themeColor="text1"/>
        </w:rPr>
        <w:t xml:space="preserve">To provide an example, a </w:t>
      </w:r>
      <w:r w:rsidRPr="00E4171B">
        <w:rPr>
          <w:rFonts w:ascii="Arial" w:hAnsi="Arial" w:cs="Arial"/>
          <w:i/>
          <w:color w:val="000000" w:themeColor="text1"/>
        </w:rPr>
        <w:t xml:space="preserve">policy </w:t>
      </w:r>
      <w:r>
        <w:rPr>
          <w:rFonts w:ascii="Arial" w:hAnsi="Arial" w:cs="Arial"/>
          <w:color w:val="000000" w:themeColor="text1"/>
        </w:rPr>
        <w:t xml:space="preserve">might state that all incoming temperature observation data be quality controlled within two days of receipt. The </w:t>
      </w:r>
      <w:r w:rsidRPr="00E4171B">
        <w:rPr>
          <w:rFonts w:ascii="Arial" w:hAnsi="Arial" w:cs="Arial"/>
          <w:i/>
          <w:color w:val="000000" w:themeColor="text1"/>
        </w:rPr>
        <w:t>procedures</w:t>
      </w:r>
      <w:r>
        <w:rPr>
          <w:rFonts w:ascii="Arial" w:hAnsi="Arial" w:cs="Arial"/>
          <w:color w:val="000000" w:themeColor="text1"/>
        </w:rPr>
        <w:t xml:space="preserve"> for quality control would set out the testing to be performed, software to be used (if appropriate), and where cases are not straightforward, what the escalation procedure would be. </w:t>
      </w:r>
      <w:r w:rsidRPr="00E4171B">
        <w:rPr>
          <w:rFonts w:ascii="Arial" w:hAnsi="Arial" w:cs="Arial"/>
          <w:i/>
          <w:color w:val="000000" w:themeColor="text1"/>
        </w:rPr>
        <w:t xml:space="preserve">Guidelines </w:t>
      </w:r>
      <w:r>
        <w:rPr>
          <w:rFonts w:ascii="Arial" w:hAnsi="Arial" w:cs="Arial"/>
          <w:color w:val="000000" w:themeColor="text1"/>
        </w:rPr>
        <w:t xml:space="preserve">would set out the suggested approach to analysing the results of tests and coming to a decision. </w:t>
      </w:r>
    </w:p>
    <w:p w:rsidR="00E4171B" w:rsidRDefault="00E4171B" w:rsidP="008F5AB0">
      <w:pPr>
        <w:rPr>
          <w:rFonts w:ascii="Arial" w:hAnsi="Arial" w:cs="Arial"/>
          <w:color w:val="000000" w:themeColor="text1"/>
        </w:rPr>
      </w:pPr>
      <w:r>
        <w:rPr>
          <w:rFonts w:ascii="Arial" w:hAnsi="Arial" w:cs="Arial"/>
          <w:color w:val="000000" w:themeColor="text1"/>
        </w:rPr>
        <w:t xml:space="preserve">In general, policies are intended to be relatively static, although they should be reviewed on a regular basis (typically every two to five years) to ensure they </w:t>
      </w:r>
      <w:r w:rsidR="002A67F8">
        <w:rPr>
          <w:rFonts w:ascii="Arial" w:hAnsi="Arial" w:cs="Arial"/>
          <w:color w:val="000000" w:themeColor="text1"/>
        </w:rPr>
        <w:t xml:space="preserve">are </w:t>
      </w:r>
      <w:r>
        <w:rPr>
          <w:rFonts w:ascii="Arial" w:hAnsi="Arial" w:cs="Arial"/>
          <w:color w:val="000000" w:themeColor="text1"/>
        </w:rPr>
        <w:t xml:space="preserve">still </w:t>
      </w:r>
      <w:r w:rsidR="002A67F8">
        <w:rPr>
          <w:rFonts w:ascii="Arial" w:hAnsi="Arial" w:cs="Arial"/>
          <w:color w:val="000000" w:themeColor="text1"/>
        </w:rPr>
        <w:t>relevant to the intended outcomes. They should also be reviewed in the light of relevant changes in national and international requirement</w:t>
      </w:r>
      <w:r w:rsidR="00123339">
        <w:rPr>
          <w:rFonts w:ascii="Arial" w:hAnsi="Arial" w:cs="Arial"/>
          <w:color w:val="000000" w:themeColor="text1"/>
        </w:rPr>
        <w:t>s</w:t>
      </w:r>
      <w:r w:rsidR="002A67F8">
        <w:rPr>
          <w:rFonts w:ascii="Arial" w:hAnsi="Arial" w:cs="Arial"/>
          <w:color w:val="000000" w:themeColor="text1"/>
        </w:rPr>
        <w:t xml:space="preserve">, or significant changes in NMHS </w:t>
      </w:r>
      <w:r w:rsidR="00123339">
        <w:rPr>
          <w:rFonts w:ascii="Arial" w:hAnsi="Arial" w:cs="Arial"/>
          <w:color w:val="000000" w:themeColor="text1"/>
        </w:rPr>
        <w:t xml:space="preserve">organisational </w:t>
      </w:r>
      <w:r w:rsidR="002A67F8">
        <w:rPr>
          <w:rFonts w:ascii="Arial" w:hAnsi="Arial" w:cs="Arial"/>
          <w:color w:val="000000" w:themeColor="text1"/>
        </w:rPr>
        <w:t>strategy</w:t>
      </w:r>
      <w:r w:rsidR="00123339">
        <w:rPr>
          <w:rFonts w:ascii="Arial" w:hAnsi="Arial" w:cs="Arial"/>
          <w:color w:val="000000" w:themeColor="text1"/>
        </w:rPr>
        <w:t xml:space="preserve">. For </w:t>
      </w:r>
      <w:r w:rsidR="002A67F8">
        <w:rPr>
          <w:rFonts w:ascii="Arial" w:hAnsi="Arial" w:cs="Arial"/>
          <w:color w:val="000000" w:themeColor="text1"/>
        </w:rPr>
        <w:t>instance</w:t>
      </w:r>
      <w:r w:rsidR="00123339">
        <w:rPr>
          <w:rFonts w:ascii="Arial" w:hAnsi="Arial" w:cs="Arial"/>
          <w:color w:val="000000" w:themeColor="text1"/>
        </w:rPr>
        <w:t>,</w:t>
      </w:r>
      <w:r w:rsidR="002A67F8">
        <w:rPr>
          <w:rFonts w:ascii="Arial" w:hAnsi="Arial" w:cs="Arial"/>
          <w:color w:val="000000" w:themeColor="text1"/>
        </w:rPr>
        <w:t xml:space="preserve"> where a Government brings in an open data policy NMHS policies around data access, charging and licensing would need to be reviewed. Procedures and guidelines can and do change: for instance, implementing improved data rescue procedures may result in changes to the ways paper records are stored, </w:t>
      </w:r>
      <w:proofErr w:type="spellStart"/>
      <w:r w:rsidR="002A67F8">
        <w:rPr>
          <w:rFonts w:ascii="Arial" w:hAnsi="Arial" w:cs="Arial"/>
          <w:color w:val="000000" w:themeColor="text1"/>
        </w:rPr>
        <w:t>inventorised</w:t>
      </w:r>
      <w:proofErr w:type="spellEnd"/>
      <w:r w:rsidR="002A67F8">
        <w:rPr>
          <w:rFonts w:ascii="Arial" w:hAnsi="Arial" w:cs="Arial"/>
          <w:color w:val="000000" w:themeColor="text1"/>
        </w:rPr>
        <w:t xml:space="preserve"> and digitised. </w:t>
      </w:r>
    </w:p>
    <w:p w:rsidR="00057F7A" w:rsidRPr="00A750D8" w:rsidRDefault="00057F7A" w:rsidP="002C350E">
      <w:pPr>
        <w:rPr>
          <w:rFonts w:ascii="Arial" w:hAnsi="Arial" w:cs="Arial"/>
        </w:rPr>
      </w:pPr>
      <w:bookmarkStart w:id="0" w:name="_GoBack"/>
      <w:bookmarkEnd w:id="0"/>
    </w:p>
    <w:sectPr w:rsidR="00057F7A" w:rsidRPr="00A750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5EF" w:rsidRDefault="007915EF" w:rsidP="007915EF">
      <w:pPr>
        <w:spacing w:after="0" w:line="240" w:lineRule="auto"/>
      </w:pPr>
      <w:r>
        <w:separator/>
      </w:r>
    </w:p>
  </w:endnote>
  <w:endnote w:type="continuationSeparator" w:id="0">
    <w:p w:rsidR="007915EF" w:rsidRDefault="007915EF" w:rsidP="00791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5EF" w:rsidRDefault="007915EF" w:rsidP="007915EF">
      <w:pPr>
        <w:spacing w:after="0" w:line="240" w:lineRule="auto"/>
      </w:pPr>
      <w:r>
        <w:separator/>
      </w:r>
    </w:p>
  </w:footnote>
  <w:footnote w:type="continuationSeparator" w:id="0">
    <w:p w:rsidR="007915EF" w:rsidRDefault="007915EF" w:rsidP="007915EF">
      <w:pPr>
        <w:spacing w:after="0" w:line="240" w:lineRule="auto"/>
      </w:pPr>
      <w:r>
        <w:continuationSeparator/>
      </w:r>
    </w:p>
  </w:footnote>
  <w:footnote w:id="1">
    <w:p w:rsidR="007915EF" w:rsidRDefault="007915EF">
      <w:pPr>
        <w:pStyle w:val="FootnoteText"/>
      </w:pPr>
      <w:r>
        <w:rPr>
          <w:rStyle w:val="FootnoteReference"/>
        </w:rPr>
        <w:footnoteRef/>
      </w:r>
      <w:r>
        <w:t xml:space="preserve"> </w:t>
      </w:r>
      <w:r w:rsidR="001A1CFC">
        <w:t xml:space="preserve">WMO regulations 25, 40 and 60 are explicit about the requirement to make certain datasets and products freely available, and this should be reflected in the Policy; however, charges could be applied for value-added services such as additional quality control beyond the normal routine QC, or the production of a customised climate map.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F4E18"/>
    <w:multiLevelType w:val="hybridMultilevel"/>
    <w:tmpl w:val="67A6CD06"/>
    <w:lvl w:ilvl="0" w:tplc="42C86836">
      <w:start w:val="7"/>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 w15:restartNumberingAfterBreak="0">
    <w:nsid w:val="30D04A45"/>
    <w:multiLevelType w:val="hybridMultilevel"/>
    <w:tmpl w:val="DDB621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BE651C9"/>
    <w:multiLevelType w:val="hybridMultilevel"/>
    <w:tmpl w:val="BCF83144"/>
    <w:lvl w:ilvl="0" w:tplc="261075E8">
      <w:start w:val="3"/>
      <w:numFmt w:val="bullet"/>
      <w:lvlText w:val="-"/>
      <w:lvlJc w:val="left"/>
      <w:pPr>
        <w:ind w:left="1080" w:hanging="360"/>
      </w:pPr>
      <w:rPr>
        <w:rFonts w:ascii="Calibri" w:eastAsiaTheme="minorHAnsi" w:hAnsi="Calibri"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7E403A53"/>
    <w:multiLevelType w:val="hybridMultilevel"/>
    <w:tmpl w:val="633EA1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E37"/>
    <w:rsid w:val="00057F7A"/>
    <w:rsid w:val="000963FD"/>
    <w:rsid w:val="00123339"/>
    <w:rsid w:val="001A1CFC"/>
    <w:rsid w:val="002368BF"/>
    <w:rsid w:val="002A67F8"/>
    <w:rsid w:val="002C350E"/>
    <w:rsid w:val="00335B18"/>
    <w:rsid w:val="00465886"/>
    <w:rsid w:val="004B1FB5"/>
    <w:rsid w:val="00557DF3"/>
    <w:rsid w:val="005D662B"/>
    <w:rsid w:val="00646FAC"/>
    <w:rsid w:val="00664E37"/>
    <w:rsid w:val="0072159E"/>
    <w:rsid w:val="007826A3"/>
    <w:rsid w:val="007913FB"/>
    <w:rsid w:val="007915EF"/>
    <w:rsid w:val="0086422B"/>
    <w:rsid w:val="008979DC"/>
    <w:rsid w:val="008F5AB0"/>
    <w:rsid w:val="0090525B"/>
    <w:rsid w:val="00922567"/>
    <w:rsid w:val="00955F7E"/>
    <w:rsid w:val="009E4955"/>
    <w:rsid w:val="009F41E6"/>
    <w:rsid w:val="009F5A38"/>
    <w:rsid w:val="00A750D8"/>
    <w:rsid w:val="00AA7E88"/>
    <w:rsid w:val="00B373C5"/>
    <w:rsid w:val="00B43526"/>
    <w:rsid w:val="00BF7130"/>
    <w:rsid w:val="00E4171B"/>
    <w:rsid w:val="00E422A6"/>
    <w:rsid w:val="00E970DA"/>
    <w:rsid w:val="00F53BDC"/>
    <w:rsid w:val="00FA0802"/>
    <w:rsid w:val="00FE0C7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2AB1F"/>
  <w15:docId w15:val="{BE5AAD49-25ED-496F-99C9-5956D248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057F7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50E"/>
    <w:pPr>
      <w:ind w:left="720"/>
      <w:contextualSpacing/>
    </w:pPr>
  </w:style>
  <w:style w:type="character" w:customStyle="1" w:styleId="Heading2Char">
    <w:name w:val="Heading 2 Char"/>
    <w:basedOn w:val="DefaultParagraphFont"/>
    <w:link w:val="Heading2"/>
    <w:uiPriority w:val="9"/>
    <w:rsid w:val="00057F7A"/>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7915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15EF"/>
    <w:rPr>
      <w:sz w:val="20"/>
      <w:szCs w:val="20"/>
    </w:rPr>
  </w:style>
  <w:style w:type="character" w:styleId="FootnoteReference">
    <w:name w:val="footnote reference"/>
    <w:basedOn w:val="DefaultParagraphFont"/>
    <w:uiPriority w:val="99"/>
    <w:semiHidden/>
    <w:unhideWhenUsed/>
    <w:rsid w:val="007915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98DD0-BE9C-4568-8B46-09C4B1EE6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3</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Wright</dc:creator>
  <cp:lastModifiedBy>William Wright</cp:lastModifiedBy>
  <cp:revision>24</cp:revision>
  <dcterms:created xsi:type="dcterms:W3CDTF">2017-08-30T06:04:00Z</dcterms:created>
  <dcterms:modified xsi:type="dcterms:W3CDTF">2018-04-05T05:08:00Z</dcterms:modified>
</cp:coreProperties>
</file>