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rsidR="00B74B70" w:rsidRPr="00F61675" w:rsidRDefault="00550D38" w:rsidP="00E90B58">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 xml:space="preserve">SG-RFC-2018/Doc </w:t>
            </w:r>
            <w:r w:rsidR="00E90B58">
              <w:rPr>
                <w:rFonts w:cs="Tahoma"/>
                <w:b/>
                <w:bCs/>
                <w:color w:val="365F91" w:themeColor="accent1" w:themeShade="BF"/>
                <w:szCs w:val="22"/>
                <w:lang w:val="fr-CH"/>
              </w:rPr>
              <w:t>5.3</w:t>
            </w:r>
            <w:r w:rsidR="00AA52BD">
              <w:rPr>
                <w:rFonts w:cs="Tahoma"/>
                <w:b/>
                <w:bCs/>
                <w:color w:val="365F91" w:themeColor="accent1" w:themeShade="BF"/>
                <w:szCs w:val="22"/>
                <w:lang w:val="fr-CH"/>
              </w:rPr>
              <w:br/>
              <w:t xml:space="preserve">Agenda item: </w:t>
            </w:r>
            <w:r w:rsidR="00E90B58">
              <w:rPr>
                <w:rFonts w:cs="Tahoma"/>
                <w:b/>
                <w:bCs/>
                <w:color w:val="365F91" w:themeColor="accent1" w:themeShade="BF"/>
                <w:szCs w:val="22"/>
                <w:lang w:val="fr-CH"/>
              </w:rPr>
              <w:t>2.4.2</w:t>
            </w:r>
            <w:bookmarkStart w:id="0" w:name="_GoBack"/>
            <w:bookmarkEnd w:id="0"/>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A872AF">
              <w:rPr>
                <w:rFonts w:cs="Tahoma"/>
                <w:color w:val="365F91" w:themeColor="accent1" w:themeShade="BF"/>
                <w:szCs w:val="22"/>
              </w:rPr>
              <w:t>Paul Hettrick</w:t>
            </w:r>
            <w:r w:rsidRPr="005D666D">
              <w:rPr>
                <w:rFonts w:cs="Tahoma"/>
                <w:color w:val="365F91" w:themeColor="accent1" w:themeShade="BF"/>
                <w:szCs w:val="22"/>
              </w:rPr>
              <w:t xml:space="preserve"> </w:t>
            </w:r>
          </w:p>
          <w:p w:rsidR="00AA52BD" w:rsidRDefault="00FA3713" w:rsidP="00AA52BD">
            <w:pPr>
              <w:spacing w:after="60"/>
              <w:ind w:right="-108"/>
              <w:jc w:val="right"/>
              <w:rPr>
                <w:rFonts w:cs="Tahoma"/>
                <w:color w:val="365F91" w:themeColor="accent1" w:themeShade="BF"/>
                <w:szCs w:val="22"/>
              </w:rPr>
            </w:pPr>
            <w:r>
              <w:rPr>
                <w:rFonts w:cs="Tahoma"/>
                <w:color w:val="365F91" w:themeColor="accent1" w:themeShade="BF"/>
                <w:szCs w:val="22"/>
              </w:rPr>
              <w:t>01</w:t>
            </w:r>
            <w:r w:rsidR="00B74B70">
              <w:rPr>
                <w:rFonts w:cs="Tahoma"/>
                <w:color w:val="365F91" w:themeColor="accent1" w:themeShade="BF"/>
                <w:szCs w:val="22"/>
              </w:rPr>
              <w:t>.</w:t>
            </w:r>
            <w:r>
              <w:rPr>
                <w:rFonts w:cs="Tahoma"/>
                <w:color w:val="365F91" w:themeColor="accent1" w:themeShade="BF"/>
                <w:szCs w:val="22"/>
              </w:rPr>
              <w:t>FEB</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Pr="00196A1D">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550D38" w:rsidRPr="00FF65B9" w:rsidRDefault="00DA0B4D" w:rsidP="00DA0B4D">
      <w:pPr>
        <w:pStyle w:val="Heading2"/>
        <w:jc w:val="center"/>
        <w:rPr>
          <w:rFonts w:hint="eastAsia"/>
        </w:rPr>
      </w:pPr>
      <w:r>
        <w:rPr>
          <w:bCs w:val="0"/>
        </w:rPr>
        <w:t>Report on APT Views on WRC-19 Agenda Items of Interest</w:t>
      </w:r>
      <w:r w:rsidR="00A872AF">
        <w:rPr>
          <w:bCs w:val="0"/>
        </w:rPr>
        <w:t xml:space="preserve"> TO THE WMO</w:t>
      </w:r>
    </w:p>
    <w:p w:rsidR="00550D38" w:rsidRPr="00206411" w:rsidRDefault="001114CA" w:rsidP="001114CA">
      <w:pPr>
        <w:pStyle w:val="BodyTextNumbered"/>
        <w:rPr>
          <w:szCs w:val="20"/>
        </w:rPr>
      </w:pPr>
      <w:r w:rsidRPr="00206411">
        <w:rPr>
          <w:szCs w:val="20"/>
        </w:rPr>
        <w:t xml:space="preserve">The second meeting of the Asia-Pacific Telecommunity (APT) Conference Preparatory Group for WRC-19 (APG19-2) was held from 17 to 21 July 2017 in Bali, Indonesia. </w:t>
      </w:r>
    </w:p>
    <w:p w:rsidR="00550D38" w:rsidRPr="00206411" w:rsidRDefault="001114CA" w:rsidP="00550D38">
      <w:pPr>
        <w:pStyle w:val="BodyTextNumbered"/>
        <w:rPr>
          <w:szCs w:val="20"/>
        </w:rPr>
      </w:pPr>
      <w:r w:rsidRPr="00206411">
        <w:rPr>
          <w:szCs w:val="20"/>
        </w:rPr>
        <w:t>Preliminary views on all A</w:t>
      </w:r>
      <w:r w:rsidR="005E0198">
        <w:rPr>
          <w:szCs w:val="20"/>
        </w:rPr>
        <w:t xml:space="preserve">genda items apart from AI </w:t>
      </w:r>
      <w:r w:rsidRPr="00206411">
        <w:rPr>
          <w:szCs w:val="20"/>
        </w:rPr>
        <w:t>10 have been developed, with those for Agenda items of interest to the WMO listed in the attached table</w:t>
      </w:r>
    </w:p>
    <w:p w:rsidR="00550D38" w:rsidRPr="00206411" w:rsidRDefault="00DE5EB7" w:rsidP="00DE5EB7">
      <w:pPr>
        <w:pStyle w:val="BodyTextNumbered"/>
        <w:rPr>
          <w:szCs w:val="20"/>
        </w:rPr>
      </w:pPr>
      <w:r w:rsidRPr="00206411">
        <w:rPr>
          <w:szCs w:val="20"/>
        </w:rPr>
        <w:t xml:space="preserve">APT preliminary positions on some of these Agenda items are partially in alignment with WMO views, however most have not yet progressed past </w:t>
      </w:r>
      <w:r w:rsidR="00206411" w:rsidRPr="00206411">
        <w:rPr>
          <w:szCs w:val="20"/>
        </w:rPr>
        <w:t>expressin</w:t>
      </w:r>
      <w:r w:rsidR="00A872AF">
        <w:rPr>
          <w:szCs w:val="20"/>
        </w:rPr>
        <w:t>g</w:t>
      </w:r>
      <w:r w:rsidR="00206411" w:rsidRPr="00206411">
        <w:rPr>
          <w:szCs w:val="20"/>
        </w:rPr>
        <w:t xml:space="preserve"> </w:t>
      </w:r>
      <w:r w:rsidRPr="00206411">
        <w:rPr>
          <w:szCs w:val="20"/>
        </w:rPr>
        <w:t xml:space="preserve">support for </w:t>
      </w:r>
      <w:r w:rsidR="008C1C30">
        <w:rPr>
          <w:szCs w:val="20"/>
        </w:rPr>
        <w:t xml:space="preserve">ITU-R </w:t>
      </w:r>
      <w:r w:rsidRPr="00206411">
        <w:rPr>
          <w:szCs w:val="20"/>
        </w:rPr>
        <w:t>studies.</w:t>
      </w:r>
    </w:p>
    <w:p w:rsidR="00DE5EB7" w:rsidRPr="00206411" w:rsidRDefault="00DE5EB7" w:rsidP="00DE5EB7">
      <w:pPr>
        <w:pStyle w:val="BodyTextNumbered"/>
        <w:rPr>
          <w:szCs w:val="20"/>
        </w:rPr>
      </w:pPr>
      <w:r w:rsidRPr="00206411">
        <w:rPr>
          <w:szCs w:val="20"/>
        </w:rPr>
        <w:t>The next APG meeting is scheduled for 12-16 March 2018 in Perth Australia where preliminary positions will be developed</w:t>
      </w:r>
      <w:r w:rsidR="005E0198">
        <w:rPr>
          <w:szCs w:val="20"/>
        </w:rPr>
        <w:t xml:space="preserve"> </w:t>
      </w:r>
      <w:r w:rsidR="005E0198" w:rsidRPr="00206411">
        <w:rPr>
          <w:szCs w:val="20"/>
        </w:rPr>
        <w:t>further</w:t>
      </w:r>
      <w:r w:rsidRPr="00206411">
        <w:rPr>
          <w:szCs w:val="20"/>
        </w:rPr>
        <w:t>.</w:t>
      </w:r>
    </w:p>
    <w:p w:rsidR="00550D38" w:rsidRPr="00FF65B9" w:rsidRDefault="00550D38" w:rsidP="00550D38">
      <w:pPr>
        <w:rPr>
          <w:rFonts w:ascii="Times New Roman" w:hAnsi="Times New Roman"/>
          <w:sz w:val="24"/>
          <w:szCs w:val="24"/>
        </w:rPr>
      </w:pPr>
    </w:p>
    <w:p w:rsidR="00550D38" w:rsidRDefault="00550D38" w:rsidP="00550D38">
      <w:pPr>
        <w:pStyle w:val="Heading2"/>
        <w:rPr>
          <w:rFonts w:hint="eastAsia"/>
        </w:rPr>
      </w:pPr>
      <w:r w:rsidRPr="00FF65B9">
        <w:t>References</w:t>
      </w:r>
    </w:p>
    <w:p w:rsidR="00A872AF" w:rsidRPr="00A872AF" w:rsidRDefault="00A872AF" w:rsidP="00A872AF">
      <w:pPr>
        <w:rPr>
          <w:lang w:eastAsia="zh-CN"/>
        </w:rPr>
      </w:pPr>
    </w:p>
    <w:p w:rsidR="00550D38" w:rsidRDefault="00206411" w:rsidP="00550D38">
      <w:pPr>
        <w:rPr>
          <w:sz w:val="20"/>
        </w:rPr>
      </w:pPr>
      <w:r w:rsidRPr="00206411">
        <w:rPr>
          <w:sz w:val="20"/>
        </w:rPr>
        <w:t>None</w:t>
      </w:r>
    </w:p>
    <w:p w:rsidR="00153187" w:rsidRPr="00206411" w:rsidRDefault="00153187" w:rsidP="00550D38">
      <w:pPr>
        <w:rPr>
          <w:sz w:val="20"/>
        </w:rPr>
      </w:pPr>
    </w:p>
    <w:p w:rsidR="00550D38" w:rsidRPr="00FF65B9" w:rsidRDefault="00550D38" w:rsidP="00550D38">
      <w:pPr>
        <w:pStyle w:val="Heading2"/>
        <w:rPr>
          <w:rFonts w:hint="eastAsia"/>
        </w:rPr>
      </w:pPr>
      <w:r w:rsidRPr="00FF65B9">
        <w:t xml:space="preserve">Recommended Text </w:t>
      </w:r>
    </w:p>
    <w:p w:rsidR="00550D38" w:rsidRPr="00206411" w:rsidRDefault="00206411" w:rsidP="00550D38">
      <w:pPr>
        <w:pStyle w:val="Comment"/>
        <w:rPr>
          <w:i w:val="0"/>
          <w:sz w:val="20"/>
          <w:szCs w:val="20"/>
        </w:rPr>
      </w:pPr>
      <w:r w:rsidRPr="00206411">
        <w:rPr>
          <w:i w:val="0"/>
          <w:sz w:val="20"/>
          <w:szCs w:val="20"/>
        </w:rPr>
        <w:t>None</w:t>
      </w:r>
    </w:p>
    <w:p w:rsidR="00550D38" w:rsidRPr="00206411" w:rsidRDefault="00550D38" w:rsidP="00550D38">
      <w:pPr>
        <w:rPr>
          <w:rFonts w:ascii="Times New Roman" w:hAnsi="Times New Roman"/>
          <w:szCs w:val="22"/>
        </w:rPr>
      </w:pPr>
    </w:p>
    <w:p w:rsidR="00550D38" w:rsidRPr="00FF65B9" w:rsidRDefault="00550D38" w:rsidP="00550D38">
      <w:pPr>
        <w:jc w:val="center"/>
        <w:rPr>
          <w:rFonts w:ascii="Times New Roman" w:hAnsi="Times New Roman"/>
          <w:sz w:val="24"/>
          <w:szCs w:val="24"/>
        </w:rPr>
      </w:pPr>
      <w:r w:rsidRPr="00FF65B9">
        <w:rPr>
          <w:rFonts w:ascii="Times New Roman" w:hAnsi="Times New Roman"/>
          <w:sz w:val="24"/>
          <w:szCs w:val="24"/>
        </w:rPr>
        <w:t>--------------------</w:t>
      </w:r>
    </w:p>
    <w:p w:rsidR="008968BD" w:rsidRDefault="00C8482D" w:rsidP="00C8482D">
      <w:pPr>
        <w:sectPr w:rsidR="008968BD" w:rsidSect="00550D38">
          <w:headerReference w:type="default" r:id="rId10"/>
          <w:headerReference w:type="first" r:id="rId11"/>
          <w:pgSz w:w="11907" w:h="16840" w:code="9"/>
          <w:pgMar w:top="1134" w:right="1134" w:bottom="1134" w:left="1134" w:header="720" w:footer="720" w:gutter="0"/>
          <w:cols w:space="720"/>
          <w:titlePg/>
          <w:docGrid w:linePitch="299"/>
        </w:sectPr>
      </w:pPr>
      <w:r>
        <w:br w:type="page"/>
      </w:r>
    </w:p>
    <w:p w:rsidR="00F35F35" w:rsidRPr="00FF65B9" w:rsidRDefault="00F35F35" w:rsidP="00C8482D"/>
    <w:p w:rsidR="00F35F35" w:rsidRPr="00FF65B9" w:rsidRDefault="00F35F35" w:rsidP="00F35F35">
      <w:pPr>
        <w:pStyle w:val="BodyText"/>
        <w:jc w:val="center"/>
      </w:pPr>
      <w:r w:rsidRPr="00FF65B9">
        <w:t>____________</w:t>
      </w:r>
    </w:p>
    <w:p w:rsidR="00F35F35" w:rsidRPr="00FF65B9" w:rsidRDefault="00F35F35" w:rsidP="00413EDA"/>
    <w:p w:rsidR="00F35F35" w:rsidRPr="00FF65B9" w:rsidRDefault="00F35F35" w:rsidP="00413EDA"/>
    <w:tbl>
      <w:tblPr>
        <w:tblStyle w:val="TableGrid"/>
        <w:tblW w:w="15417" w:type="dxa"/>
        <w:tblLayout w:type="fixed"/>
        <w:tblLook w:val="04A0" w:firstRow="1" w:lastRow="0" w:firstColumn="1" w:lastColumn="0" w:noHBand="0" w:noVBand="1"/>
      </w:tblPr>
      <w:tblGrid>
        <w:gridCol w:w="959"/>
        <w:gridCol w:w="4111"/>
        <w:gridCol w:w="4677"/>
        <w:gridCol w:w="5670"/>
      </w:tblGrid>
      <w:tr w:rsidR="008968BD" w:rsidTr="004466F4">
        <w:tc>
          <w:tcPr>
            <w:tcW w:w="959" w:type="dxa"/>
            <w:tcBorders>
              <w:top w:val="single" w:sz="4" w:space="0" w:color="auto"/>
              <w:left w:val="single" w:sz="4" w:space="0" w:color="auto"/>
              <w:bottom w:val="single" w:sz="4" w:space="0" w:color="auto"/>
              <w:right w:val="nil"/>
            </w:tcBorders>
          </w:tcPr>
          <w:p w:rsidR="008968BD" w:rsidRPr="00EE4A74" w:rsidRDefault="008968BD" w:rsidP="00E35257">
            <w:pPr>
              <w:jc w:val="center"/>
              <w:rPr>
                <w:szCs w:val="22"/>
              </w:rPr>
            </w:pPr>
          </w:p>
        </w:tc>
        <w:tc>
          <w:tcPr>
            <w:tcW w:w="4111" w:type="dxa"/>
            <w:tcBorders>
              <w:left w:val="nil"/>
            </w:tcBorders>
          </w:tcPr>
          <w:p w:rsidR="008968BD" w:rsidRPr="00EE4A74" w:rsidRDefault="004223F1" w:rsidP="004223F1">
            <w:pPr>
              <w:jc w:val="center"/>
              <w:rPr>
                <w:szCs w:val="22"/>
              </w:rPr>
            </w:pPr>
            <w:r>
              <w:rPr>
                <w:szCs w:val="22"/>
              </w:rPr>
              <w:t xml:space="preserve">WRC-19 </w:t>
            </w:r>
            <w:r w:rsidR="008968BD" w:rsidRPr="00EE4A74">
              <w:rPr>
                <w:szCs w:val="22"/>
              </w:rPr>
              <w:t>Agenda Item</w:t>
            </w:r>
          </w:p>
        </w:tc>
        <w:tc>
          <w:tcPr>
            <w:tcW w:w="4677" w:type="dxa"/>
          </w:tcPr>
          <w:p w:rsidR="008968BD" w:rsidRPr="00EE4A74" w:rsidRDefault="008968BD" w:rsidP="00E35257">
            <w:pPr>
              <w:jc w:val="center"/>
              <w:rPr>
                <w:szCs w:val="22"/>
              </w:rPr>
            </w:pPr>
            <w:r w:rsidRPr="00EE4A74">
              <w:rPr>
                <w:szCs w:val="22"/>
              </w:rPr>
              <w:t>WMO Position</w:t>
            </w:r>
          </w:p>
        </w:tc>
        <w:tc>
          <w:tcPr>
            <w:tcW w:w="5670" w:type="dxa"/>
          </w:tcPr>
          <w:p w:rsidR="008968BD" w:rsidRPr="00EE4A74" w:rsidRDefault="008968BD" w:rsidP="00E35257">
            <w:pPr>
              <w:jc w:val="center"/>
              <w:rPr>
                <w:szCs w:val="22"/>
              </w:rPr>
            </w:pPr>
            <w:r w:rsidRPr="00EE4A74">
              <w:rPr>
                <w:szCs w:val="22"/>
              </w:rPr>
              <w:t>APT Preliminary Views</w:t>
            </w:r>
          </w:p>
        </w:tc>
      </w:tr>
      <w:tr w:rsidR="008968BD" w:rsidTr="004466F4">
        <w:tc>
          <w:tcPr>
            <w:tcW w:w="959" w:type="dxa"/>
            <w:tcBorders>
              <w:top w:val="single" w:sz="4" w:space="0" w:color="auto"/>
            </w:tcBorders>
          </w:tcPr>
          <w:p w:rsidR="008968BD" w:rsidRPr="00EE4A74" w:rsidRDefault="008968BD" w:rsidP="00E35257">
            <w:pPr>
              <w:jc w:val="center"/>
              <w:rPr>
                <w:szCs w:val="22"/>
              </w:rPr>
            </w:pPr>
            <w:r w:rsidRPr="00EE4A74">
              <w:rPr>
                <w:szCs w:val="22"/>
              </w:rPr>
              <w:t>1.1</w:t>
            </w:r>
          </w:p>
          <w:p w:rsidR="008968BD" w:rsidRPr="004B58FE" w:rsidRDefault="008968BD" w:rsidP="00E35257">
            <w:pPr>
              <w:jc w:val="center"/>
              <w:rPr>
                <w:color w:val="FF0000"/>
                <w:szCs w:val="22"/>
              </w:rPr>
            </w:pPr>
          </w:p>
          <w:p w:rsidR="008968BD" w:rsidRPr="004B58FE" w:rsidRDefault="004466F4" w:rsidP="00E35257">
            <w:pPr>
              <w:jc w:val="center"/>
              <w:rPr>
                <w:color w:val="FF0000"/>
                <w:sz w:val="16"/>
                <w:szCs w:val="16"/>
              </w:rPr>
            </w:pPr>
            <w:r w:rsidRPr="004B58FE">
              <w:rPr>
                <w:color w:val="FF0000"/>
                <w:sz w:val="16"/>
                <w:szCs w:val="16"/>
              </w:rPr>
              <w:t xml:space="preserve"> </w:t>
            </w:r>
            <w:proofErr w:type="spellStart"/>
            <w:r w:rsidRPr="004B58FE">
              <w:rPr>
                <w:color w:val="FF0000"/>
                <w:sz w:val="16"/>
                <w:szCs w:val="16"/>
              </w:rPr>
              <w:t>Resp</w:t>
            </w:r>
            <w:proofErr w:type="spellEnd"/>
            <w:r w:rsidRPr="004B58FE">
              <w:rPr>
                <w:color w:val="FF0000"/>
                <w:sz w:val="16"/>
                <w:szCs w:val="16"/>
              </w:rPr>
              <w:t xml:space="preserve"> WP5A</w:t>
            </w:r>
          </w:p>
          <w:p w:rsidR="004466F4" w:rsidRPr="004466F4" w:rsidRDefault="004466F4" w:rsidP="00E35257">
            <w:pPr>
              <w:jc w:val="center"/>
              <w:rPr>
                <w:color w:val="000000" w:themeColor="text1"/>
                <w:sz w:val="16"/>
                <w:szCs w:val="16"/>
              </w:rPr>
            </w:pPr>
          </w:p>
          <w:p w:rsidR="004466F4" w:rsidRPr="004466F4" w:rsidRDefault="004466F4" w:rsidP="004466F4">
            <w:pPr>
              <w:jc w:val="center"/>
              <w:rPr>
                <w:bCs/>
                <w:sz w:val="16"/>
                <w:szCs w:val="16"/>
                <w:lang w:val="en-US"/>
              </w:rPr>
            </w:pPr>
            <w:r w:rsidRPr="004466F4">
              <w:rPr>
                <w:bCs/>
                <w:sz w:val="16"/>
                <w:szCs w:val="16"/>
                <w:lang w:val="en-US"/>
              </w:rPr>
              <w:t>WP 5B</w:t>
            </w:r>
          </w:p>
          <w:p w:rsidR="004466F4" w:rsidRPr="004466F4" w:rsidRDefault="004466F4" w:rsidP="004466F4">
            <w:pPr>
              <w:jc w:val="center"/>
              <w:rPr>
                <w:bCs/>
                <w:sz w:val="16"/>
                <w:szCs w:val="16"/>
                <w:lang w:val="en-US"/>
              </w:rPr>
            </w:pPr>
            <w:r w:rsidRPr="004466F4">
              <w:rPr>
                <w:bCs/>
                <w:sz w:val="16"/>
                <w:szCs w:val="16"/>
                <w:lang w:val="en-US"/>
              </w:rPr>
              <w:t>WP 5C</w:t>
            </w:r>
          </w:p>
          <w:p w:rsidR="004466F4" w:rsidRPr="004466F4" w:rsidRDefault="004466F4" w:rsidP="004466F4">
            <w:pPr>
              <w:jc w:val="center"/>
              <w:rPr>
                <w:bCs/>
                <w:sz w:val="16"/>
                <w:szCs w:val="16"/>
                <w:lang w:val="en-US"/>
              </w:rPr>
            </w:pPr>
            <w:r w:rsidRPr="004466F4">
              <w:rPr>
                <w:bCs/>
                <w:sz w:val="16"/>
                <w:szCs w:val="16"/>
                <w:lang w:val="en-US"/>
              </w:rPr>
              <w:t>WP 6A</w:t>
            </w:r>
          </w:p>
          <w:p w:rsidR="004466F4" w:rsidRPr="004466F4" w:rsidRDefault="004466F4" w:rsidP="004466F4">
            <w:pPr>
              <w:jc w:val="center"/>
              <w:rPr>
                <w:bCs/>
                <w:sz w:val="16"/>
                <w:szCs w:val="16"/>
                <w:lang w:val="en-US"/>
              </w:rPr>
            </w:pPr>
            <w:r w:rsidRPr="004466F4">
              <w:rPr>
                <w:bCs/>
                <w:sz w:val="16"/>
                <w:szCs w:val="16"/>
                <w:lang w:val="en-US"/>
              </w:rPr>
              <w:t>(WP</w:t>
            </w:r>
            <w:r>
              <w:rPr>
                <w:bCs/>
                <w:sz w:val="16"/>
                <w:szCs w:val="16"/>
                <w:lang w:val="en-US"/>
              </w:rPr>
              <w:t xml:space="preserve"> </w:t>
            </w:r>
            <w:r w:rsidRPr="004466F4">
              <w:rPr>
                <w:bCs/>
                <w:sz w:val="16"/>
                <w:szCs w:val="16"/>
                <w:lang w:val="en-US"/>
              </w:rPr>
              <w:t>1A)</w:t>
            </w:r>
          </w:p>
          <w:p w:rsidR="004466F4" w:rsidRPr="004466F4" w:rsidRDefault="004466F4" w:rsidP="004466F4">
            <w:pPr>
              <w:jc w:val="center"/>
              <w:rPr>
                <w:sz w:val="16"/>
                <w:szCs w:val="16"/>
                <w:lang w:val="en-US"/>
              </w:rPr>
            </w:pPr>
            <w:r w:rsidRPr="004466F4">
              <w:rPr>
                <w:sz w:val="16"/>
                <w:szCs w:val="16"/>
                <w:lang w:val="en-US"/>
              </w:rPr>
              <w:t>(WP</w:t>
            </w:r>
            <w:r>
              <w:rPr>
                <w:sz w:val="16"/>
                <w:szCs w:val="16"/>
                <w:lang w:val="en-US"/>
              </w:rPr>
              <w:t xml:space="preserve"> </w:t>
            </w:r>
            <w:r w:rsidRPr="004466F4">
              <w:rPr>
                <w:sz w:val="16"/>
                <w:szCs w:val="16"/>
                <w:lang w:val="en-US"/>
              </w:rPr>
              <w:t>3K)</w:t>
            </w:r>
          </w:p>
          <w:p w:rsidR="004466F4" w:rsidRPr="004466F4" w:rsidRDefault="004466F4" w:rsidP="004466F4">
            <w:pPr>
              <w:jc w:val="center"/>
              <w:rPr>
                <w:color w:val="000000" w:themeColor="text1"/>
                <w:sz w:val="18"/>
                <w:szCs w:val="18"/>
              </w:rPr>
            </w:pPr>
            <w:r w:rsidRPr="004466F4">
              <w:rPr>
                <w:sz w:val="16"/>
                <w:szCs w:val="16"/>
                <w:lang w:val="en-US"/>
              </w:rPr>
              <w:t>(WP</w:t>
            </w:r>
            <w:r>
              <w:rPr>
                <w:sz w:val="16"/>
                <w:szCs w:val="16"/>
                <w:lang w:val="en-US"/>
              </w:rPr>
              <w:t xml:space="preserve"> </w:t>
            </w:r>
            <w:r w:rsidRPr="004466F4">
              <w:rPr>
                <w:sz w:val="16"/>
                <w:szCs w:val="16"/>
                <w:lang w:val="en-US"/>
              </w:rPr>
              <w:t>3M)</w:t>
            </w:r>
          </w:p>
        </w:tc>
        <w:tc>
          <w:tcPr>
            <w:tcW w:w="4111" w:type="dxa"/>
          </w:tcPr>
          <w:p w:rsidR="008968BD" w:rsidRPr="00EE4A74" w:rsidRDefault="004223F1" w:rsidP="004223F1">
            <w:pPr>
              <w:rPr>
                <w:szCs w:val="22"/>
              </w:rPr>
            </w:pPr>
            <w:r w:rsidRPr="004223F1">
              <w:rPr>
                <w:szCs w:val="22"/>
              </w:rPr>
              <w:t>to consider an allocation of the frequency band 50-54 MHz to the amateur service in Region 1, in accordance with Resolution 658 (WRC-15)</w:t>
            </w:r>
          </w:p>
        </w:tc>
        <w:tc>
          <w:tcPr>
            <w:tcW w:w="4677" w:type="dxa"/>
          </w:tcPr>
          <w:p w:rsidR="004223F1" w:rsidRPr="004223F1" w:rsidRDefault="004223F1" w:rsidP="004223F1">
            <w:pPr>
              <w:rPr>
                <w:szCs w:val="22"/>
              </w:rPr>
            </w:pPr>
            <w:r w:rsidRPr="004223F1">
              <w:rPr>
                <w:szCs w:val="22"/>
              </w:rPr>
              <w:t>WMO does not oppose an allocation to amateur service in the 50-54 MHz provided that:</w:t>
            </w:r>
          </w:p>
          <w:p w:rsidR="00044982" w:rsidRPr="00044982" w:rsidRDefault="004223F1" w:rsidP="00B42432">
            <w:pPr>
              <w:pStyle w:val="ListParagraph"/>
              <w:numPr>
                <w:ilvl w:val="0"/>
                <w:numId w:val="9"/>
              </w:numPr>
              <w:spacing w:after="0"/>
              <w:ind w:left="360"/>
              <w:rPr>
                <w:rFonts w:ascii="Arial" w:hAnsi="Arial" w:cs="Arial"/>
              </w:rPr>
            </w:pPr>
            <w:r w:rsidRPr="004223F1">
              <w:rPr>
                <w:rFonts w:ascii="Arial" w:hAnsi="Arial" w:cs="Arial"/>
              </w:rPr>
              <w:t>appropriate protection of radiolocation service allocated by RR No 5.162A is ensured and</w:t>
            </w:r>
          </w:p>
          <w:p w:rsidR="004223F1" w:rsidRPr="004223F1" w:rsidRDefault="004223F1" w:rsidP="00B42432">
            <w:pPr>
              <w:pStyle w:val="ListParagraph"/>
              <w:numPr>
                <w:ilvl w:val="0"/>
                <w:numId w:val="9"/>
              </w:numPr>
              <w:spacing w:after="0"/>
              <w:ind w:left="360"/>
              <w:rPr>
                <w:rFonts w:ascii="Arial" w:hAnsi="Arial" w:cs="Arial"/>
              </w:rPr>
            </w:pPr>
            <w:r w:rsidRPr="004223F1">
              <w:rPr>
                <w:rFonts w:ascii="Arial" w:hAnsi="Arial" w:cs="Arial"/>
              </w:rPr>
              <w:t>the status of the new allocation to amateur service provides the radiolocation service equality or precedence relative to the amateur service.</w:t>
            </w:r>
          </w:p>
          <w:p w:rsidR="008968BD" w:rsidRPr="00EE4A74" w:rsidRDefault="004223F1" w:rsidP="004223F1">
            <w:pPr>
              <w:rPr>
                <w:szCs w:val="22"/>
              </w:rPr>
            </w:pPr>
            <w:r w:rsidRPr="004223F1">
              <w:rPr>
                <w:szCs w:val="22"/>
              </w:rPr>
              <w:t>WMO opposes any new allocation to amateur-satellite service in this frequency band</w:t>
            </w:r>
          </w:p>
        </w:tc>
        <w:tc>
          <w:tcPr>
            <w:tcW w:w="5670" w:type="dxa"/>
          </w:tcPr>
          <w:p w:rsidR="002C11F9" w:rsidRPr="002C11F9" w:rsidRDefault="002C11F9" w:rsidP="002C11F9">
            <w:pPr>
              <w:rPr>
                <w:szCs w:val="22"/>
                <w:lang w:val="en-NZ"/>
              </w:rPr>
            </w:pPr>
            <w:r w:rsidRPr="002C11F9">
              <w:rPr>
                <w:szCs w:val="22"/>
                <w:lang w:val="en-NZ"/>
              </w:rPr>
              <w:t>APT Members are of the view that :</w:t>
            </w:r>
          </w:p>
          <w:p w:rsidR="002C11F9" w:rsidRPr="002C11F9" w:rsidRDefault="002C11F9" w:rsidP="00B42432">
            <w:pPr>
              <w:numPr>
                <w:ilvl w:val="0"/>
                <w:numId w:val="10"/>
              </w:numPr>
              <w:rPr>
                <w:szCs w:val="22"/>
                <w:lang w:val="en-US"/>
              </w:rPr>
            </w:pPr>
            <w:r w:rsidRPr="002C11F9">
              <w:rPr>
                <w:szCs w:val="22"/>
                <w:lang w:val="en-US"/>
              </w:rPr>
              <w:t>Ongoing ITU-R studies relevant to WRC-19 agenda item 1.1 are supported.</w:t>
            </w:r>
          </w:p>
          <w:p w:rsidR="002C11F9" w:rsidRPr="002C11F9" w:rsidRDefault="002C11F9" w:rsidP="00B42432">
            <w:pPr>
              <w:numPr>
                <w:ilvl w:val="0"/>
                <w:numId w:val="10"/>
              </w:numPr>
              <w:rPr>
                <w:szCs w:val="22"/>
                <w:lang w:val="en-US"/>
              </w:rPr>
            </w:pPr>
            <w:r w:rsidRPr="002C11F9">
              <w:rPr>
                <w:szCs w:val="22"/>
                <w:lang w:val="en-US"/>
              </w:rPr>
              <w:t>Spectrum need for the Amateur service in Region 1 should be clearly identified,</w:t>
            </w:r>
          </w:p>
          <w:p w:rsidR="002C11F9" w:rsidRPr="002C11F9" w:rsidRDefault="002C11F9" w:rsidP="00B42432">
            <w:pPr>
              <w:numPr>
                <w:ilvl w:val="0"/>
                <w:numId w:val="10"/>
              </w:numPr>
              <w:rPr>
                <w:b/>
                <w:szCs w:val="22"/>
                <w:lang w:val="en-NZ"/>
              </w:rPr>
            </w:pPr>
            <w:r w:rsidRPr="002C11F9">
              <w:rPr>
                <w:szCs w:val="22"/>
                <w:lang w:val="en-US"/>
              </w:rPr>
              <w:t>Any changes made to the Radio Regulations under WRC-19 Agenda Item 1.1 shall not impose additional constraints on the existing primary allocations in the band 50 – 54 MHz in Region 3.</w:t>
            </w:r>
          </w:p>
          <w:p w:rsidR="008968BD" w:rsidRPr="00EE4A74" w:rsidRDefault="008968BD" w:rsidP="00E35257">
            <w:pPr>
              <w:rPr>
                <w:szCs w:val="22"/>
              </w:rPr>
            </w:pPr>
          </w:p>
        </w:tc>
      </w:tr>
      <w:tr w:rsidR="008968BD" w:rsidTr="004466F4">
        <w:tc>
          <w:tcPr>
            <w:tcW w:w="959" w:type="dxa"/>
          </w:tcPr>
          <w:p w:rsidR="008968BD" w:rsidRDefault="008968BD" w:rsidP="00E35257">
            <w:pPr>
              <w:jc w:val="center"/>
              <w:rPr>
                <w:szCs w:val="22"/>
              </w:rPr>
            </w:pPr>
            <w:r w:rsidRPr="00EE4A74">
              <w:rPr>
                <w:szCs w:val="22"/>
              </w:rPr>
              <w:t>1.</w:t>
            </w:r>
            <w:r w:rsidR="004466F4">
              <w:rPr>
                <w:szCs w:val="22"/>
              </w:rPr>
              <w:t>2</w:t>
            </w:r>
          </w:p>
          <w:p w:rsidR="004466F4" w:rsidRPr="00EE4A74" w:rsidRDefault="004466F4" w:rsidP="00E35257">
            <w:pPr>
              <w:jc w:val="center"/>
              <w:rPr>
                <w:szCs w:val="22"/>
              </w:rPr>
            </w:pPr>
          </w:p>
          <w:p w:rsidR="008968BD" w:rsidRPr="004B58FE" w:rsidRDefault="004466F4" w:rsidP="004466F4">
            <w:pPr>
              <w:jc w:val="center"/>
              <w:rPr>
                <w:color w:val="FF0000"/>
                <w:sz w:val="16"/>
                <w:szCs w:val="16"/>
              </w:rPr>
            </w:pPr>
            <w:r w:rsidRPr="004B58FE">
              <w:rPr>
                <w:sz w:val="16"/>
                <w:szCs w:val="16"/>
              </w:rPr>
              <w:t xml:space="preserve"> </w:t>
            </w:r>
            <w:proofErr w:type="spellStart"/>
            <w:r w:rsidRPr="004B58FE">
              <w:rPr>
                <w:color w:val="FF0000"/>
                <w:sz w:val="16"/>
                <w:szCs w:val="16"/>
              </w:rPr>
              <w:t>Resp</w:t>
            </w:r>
            <w:proofErr w:type="spellEnd"/>
            <w:r w:rsidRPr="004B58FE">
              <w:rPr>
                <w:color w:val="FF0000"/>
                <w:sz w:val="16"/>
                <w:szCs w:val="16"/>
              </w:rPr>
              <w:t xml:space="preserve"> </w:t>
            </w:r>
            <w:r w:rsidR="008968BD" w:rsidRPr="004B58FE">
              <w:rPr>
                <w:color w:val="FF0000"/>
                <w:sz w:val="16"/>
                <w:szCs w:val="16"/>
              </w:rPr>
              <w:t>WP</w:t>
            </w:r>
            <w:r w:rsidRPr="004B58FE">
              <w:rPr>
                <w:color w:val="FF0000"/>
                <w:sz w:val="16"/>
                <w:szCs w:val="16"/>
              </w:rPr>
              <w:t>5</w:t>
            </w:r>
            <w:r w:rsidR="008968BD" w:rsidRPr="004B58FE">
              <w:rPr>
                <w:color w:val="FF0000"/>
                <w:sz w:val="16"/>
                <w:szCs w:val="16"/>
              </w:rPr>
              <w:t>A</w:t>
            </w:r>
          </w:p>
          <w:p w:rsidR="004466F4" w:rsidRPr="004B58FE" w:rsidRDefault="004466F4" w:rsidP="004466F4">
            <w:pPr>
              <w:jc w:val="center"/>
              <w:rPr>
                <w:color w:val="000000" w:themeColor="text1"/>
                <w:sz w:val="16"/>
                <w:szCs w:val="16"/>
              </w:rPr>
            </w:pPr>
          </w:p>
          <w:p w:rsidR="004466F4" w:rsidRPr="004B58FE" w:rsidRDefault="004466F4" w:rsidP="004466F4">
            <w:pPr>
              <w:jc w:val="center"/>
              <w:rPr>
                <w:bCs/>
                <w:color w:val="000000" w:themeColor="text1"/>
                <w:sz w:val="16"/>
                <w:szCs w:val="16"/>
                <w:lang w:val="en-US"/>
              </w:rPr>
            </w:pPr>
            <w:r w:rsidRPr="004B58FE">
              <w:rPr>
                <w:bCs/>
                <w:color w:val="000000" w:themeColor="text1"/>
                <w:sz w:val="16"/>
                <w:szCs w:val="16"/>
                <w:lang w:val="en-US"/>
              </w:rPr>
              <w:t>WP 4C</w:t>
            </w:r>
          </w:p>
          <w:p w:rsidR="004466F4" w:rsidRPr="004B58FE" w:rsidRDefault="004466F4" w:rsidP="004466F4">
            <w:pPr>
              <w:jc w:val="center"/>
              <w:rPr>
                <w:bCs/>
                <w:color w:val="000000" w:themeColor="text1"/>
                <w:sz w:val="16"/>
                <w:szCs w:val="16"/>
                <w:lang w:val="en-US"/>
              </w:rPr>
            </w:pPr>
            <w:r w:rsidRPr="004B58FE">
              <w:rPr>
                <w:bCs/>
                <w:color w:val="000000" w:themeColor="text1"/>
                <w:sz w:val="16"/>
                <w:szCs w:val="16"/>
                <w:lang w:val="en-US"/>
              </w:rPr>
              <w:t>WP 5A</w:t>
            </w:r>
          </w:p>
          <w:p w:rsidR="004466F4" w:rsidRPr="004B58FE" w:rsidRDefault="004466F4" w:rsidP="004466F4">
            <w:pPr>
              <w:jc w:val="center"/>
              <w:rPr>
                <w:bCs/>
                <w:color w:val="000000" w:themeColor="text1"/>
                <w:sz w:val="16"/>
                <w:szCs w:val="16"/>
                <w:lang w:val="en-US"/>
              </w:rPr>
            </w:pPr>
            <w:r w:rsidRPr="004B58FE">
              <w:rPr>
                <w:bCs/>
                <w:color w:val="000000" w:themeColor="text1"/>
                <w:sz w:val="16"/>
                <w:szCs w:val="16"/>
                <w:lang w:val="en-US"/>
              </w:rPr>
              <w:t>WP 7C</w:t>
            </w:r>
          </w:p>
          <w:p w:rsidR="004466F4" w:rsidRPr="004B58FE" w:rsidRDefault="004466F4" w:rsidP="004466F4">
            <w:pPr>
              <w:jc w:val="center"/>
              <w:rPr>
                <w:color w:val="000000" w:themeColor="text1"/>
                <w:sz w:val="16"/>
                <w:szCs w:val="16"/>
                <w:lang w:val="en-US"/>
              </w:rPr>
            </w:pPr>
            <w:r w:rsidRPr="004B58FE">
              <w:rPr>
                <w:color w:val="000000" w:themeColor="text1"/>
                <w:sz w:val="16"/>
                <w:szCs w:val="16"/>
                <w:lang w:val="en-US"/>
              </w:rPr>
              <w:t>(WP 3M)</w:t>
            </w:r>
          </w:p>
          <w:p w:rsidR="004466F4" w:rsidRPr="00EE4A74" w:rsidRDefault="004466F4" w:rsidP="004466F4">
            <w:pPr>
              <w:jc w:val="center"/>
              <w:rPr>
                <w:color w:val="000000" w:themeColor="text1"/>
                <w:szCs w:val="22"/>
              </w:rPr>
            </w:pPr>
          </w:p>
        </w:tc>
        <w:tc>
          <w:tcPr>
            <w:tcW w:w="4111" w:type="dxa"/>
          </w:tcPr>
          <w:p w:rsidR="008968BD" w:rsidRPr="00EE4A74" w:rsidRDefault="00F5735F" w:rsidP="00F5735F">
            <w:pPr>
              <w:tabs>
                <w:tab w:val="num" w:pos="2250"/>
              </w:tabs>
              <w:rPr>
                <w:rFonts w:eastAsia="SimSun"/>
                <w:bCs/>
                <w:szCs w:val="22"/>
                <w:lang w:eastAsia="zh-CN"/>
              </w:rPr>
            </w:pPr>
            <w:r w:rsidRPr="00F5735F">
              <w:rPr>
                <w:rFonts w:eastAsia="SimSun"/>
                <w:bCs/>
                <w:szCs w:val="22"/>
                <w:lang w:eastAsia="zh-CN"/>
              </w:rPr>
              <w:t>to consider in-band power limits for earth stations operating in the mobile-satellite service, meteorological-satellite service and Earth exploration-satellite service in the frequency bands 401-403 MHz and 399.9-400.05 MHz, in accordance with Resolution 765 [COM6/7] (WRC 15)</w:t>
            </w:r>
          </w:p>
        </w:tc>
        <w:tc>
          <w:tcPr>
            <w:tcW w:w="4677" w:type="dxa"/>
          </w:tcPr>
          <w:p w:rsidR="008968BD" w:rsidRPr="00EE4A74" w:rsidRDefault="00F5735F" w:rsidP="00E35257">
            <w:pPr>
              <w:rPr>
                <w:szCs w:val="22"/>
              </w:rPr>
            </w:pPr>
            <w:r w:rsidRPr="00F5735F">
              <w:rPr>
                <w:szCs w:val="22"/>
              </w:rPr>
              <w:t>WMO supports the establishment of an appropriate set of in band power/</w:t>
            </w:r>
            <w:proofErr w:type="spellStart"/>
            <w:r w:rsidRPr="00F5735F">
              <w:rPr>
                <w:szCs w:val="22"/>
              </w:rPr>
              <w:t>e.i.r.p</w:t>
            </w:r>
            <w:proofErr w:type="spellEnd"/>
            <w:r w:rsidRPr="00F5735F">
              <w:rPr>
                <w:szCs w:val="22"/>
              </w:rPr>
              <w:t>. limits to ensure the protection of existing and future use of meteorological operations (e.g. METSAT and EESS (Earth-to-space)) in the 401-403 MHz frequency band for both non-GSO and GSO DCS systems.</w:t>
            </w:r>
          </w:p>
        </w:tc>
        <w:tc>
          <w:tcPr>
            <w:tcW w:w="5670" w:type="dxa"/>
          </w:tcPr>
          <w:p w:rsidR="002C11F9" w:rsidRPr="001C422A" w:rsidRDefault="002C11F9" w:rsidP="002C11F9">
            <w:pPr>
              <w:rPr>
                <w:szCs w:val="22"/>
                <w:lang w:val="en-NZ"/>
              </w:rPr>
            </w:pPr>
            <w:r w:rsidRPr="001C422A">
              <w:rPr>
                <w:rFonts w:hint="eastAsia"/>
                <w:szCs w:val="22"/>
                <w:lang w:val="en-NZ"/>
              </w:rPr>
              <w:t xml:space="preserve">APT Members </w:t>
            </w:r>
            <w:r w:rsidRPr="001C422A">
              <w:rPr>
                <w:szCs w:val="22"/>
                <w:lang w:val="en-NZ"/>
              </w:rPr>
              <w:t>support the ITU-R studies in accordance with Resolution</w:t>
            </w:r>
            <w:r w:rsidRPr="001C422A">
              <w:rPr>
                <w:b/>
                <w:szCs w:val="22"/>
                <w:lang w:val="en-NZ"/>
              </w:rPr>
              <w:t xml:space="preserve"> 765 (WRC-15)</w:t>
            </w:r>
            <w:r w:rsidRPr="001C422A">
              <w:rPr>
                <w:szCs w:val="22"/>
                <w:lang w:val="en-NZ"/>
              </w:rPr>
              <w:t xml:space="preserve"> to conduct and complete, in time for WRC-19, the necessary technical, operational and regulatory studies on the possibility of establishing in-band power limits for earth stations in the EESS and MetSat in the frequency band 401-403 MHz and the MSS in the frequency band 399.9-400.05 MHz</w:t>
            </w:r>
            <w:r w:rsidRPr="001C422A">
              <w:rPr>
                <w:rFonts w:hint="eastAsia"/>
                <w:szCs w:val="22"/>
                <w:lang w:val="en-NZ"/>
              </w:rPr>
              <w:t xml:space="preserve">, </w:t>
            </w:r>
            <w:r w:rsidRPr="001C422A">
              <w:rPr>
                <w:szCs w:val="22"/>
                <w:lang w:val="en-NZ"/>
              </w:rPr>
              <w:t>without any</w:t>
            </w:r>
            <w:r w:rsidRPr="001C422A">
              <w:rPr>
                <w:rFonts w:hint="eastAsia"/>
                <w:szCs w:val="22"/>
                <w:lang w:val="en-NZ"/>
              </w:rPr>
              <w:t xml:space="preserve"> constraint to existing services (including DCS and non-DCS systems)</w:t>
            </w:r>
            <w:r w:rsidRPr="001C422A">
              <w:rPr>
                <w:szCs w:val="22"/>
                <w:lang w:val="en-NZ"/>
              </w:rPr>
              <w:t>.</w:t>
            </w:r>
          </w:p>
          <w:p w:rsidR="008968BD" w:rsidRPr="00EE4A74" w:rsidRDefault="008968BD" w:rsidP="00252945">
            <w:pPr>
              <w:rPr>
                <w:color w:val="00B050"/>
                <w:szCs w:val="22"/>
              </w:rPr>
            </w:pPr>
          </w:p>
        </w:tc>
      </w:tr>
      <w:tr w:rsidR="008968BD" w:rsidTr="004466F4">
        <w:tc>
          <w:tcPr>
            <w:tcW w:w="959" w:type="dxa"/>
          </w:tcPr>
          <w:p w:rsidR="004B58FE" w:rsidRDefault="004B58FE" w:rsidP="004B58FE">
            <w:pPr>
              <w:jc w:val="center"/>
              <w:rPr>
                <w:sz w:val="20"/>
              </w:rPr>
            </w:pPr>
            <w:r w:rsidRPr="006338AA">
              <w:rPr>
                <w:sz w:val="20"/>
              </w:rPr>
              <w:t>1.</w:t>
            </w:r>
            <w:r>
              <w:rPr>
                <w:sz w:val="20"/>
              </w:rPr>
              <w:t>3</w:t>
            </w:r>
          </w:p>
          <w:p w:rsidR="004B58FE" w:rsidRDefault="004B58FE" w:rsidP="004B58FE">
            <w:pPr>
              <w:jc w:val="center"/>
              <w:rPr>
                <w:color w:val="FF0000"/>
                <w:sz w:val="20"/>
              </w:rPr>
            </w:pPr>
          </w:p>
          <w:p w:rsidR="004B58FE" w:rsidRPr="0021066A" w:rsidRDefault="004B58FE" w:rsidP="004B58FE">
            <w:pPr>
              <w:jc w:val="center"/>
              <w:rPr>
                <w:color w:val="FF0000"/>
                <w:sz w:val="16"/>
              </w:rPr>
            </w:pPr>
            <w:proofErr w:type="spellStart"/>
            <w:r w:rsidRPr="0021066A">
              <w:rPr>
                <w:color w:val="FF0000"/>
                <w:sz w:val="16"/>
              </w:rPr>
              <w:t>Resp</w:t>
            </w:r>
            <w:proofErr w:type="spellEnd"/>
          </w:p>
          <w:p w:rsidR="004B58FE" w:rsidRDefault="004B58FE" w:rsidP="004B58FE">
            <w:pPr>
              <w:jc w:val="center"/>
              <w:rPr>
                <w:color w:val="FF0000"/>
                <w:sz w:val="16"/>
                <w:szCs w:val="16"/>
              </w:rPr>
            </w:pPr>
            <w:r>
              <w:rPr>
                <w:color w:val="FF0000"/>
                <w:sz w:val="16"/>
                <w:szCs w:val="16"/>
              </w:rPr>
              <w:t>WP 7B</w:t>
            </w:r>
          </w:p>
          <w:p w:rsidR="004B58FE" w:rsidRDefault="004B58FE" w:rsidP="004B58FE">
            <w:pPr>
              <w:jc w:val="center"/>
              <w:rPr>
                <w:color w:val="FF0000"/>
                <w:sz w:val="16"/>
                <w:szCs w:val="16"/>
              </w:rPr>
            </w:pPr>
          </w:p>
          <w:p w:rsidR="004B58FE" w:rsidRPr="00B41E47" w:rsidRDefault="004B58FE" w:rsidP="004B58FE">
            <w:pPr>
              <w:jc w:val="center"/>
              <w:rPr>
                <w:bCs/>
                <w:sz w:val="16"/>
                <w:lang w:val="en-US"/>
              </w:rPr>
            </w:pPr>
            <w:r w:rsidRPr="00B41E47">
              <w:rPr>
                <w:bCs/>
                <w:sz w:val="16"/>
                <w:lang w:val="en-US"/>
              </w:rPr>
              <w:t>WP 5A</w:t>
            </w:r>
          </w:p>
          <w:p w:rsidR="004B58FE" w:rsidRPr="00B41E47" w:rsidRDefault="004B58FE" w:rsidP="004B58FE">
            <w:pPr>
              <w:jc w:val="center"/>
              <w:rPr>
                <w:bCs/>
                <w:sz w:val="16"/>
                <w:lang w:val="en-US"/>
              </w:rPr>
            </w:pPr>
            <w:r w:rsidRPr="00B41E47">
              <w:rPr>
                <w:bCs/>
                <w:sz w:val="16"/>
                <w:lang w:val="en-US"/>
              </w:rPr>
              <w:t>WP 5D</w:t>
            </w:r>
          </w:p>
          <w:p w:rsidR="004B58FE" w:rsidRPr="00B41E47" w:rsidRDefault="004B58FE" w:rsidP="004B58FE">
            <w:pPr>
              <w:jc w:val="center"/>
              <w:rPr>
                <w:bCs/>
                <w:sz w:val="16"/>
                <w:lang w:val="en-US"/>
              </w:rPr>
            </w:pPr>
            <w:r w:rsidRPr="00B41E47">
              <w:rPr>
                <w:bCs/>
                <w:sz w:val="16"/>
                <w:lang w:val="en-US"/>
              </w:rPr>
              <w:lastRenderedPageBreak/>
              <w:t>WP 6A</w:t>
            </w:r>
          </w:p>
          <w:p w:rsidR="008968BD" w:rsidRPr="00EE4A74" w:rsidRDefault="004B58FE" w:rsidP="004B58FE">
            <w:pPr>
              <w:jc w:val="center"/>
              <w:rPr>
                <w:color w:val="000000" w:themeColor="text1"/>
                <w:szCs w:val="22"/>
              </w:rPr>
            </w:pPr>
            <w:r w:rsidRPr="00B41E47">
              <w:rPr>
                <w:sz w:val="16"/>
                <w:lang w:val="en-US"/>
              </w:rPr>
              <w:t>(WP 3M)</w:t>
            </w:r>
          </w:p>
        </w:tc>
        <w:tc>
          <w:tcPr>
            <w:tcW w:w="4111" w:type="dxa"/>
          </w:tcPr>
          <w:p w:rsidR="008968BD" w:rsidRPr="00EE4A74" w:rsidRDefault="004B58FE" w:rsidP="00E35257">
            <w:pPr>
              <w:rPr>
                <w:szCs w:val="22"/>
              </w:rPr>
            </w:pPr>
            <w:r w:rsidRPr="004B58FE">
              <w:rPr>
                <w:szCs w:val="22"/>
              </w:rPr>
              <w:lastRenderedPageBreak/>
              <w:t>to consider possible upgrading of the secondary allocation to the meteorological-satellite service (space-to-Earth) to primary status and a possible primary allocation to the Earth exploration-satellite service (space-to-</w:t>
            </w:r>
            <w:r w:rsidRPr="004B58FE">
              <w:rPr>
                <w:szCs w:val="22"/>
              </w:rPr>
              <w:lastRenderedPageBreak/>
              <w:t>Earth) in the frequency band 460-470 MHz, in accordance with Resolution 766 [COM6/8] (WRC 15)</w:t>
            </w:r>
          </w:p>
        </w:tc>
        <w:tc>
          <w:tcPr>
            <w:tcW w:w="4677" w:type="dxa"/>
          </w:tcPr>
          <w:p w:rsidR="004B58FE" w:rsidRPr="004B58FE" w:rsidRDefault="004B58FE" w:rsidP="004B58FE">
            <w:pPr>
              <w:rPr>
                <w:szCs w:val="22"/>
              </w:rPr>
            </w:pPr>
            <w:r w:rsidRPr="004B58FE">
              <w:rPr>
                <w:szCs w:val="22"/>
              </w:rPr>
              <w:lastRenderedPageBreak/>
              <w:t>WMO supports the upgrade of the METSAT (space-to-Earth) allocation to primary in the frequency band 460-470 MHz with the use of an appropriate PFD limit to protect incumbent services.</w:t>
            </w:r>
          </w:p>
          <w:p w:rsidR="004B58FE" w:rsidRPr="004B58FE" w:rsidRDefault="004B58FE" w:rsidP="004B58FE">
            <w:pPr>
              <w:rPr>
                <w:szCs w:val="22"/>
              </w:rPr>
            </w:pPr>
          </w:p>
          <w:p w:rsidR="008968BD" w:rsidRPr="00EE4A74" w:rsidRDefault="004B58FE" w:rsidP="004B58FE">
            <w:pPr>
              <w:rPr>
                <w:szCs w:val="22"/>
              </w:rPr>
            </w:pPr>
            <w:r w:rsidRPr="004B58FE">
              <w:rPr>
                <w:szCs w:val="22"/>
              </w:rPr>
              <w:lastRenderedPageBreak/>
              <w:t>WMO also supports creation of a primary allocation to the EESS (space-to-Earth) in the frequency band 460-470 MHz with the use of an appropriate PFD limit to protect incumbent services, while retaining the priority of MetSat over EESS as currently expressed in footnote RR No. 5.289.</w:t>
            </w:r>
          </w:p>
        </w:tc>
        <w:tc>
          <w:tcPr>
            <w:tcW w:w="5670" w:type="dxa"/>
          </w:tcPr>
          <w:p w:rsidR="002C11F9" w:rsidRPr="002C11F9" w:rsidRDefault="008968BD" w:rsidP="002C11F9">
            <w:pPr>
              <w:rPr>
                <w:szCs w:val="22"/>
                <w:lang w:val="en-US"/>
              </w:rPr>
            </w:pPr>
            <w:r w:rsidRPr="00EE4A74">
              <w:rPr>
                <w:szCs w:val="22"/>
              </w:rPr>
              <w:lastRenderedPageBreak/>
              <w:t xml:space="preserve"> </w:t>
            </w:r>
            <w:r w:rsidR="002C11F9" w:rsidRPr="002C11F9">
              <w:rPr>
                <w:rFonts w:hint="eastAsia"/>
                <w:szCs w:val="22"/>
                <w:lang w:val="en-NZ"/>
              </w:rPr>
              <w:t xml:space="preserve">APT </w:t>
            </w:r>
            <w:r w:rsidR="002C11F9" w:rsidRPr="002C11F9">
              <w:rPr>
                <w:szCs w:val="22"/>
                <w:lang w:val="en-NZ"/>
              </w:rPr>
              <w:t>M</w:t>
            </w:r>
            <w:r w:rsidR="002C11F9" w:rsidRPr="002C11F9">
              <w:rPr>
                <w:rFonts w:hint="eastAsia"/>
                <w:szCs w:val="22"/>
                <w:lang w:val="en-NZ"/>
              </w:rPr>
              <w:t xml:space="preserve">embers </w:t>
            </w:r>
            <w:r w:rsidR="002C11F9" w:rsidRPr="002C11F9">
              <w:rPr>
                <w:szCs w:val="22"/>
                <w:lang w:val="en-NZ"/>
              </w:rPr>
              <w:t>support the ITU-R studies in accordance with Resolution</w:t>
            </w:r>
            <w:r w:rsidR="002C11F9" w:rsidRPr="002C11F9">
              <w:rPr>
                <w:b/>
                <w:szCs w:val="22"/>
                <w:lang w:val="en-NZ"/>
              </w:rPr>
              <w:t xml:space="preserve"> 766 (WRC-15)</w:t>
            </w:r>
            <w:r w:rsidR="002C11F9" w:rsidRPr="002C11F9">
              <w:rPr>
                <w:szCs w:val="22"/>
                <w:lang w:val="en-NZ"/>
              </w:rPr>
              <w:t xml:space="preserve"> to conduct and complete, in time for WRC-19, the necessary technical, operational and regulatory studies on </w:t>
            </w:r>
            <w:r w:rsidR="002C11F9" w:rsidRPr="002C11F9">
              <w:rPr>
                <w:szCs w:val="22"/>
                <w:lang w:val="en-US"/>
              </w:rPr>
              <w:t xml:space="preserve">the possibility to upgrade the secondary allocation of the meteorological-satellite service (space-to-Earth) to </w:t>
            </w:r>
            <w:r w:rsidR="002C11F9" w:rsidRPr="002C11F9">
              <w:rPr>
                <w:szCs w:val="22"/>
                <w:lang w:val="en-US"/>
              </w:rPr>
              <w:lastRenderedPageBreak/>
              <w:t>primary status and a primary allocation to the Earth exploration-satellite service (space-to-Earth) in the frequency band 460</w:t>
            </w:r>
            <w:r w:rsidR="002C11F9" w:rsidRPr="002C11F9">
              <w:rPr>
                <w:szCs w:val="22"/>
                <w:lang w:val="en-US"/>
              </w:rPr>
              <w:noBreakHyphen/>
              <w:t>470 </w:t>
            </w:r>
            <w:proofErr w:type="spellStart"/>
            <w:r w:rsidR="002C11F9" w:rsidRPr="002C11F9">
              <w:rPr>
                <w:szCs w:val="22"/>
                <w:lang w:val="en-US"/>
              </w:rPr>
              <w:t>MHz.</w:t>
            </w:r>
            <w:proofErr w:type="spellEnd"/>
            <w:r w:rsidR="002C11F9" w:rsidRPr="002C11F9">
              <w:rPr>
                <w:szCs w:val="22"/>
                <w:lang w:val="en-US"/>
              </w:rPr>
              <w:t xml:space="preserve"> provided that the appropriate measures are taken to ensure the protection of, and also not imposing additional constraints on the existing primary services in the band 460-470 MHz and also in the adjacent bands.</w:t>
            </w:r>
          </w:p>
          <w:p w:rsidR="008968BD" w:rsidRPr="00EE4A74" w:rsidRDefault="008968BD" w:rsidP="00E35257">
            <w:pPr>
              <w:rPr>
                <w:szCs w:val="22"/>
              </w:rPr>
            </w:pPr>
          </w:p>
        </w:tc>
      </w:tr>
      <w:tr w:rsidR="008968BD" w:rsidTr="004466F4">
        <w:tc>
          <w:tcPr>
            <w:tcW w:w="959" w:type="dxa"/>
          </w:tcPr>
          <w:p w:rsidR="00A36A62" w:rsidRDefault="00A36A62" w:rsidP="00A36A62">
            <w:pPr>
              <w:jc w:val="center"/>
              <w:rPr>
                <w:sz w:val="20"/>
              </w:rPr>
            </w:pPr>
            <w:r>
              <w:rPr>
                <w:sz w:val="20"/>
              </w:rPr>
              <w:lastRenderedPageBreak/>
              <w:t>1.6</w:t>
            </w:r>
          </w:p>
          <w:p w:rsidR="00A36A62" w:rsidRDefault="00A36A62" w:rsidP="00A36A62">
            <w:pPr>
              <w:jc w:val="center"/>
              <w:rPr>
                <w:sz w:val="20"/>
              </w:rPr>
            </w:pPr>
          </w:p>
          <w:p w:rsidR="00A36A62" w:rsidRPr="0021066A" w:rsidRDefault="00A36A62" w:rsidP="00A36A62">
            <w:pPr>
              <w:jc w:val="center"/>
              <w:rPr>
                <w:color w:val="FF0000"/>
                <w:sz w:val="16"/>
              </w:rPr>
            </w:pPr>
            <w:proofErr w:type="spellStart"/>
            <w:r w:rsidRPr="0021066A">
              <w:rPr>
                <w:color w:val="FF0000"/>
                <w:sz w:val="16"/>
              </w:rPr>
              <w:t>Resp</w:t>
            </w:r>
            <w:proofErr w:type="spellEnd"/>
          </w:p>
          <w:p w:rsidR="00A36A62" w:rsidRDefault="00A36A62" w:rsidP="00A36A62">
            <w:pPr>
              <w:jc w:val="center"/>
              <w:rPr>
                <w:color w:val="FF0000"/>
                <w:sz w:val="16"/>
                <w:szCs w:val="16"/>
              </w:rPr>
            </w:pPr>
            <w:r w:rsidRPr="003045B7">
              <w:rPr>
                <w:color w:val="FF0000"/>
                <w:sz w:val="16"/>
                <w:szCs w:val="16"/>
              </w:rPr>
              <w:t>WP 4A</w:t>
            </w:r>
          </w:p>
          <w:p w:rsidR="00A36A62" w:rsidRDefault="00A36A62" w:rsidP="00A36A62">
            <w:pPr>
              <w:jc w:val="center"/>
              <w:rPr>
                <w:color w:val="FF0000"/>
                <w:sz w:val="16"/>
                <w:szCs w:val="16"/>
              </w:rPr>
            </w:pPr>
          </w:p>
          <w:p w:rsidR="00A36A62" w:rsidRPr="00B41E47" w:rsidRDefault="00A36A62" w:rsidP="00A36A62">
            <w:pPr>
              <w:jc w:val="center"/>
              <w:rPr>
                <w:bCs/>
                <w:sz w:val="16"/>
                <w:szCs w:val="16"/>
                <w:lang w:val="en-US"/>
              </w:rPr>
            </w:pPr>
            <w:r w:rsidRPr="00B41E47">
              <w:rPr>
                <w:bCs/>
                <w:sz w:val="16"/>
                <w:szCs w:val="16"/>
                <w:lang w:val="en-US"/>
              </w:rPr>
              <w:t>WP 5A</w:t>
            </w:r>
          </w:p>
          <w:p w:rsidR="00A36A62" w:rsidRPr="00B41E47" w:rsidRDefault="00A36A62" w:rsidP="00A36A62">
            <w:pPr>
              <w:jc w:val="center"/>
              <w:rPr>
                <w:bCs/>
                <w:sz w:val="16"/>
                <w:szCs w:val="16"/>
                <w:lang w:val="en-US"/>
              </w:rPr>
            </w:pPr>
            <w:r w:rsidRPr="00B41E47">
              <w:rPr>
                <w:bCs/>
                <w:sz w:val="16"/>
                <w:szCs w:val="16"/>
                <w:lang w:val="en-US"/>
              </w:rPr>
              <w:t>WP 5B</w:t>
            </w:r>
          </w:p>
          <w:p w:rsidR="00A36A62" w:rsidRPr="00B41E47" w:rsidRDefault="00A36A62" w:rsidP="00A36A62">
            <w:pPr>
              <w:jc w:val="center"/>
              <w:rPr>
                <w:bCs/>
                <w:sz w:val="16"/>
                <w:szCs w:val="16"/>
                <w:lang w:val="en-US"/>
              </w:rPr>
            </w:pPr>
            <w:r w:rsidRPr="00B41E47">
              <w:rPr>
                <w:bCs/>
                <w:sz w:val="16"/>
                <w:szCs w:val="16"/>
                <w:lang w:val="en-US"/>
              </w:rPr>
              <w:t>WP 5C</w:t>
            </w:r>
          </w:p>
          <w:p w:rsidR="00A36A62" w:rsidRPr="00B41E47" w:rsidRDefault="00A36A62" w:rsidP="00A36A62">
            <w:pPr>
              <w:jc w:val="center"/>
              <w:rPr>
                <w:bCs/>
                <w:sz w:val="16"/>
                <w:szCs w:val="16"/>
                <w:lang w:val="en-US"/>
              </w:rPr>
            </w:pPr>
            <w:r w:rsidRPr="00B41E47">
              <w:rPr>
                <w:bCs/>
                <w:sz w:val="16"/>
                <w:szCs w:val="16"/>
                <w:lang w:val="en-US"/>
              </w:rPr>
              <w:t>WP 5D</w:t>
            </w:r>
          </w:p>
          <w:p w:rsidR="00A36A62" w:rsidRPr="00B41E47" w:rsidRDefault="00A36A62" w:rsidP="00A36A62">
            <w:pPr>
              <w:jc w:val="center"/>
              <w:rPr>
                <w:bCs/>
                <w:sz w:val="16"/>
                <w:szCs w:val="16"/>
                <w:lang w:val="en-US"/>
              </w:rPr>
            </w:pPr>
            <w:r w:rsidRPr="00B41E47">
              <w:rPr>
                <w:bCs/>
                <w:sz w:val="16"/>
                <w:szCs w:val="16"/>
                <w:lang w:val="en-US"/>
              </w:rPr>
              <w:t>WP 6A</w:t>
            </w:r>
          </w:p>
          <w:p w:rsidR="00A36A62" w:rsidRPr="00B41E47" w:rsidRDefault="00A36A62" w:rsidP="00A36A62">
            <w:pPr>
              <w:jc w:val="center"/>
              <w:rPr>
                <w:bCs/>
                <w:sz w:val="16"/>
                <w:szCs w:val="16"/>
                <w:lang w:val="en-US"/>
              </w:rPr>
            </w:pPr>
            <w:r w:rsidRPr="00B41E47">
              <w:rPr>
                <w:bCs/>
                <w:sz w:val="16"/>
                <w:szCs w:val="16"/>
                <w:lang w:val="en-US"/>
              </w:rPr>
              <w:t>WP 7B</w:t>
            </w:r>
          </w:p>
          <w:p w:rsidR="00A36A62" w:rsidRPr="00B41E47" w:rsidRDefault="00A36A62" w:rsidP="00A36A62">
            <w:pPr>
              <w:jc w:val="center"/>
              <w:rPr>
                <w:sz w:val="16"/>
                <w:szCs w:val="16"/>
                <w:lang w:val="en-US"/>
              </w:rPr>
            </w:pPr>
            <w:r w:rsidRPr="00B41E47">
              <w:rPr>
                <w:bCs/>
                <w:sz w:val="16"/>
                <w:szCs w:val="16"/>
                <w:lang w:val="en-US"/>
              </w:rPr>
              <w:t>WP 7C</w:t>
            </w:r>
          </w:p>
          <w:p w:rsidR="00A36A62" w:rsidRPr="00B41E47" w:rsidRDefault="00A36A62" w:rsidP="00A36A62">
            <w:pPr>
              <w:jc w:val="center"/>
              <w:rPr>
                <w:sz w:val="16"/>
                <w:szCs w:val="16"/>
                <w:lang w:val="en-US"/>
              </w:rPr>
            </w:pPr>
            <w:r w:rsidRPr="00B41E47">
              <w:rPr>
                <w:bCs/>
                <w:sz w:val="16"/>
                <w:szCs w:val="16"/>
                <w:lang w:val="en-US"/>
              </w:rPr>
              <w:t>WP 7D</w:t>
            </w:r>
          </w:p>
          <w:p w:rsidR="00A36A62" w:rsidRPr="00B41E47" w:rsidRDefault="00A36A62" w:rsidP="00A36A62">
            <w:pPr>
              <w:jc w:val="center"/>
              <w:rPr>
                <w:sz w:val="16"/>
                <w:szCs w:val="16"/>
                <w:lang w:val="en-US"/>
              </w:rPr>
            </w:pPr>
            <w:r w:rsidRPr="00B41E47">
              <w:rPr>
                <w:sz w:val="16"/>
                <w:szCs w:val="16"/>
                <w:lang w:val="en-US"/>
              </w:rPr>
              <w:t>(WP 3M)</w:t>
            </w:r>
          </w:p>
          <w:p w:rsidR="008968BD" w:rsidRPr="00EE4A74" w:rsidRDefault="00A36A62" w:rsidP="00A36A62">
            <w:pPr>
              <w:jc w:val="center"/>
              <w:rPr>
                <w:color w:val="000000" w:themeColor="text1"/>
                <w:szCs w:val="22"/>
              </w:rPr>
            </w:pPr>
            <w:r w:rsidRPr="00B41E47">
              <w:rPr>
                <w:sz w:val="16"/>
                <w:szCs w:val="16"/>
                <w:lang w:val="en-US"/>
              </w:rPr>
              <w:t>(WP 4B)</w:t>
            </w:r>
          </w:p>
        </w:tc>
        <w:tc>
          <w:tcPr>
            <w:tcW w:w="4111" w:type="dxa"/>
          </w:tcPr>
          <w:p w:rsidR="008968BD" w:rsidRPr="00EE4A74" w:rsidRDefault="00A36A62" w:rsidP="00E35257">
            <w:pPr>
              <w:tabs>
                <w:tab w:val="left" w:pos="3480"/>
              </w:tabs>
              <w:rPr>
                <w:szCs w:val="22"/>
              </w:rPr>
            </w:pPr>
            <w:r w:rsidRPr="00A36A62">
              <w:rPr>
                <w:szCs w:val="22"/>
              </w:rPr>
              <w:t>to consider the development of a regulatory framework for non-GSO FSS satellite systems that may operate in the frequency bands 37.5-39.5 GHz (space-to-Earth), 39.5 42.5 GHz (space-to-Earth), 47.2-50.2 GHz (Earth-to-space) and 50.4-51.4 GHz (Earth-to-space), in accordance with Resolution 159 [COM6/18] (WRC 15)</w:t>
            </w:r>
          </w:p>
        </w:tc>
        <w:tc>
          <w:tcPr>
            <w:tcW w:w="4677" w:type="dxa"/>
          </w:tcPr>
          <w:p w:rsidR="00A36A62" w:rsidRPr="00A36A62" w:rsidRDefault="00A36A62" w:rsidP="00A36A62">
            <w:pPr>
              <w:rPr>
                <w:szCs w:val="22"/>
              </w:rPr>
            </w:pPr>
            <w:r w:rsidRPr="00A36A62">
              <w:rPr>
                <w:szCs w:val="22"/>
              </w:rPr>
              <w:t>WMO supports the development of a regulatory framework (including revisions to Resolution 750 (Rev.WRC-15) for non-GSO FSS satellite systems in the 37.5-51.4 GHz range provided that protection of EESS (Earth-to-space) in the band 40-40.5 GHz and EESS (passive) in the bands 36-37 GHz and 50.2-50.4 GHz is ensured by including appropriate unwanted emission limits in Resolution 750 (rev. WRC-15).</w:t>
            </w:r>
          </w:p>
          <w:p w:rsidR="00A36A62" w:rsidRPr="00A36A62" w:rsidRDefault="00A36A62" w:rsidP="00A36A62">
            <w:pPr>
              <w:rPr>
                <w:szCs w:val="22"/>
              </w:rPr>
            </w:pPr>
          </w:p>
          <w:p w:rsidR="008968BD" w:rsidRPr="00EE4A74" w:rsidRDefault="00A36A62" w:rsidP="00A36A62">
            <w:pPr>
              <w:rPr>
                <w:szCs w:val="22"/>
              </w:rPr>
            </w:pPr>
            <w:r w:rsidRPr="00A36A62">
              <w:rPr>
                <w:szCs w:val="22"/>
              </w:rPr>
              <w:t>WMO would appreciate the development of a solution to ensure the effective operation of the ground-based radiometers in the 50.4-51.4 GHz frequency band.</w:t>
            </w:r>
          </w:p>
        </w:tc>
        <w:tc>
          <w:tcPr>
            <w:tcW w:w="5670" w:type="dxa"/>
          </w:tcPr>
          <w:p w:rsidR="002C11F9" w:rsidRPr="005E0198" w:rsidRDefault="002C11F9" w:rsidP="002C11F9">
            <w:pPr>
              <w:rPr>
                <w:color w:val="E36C0A" w:themeColor="accent6" w:themeShade="BF"/>
                <w:szCs w:val="22"/>
                <w:lang w:val="en-NZ"/>
              </w:rPr>
            </w:pPr>
            <w:r w:rsidRPr="005E0198">
              <w:rPr>
                <w:color w:val="E36C0A" w:themeColor="accent6" w:themeShade="BF"/>
                <w:szCs w:val="22"/>
                <w:lang w:val="en-US"/>
              </w:rPr>
              <w:t>APT Members support studies on technical and operational issues and regulatory provisions of non-GSO FSS satellite systems in the frequency bands 37.5- 39.5 GHz (space-to-Earth), 39.5 - 42.5 GHz (space to Earth), 47.2 - 50.2 GHz (Earth-to-space) and 50.4 - 51.4 GHz (Earth-to-space)</w:t>
            </w:r>
            <w:r w:rsidRPr="005E0198">
              <w:rPr>
                <w:color w:val="E36C0A" w:themeColor="accent6" w:themeShade="BF"/>
                <w:szCs w:val="22"/>
                <w:lang w:val="id-ID"/>
              </w:rPr>
              <w:t xml:space="preserve"> while </w:t>
            </w:r>
            <w:proofErr w:type="spellStart"/>
            <w:r w:rsidRPr="005E0198">
              <w:rPr>
                <w:color w:val="E36C0A" w:themeColor="accent6" w:themeShade="BF"/>
                <w:szCs w:val="22"/>
                <w:lang w:val="en-US"/>
              </w:rPr>
              <w:t>ensur</w:t>
            </w:r>
            <w:proofErr w:type="spellEnd"/>
            <w:r w:rsidRPr="005E0198">
              <w:rPr>
                <w:color w:val="E36C0A" w:themeColor="accent6" w:themeShade="BF"/>
                <w:szCs w:val="22"/>
                <w:lang w:val="id-ID"/>
              </w:rPr>
              <w:t>ing</w:t>
            </w:r>
            <w:r w:rsidRPr="005E0198">
              <w:rPr>
                <w:color w:val="E36C0A" w:themeColor="accent6" w:themeShade="BF"/>
                <w:szCs w:val="22"/>
                <w:lang w:val="en-US"/>
              </w:rPr>
              <w:t xml:space="preserve"> protection to GSO satellite networks in FSS, MSS and BSS, and other existing services in the same bands as well as </w:t>
            </w:r>
            <w:r w:rsidRPr="005E0198">
              <w:rPr>
                <w:color w:val="E36C0A" w:themeColor="accent6" w:themeShade="BF"/>
                <w:szCs w:val="22"/>
                <w:lang w:val="en-NZ"/>
              </w:rPr>
              <w:t>protection of the EESS (passive) in the frequency bands 36-37 GHz and 50.2-50.4 GHz and the radio astronomy in the frequency bands 42.5-43.5 GHz, 48.94-49.04 GHz and 51.4-54.25 GHz.</w:t>
            </w:r>
          </w:p>
          <w:p w:rsidR="008968BD" w:rsidRPr="00EE4A74" w:rsidRDefault="008968BD" w:rsidP="00E35257">
            <w:pPr>
              <w:rPr>
                <w:szCs w:val="22"/>
              </w:rPr>
            </w:pPr>
          </w:p>
          <w:p w:rsidR="008968BD" w:rsidRPr="00EE4A74" w:rsidRDefault="008968BD" w:rsidP="00E35257">
            <w:pPr>
              <w:rPr>
                <w:szCs w:val="22"/>
              </w:rPr>
            </w:pPr>
          </w:p>
          <w:p w:rsidR="008968BD" w:rsidRPr="00EE4A74" w:rsidRDefault="008968BD" w:rsidP="00E35257">
            <w:pPr>
              <w:rPr>
                <w:szCs w:val="22"/>
              </w:rPr>
            </w:pPr>
          </w:p>
          <w:p w:rsidR="008968BD" w:rsidRPr="00EE4A74" w:rsidRDefault="008968BD" w:rsidP="00E35257">
            <w:pPr>
              <w:rPr>
                <w:szCs w:val="22"/>
              </w:rPr>
            </w:pPr>
          </w:p>
          <w:p w:rsidR="008968BD" w:rsidRPr="00EE4A74" w:rsidRDefault="008968BD" w:rsidP="00E35257">
            <w:pPr>
              <w:rPr>
                <w:szCs w:val="22"/>
              </w:rPr>
            </w:pPr>
          </w:p>
          <w:p w:rsidR="008968BD" w:rsidRPr="00EE4A74" w:rsidRDefault="008968BD" w:rsidP="00E35257">
            <w:pPr>
              <w:rPr>
                <w:szCs w:val="22"/>
              </w:rPr>
            </w:pPr>
          </w:p>
          <w:p w:rsidR="008968BD" w:rsidRPr="00EE4A74" w:rsidRDefault="008968BD" w:rsidP="00E35257">
            <w:pPr>
              <w:rPr>
                <w:szCs w:val="22"/>
              </w:rPr>
            </w:pPr>
          </w:p>
        </w:tc>
      </w:tr>
      <w:tr w:rsidR="008968BD" w:rsidTr="004466F4">
        <w:tc>
          <w:tcPr>
            <w:tcW w:w="959" w:type="dxa"/>
          </w:tcPr>
          <w:p w:rsidR="00872093" w:rsidRDefault="00872093" w:rsidP="00872093">
            <w:pPr>
              <w:jc w:val="center"/>
              <w:rPr>
                <w:sz w:val="20"/>
              </w:rPr>
            </w:pPr>
            <w:r w:rsidRPr="006338AA">
              <w:rPr>
                <w:sz w:val="20"/>
              </w:rPr>
              <w:t>1.</w:t>
            </w:r>
            <w:r>
              <w:rPr>
                <w:sz w:val="20"/>
              </w:rPr>
              <w:t>7</w:t>
            </w:r>
          </w:p>
          <w:p w:rsidR="00872093" w:rsidRDefault="00872093" w:rsidP="00872093">
            <w:pPr>
              <w:jc w:val="center"/>
              <w:rPr>
                <w:sz w:val="20"/>
              </w:rPr>
            </w:pPr>
          </w:p>
          <w:p w:rsidR="00872093" w:rsidRPr="0021066A" w:rsidRDefault="00872093" w:rsidP="00872093">
            <w:pPr>
              <w:jc w:val="center"/>
              <w:rPr>
                <w:color w:val="FF0000"/>
                <w:sz w:val="16"/>
              </w:rPr>
            </w:pPr>
            <w:proofErr w:type="spellStart"/>
            <w:r w:rsidRPr="0021066A">
              <w:rPr>
                <w:color w:val="FF0000"/>
                <w:sz w:val="16"/>
              </w:rPr>
              <w:t>Resp</w:t>
            </w:r>
            <w:proofErr w:type="spellEnd"/>
          </w:p>
          <w:p w:rsidR="00872093" w:rsidRDefault="00872093" w:rsidP="00872093">
            <w:pPr>
              <w:jc w:val="center"/>
              <w:rPr>
                <w:color w:val="FF0000"/>
                <w:sz w:val="16"/>
                <w:szCs w:val="16"/>
              </w:rPr>
            </w:pPr>
            <w:r w:rsidRPr="00EF3F20">
              <w:rPr>
                <w:color w:val="FF0000"/>
                <w:sz w:val="16"/>
                <w:szCs w:val="16"/>
              </w:rPr>
              <w:t>WP 7B</w:t>
            </w:r>
          </w:p>
          <w:p w:rsidR="00872093" w:rsidRDefault="00872093" w:rsidP="00872093">
            <w:pPr>
              <w:jc w:val="center"/>
              <w:rPr>
                <w:color w:val="FF0000"/>
                <w:sz w:val="16"/>
                <w:szCs w:val="16"/>
              </w:rPr>
            </w:pP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4A</w:t>
            </w: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4C</w:t>
            </w: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5A</w:t>
            </w: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5B</w:t>
            </w: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5C</w:t>
            </w:r>
          </w:p>
          <w:p w:rsidR="00872093" w:rsidRPr="00B41E47" w:rsidRDefault="00872093" w:rsidP="00872093">
            <w:pPr>
              <w:jc w:val="center"/>
              <w:rPr>
                <w:bCs/>
                <w:color w:val="000000" w:themeColor="text1"/>
                <w:sz w:val="16"/>
                <w:szCs w:val="16"/>
                <w:lang w:val="en-US"/>
              </w:rPr>
            </w:pPr>
            <w:r w:rsidRPr="00B41E47">
              <w:rPr>
                <w:bCs/>
                <w:color w:val="000000" w:themeColor="text1"/>
                <w:sz w:val="16"/>
                <w:szCs w:val="16"/>
                <w:lang w:val="en-US"/>
              </w:rPr>
              <w:t>WP 6A</w:t>
            </w:r>
          </w:p>
          <w:p w:rsidR="00872093" w:rsidRPr="00B41E47" w:rsidRDefault="00872093" w:rsidP="00872093">
            <w:pPr>
              <w:jc w:val="center"/>
              <w:rPr>
                <w:color w:val="000000" w:themeColor="text1"/>
                <w:sz w:val="16"/>
                <w:szCs w:val="16"/>
                <w:lang w:val="en-US"/>
              </w:rPr>
            </w:pPr>
            <w:r w:rsidRPr="00B41E47">
              <w:rPr>
                <w:bCs/>
                <w:color w:val="000000" w:themeColor="text1"/>
                <w:sz w:val="16"/>
                <w:szCs w:val="16"/>
                <w:lang w:val="en-US"/>
              </w:rPr>
              <w:t>WP 7C</w:t>
            </w:r>
          </w:p>
          <w:p w:rsidR="00872093" w:rsidRPr="00B41E47" w:rsidRDefault="00872093" w:rsidP="00872093">
            <w:pPr>
              <w:jc w:val="center"/>
              <w:rPr>
                <w:color w:val="000000" w:themeColor="text1"/>
                <w:sz w:val="16"/>
                <w:szCs w:val="16"/>
                <w:lang w:val="en-US"/>
              </w:rPr>
            </w:pPr>
            <w:r w:rsidRPr="00B41E47">
              <w:rPr>
                <w:bCs/>
                <w:color w:val="000000" w:themeColor="text1"/>
                <w:sz w:val="16"/>
                <w:szCs w:val="16"/>
                <w:lang w:val="en-US"/>
              </w:rPr>
              <w:t>WP 7D</w:t>
            </w:r>
            <w:r w:rsidRPr="00B41E47">
              <w:rPr>
                <w:color w:val="000000" w:themeColor="text1"/>
                <w:sz w:val="16"/>
                <w:szCs w:val="16"/>
                <w:lang w:val="en-US"/>
              </w:rPr>
              <w:t xml:space="preserve"> </w:t>
            </w:r>
          </w:p>
          <w:p w:rsidR="00872093" w:rsidRPr="00B41E47" w:rsidRDefault="00872093" w:rsidP="00872093">
            <w:pPr>
              <w:jc w:val="center"/>
              <w:rPr>
                <w:color w:val="000000" w:themeColor="text1"/>
                <w:sz w:val="16"/>
                <w:szCs w:val="16"/>
                <w:lang w:val="en-US"/>
              </w:rPr>
            </w:pPr>
            <w:r w:rsidRPr="00B41E47">
              <w:rPr>
                <w:color w:val="000000" w:themeColor="text1"/>
                <w:sz w:val="16"/>
                <w:szCs w:val="16"/>
                <w:lang w:val="en-US"/>
              </w:rPr>
              <w:t>(WP 1A)</w:t>
            </w:r>
          </w:p>
          <w:p w:rsidR="00872093" w:rsidRPr="00B41E47" w:rsidRDefault="00872093" w:rsidP="00872093">
            <w:pPr>
              <w:jc w:val="center"/>
              <w:rPr>
                <w:color w:val="000000" w:themeColor="text1"/>
                <w:sz w:val="16"/>
                <w:szCs w:val="16"/>
                <w:lang w:val="en-US"/>
              </w:rPr>
            </w:pPr>
            <w:r w:rsidRPr="00B41E47">
              <w:rPr>
                <w:color w:val="000000" w:themeColor="text1"/>
                <w:sz w:val="16"/>
                <w:szCs w:val="16"/>
                <w:lang w:val="en-US"/>
              </w:rPr>
              <w:t>(WP 3M)</w:t>
            </w:r>
          </w:p>
          <w:p w:rsidR="008968BD" w:rsidRPr="00EE4A74" w:rsidRDefault="00872093" w:rsidP="00872093">
            <w:pPr>
              <w:jc w:val="center"/>
              <w:rPr>
                <w:color w:val="000000" w:themeColor="text1"/>
                <w:szCs w:val="22"/>
              </w:rPr>
            </w:pPr>
            <w:r w:rsidRPr="00B41E47">
              <w:rPr>
                <w:color w:val="000000" w:themeColor="text1"/>
                <w:sz w:val="16"/>
                <w:szCs w:val="16"/>
                <w:lang w:val="en-US"/>
              </w:rPr>
              <w:t>(WP 4B)</w:t>
            </w:r>
          </w:p>
        </w:tc>
        <w:tc>
          <w:tcPr>
            <w:tcW w:w="4111" w:type="dxa"/>
          </w:tcPr>
          <w:p w:rsidR="008968BD" w:rsidRPr="00EE4A74" w:rsidRDefault="00872093" w:rsidP="00E35257">
            <w:pPr>
              <w:rPr>
                <w:szCs w:val="22"/>
              </w:rPr>
            </w:pPr>
            <w:r w:rsidRPr="00872093">
              <w:rPr>
                <w:szCs w:val="22"/>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[COM6/19] (WRC 15)</w:t>
            </w:r>
          </w:p>
        </w:tc>
        <w:tc>
          <w:tcPr>
            <w:tcW w:w="4677" w:type="dxa"/>
          </w:tcPr>
          <w:p w:rsidR="008968BD" w:rsidRPr="00EE4A74" w:rsidRDefault="00044982" w:rsidP="00E35257">
            <w:pPr>
              <w:rPr>
                <w:b/>
                <w:bCs/>
                <w:szCs w:val="22"/>
              </w:rPr>
            </w:pPr>
            <w:r w:rsidRPr="00044982">
              <w:rPr>
                <w:bCs/>
                <w:szCs w:val="22"/>
              </w:rPr>
              <w:t>WMO emphasises that the frequency band 400.15 – 406 MHz is the key band for radiosondes and DCS worldwide operations and is concerned about its consideration under this agenda item.</w:t>
            </w:r>
          </w:p>
        </w:tc>
        <w:tc>
          <w:tcPr>
            <w:tcW w:w="5670" w:type="dxa"/>
          </w:tcPr>
          <w:p w:rsidR="00D97460" w:rsidRPr="00D97460" w:rsidRDefault="008968BD" w:rsidP="00D97460">
            <w:pPr>
              <w:rPr>
                <w:bCs/>
                <w:szCs w:val="22"/>
                <w:lang w:val="en-NZ"/>
              </w:rPr>
            </w:pPr>
            <w:r w:rsidRPr="00EE4A74">
              <w:rPr>
                <w:bCs/>
                <w:szCs w:val="22"/>
              </w:rPr>
              <w:t xml:space="preserve"> </w:t>
            </w:r>
            <w:r w:rsidR="00D97460" w:rsidRPr="00D97460">
              <w:rPr>
                <w:bCs/>
                <w:szCs w:val="22"/>
                <w:lang w:val="en-NZ"/>
              </w:rPr>
              <w:t>APT Members are of the view that:</w:t>
            </w:r>
          </w:p>
          <w:p w:rsidR="00D97460" w:rsidRPr="00D97460" w:rsidRDefault="00D97460" w:rsidP="00B42432">
            <w:pPr>
              <w:numPr>
                <w:ilvl w:val="0"/>
                <w:numId w:val="11"/>
              </w:numPr>
              <w:rPr>
                <w:bCs/>
                <w:szCs w:val="22"/>
                <w:lang w:val="en-NZ"/>
              </w:rPr>
            </w:pPr>
            <w:r w:rsidRPr="00D97460">
              <w:rPr>
                <w:bCs/>
                <w:szCs w:val="22"/>
                <w:lang w:val="en-NZ"/>
              </w:rPr>
              <w:t xml:space="preserve">ITU-R studies should be continued in accordance with Resolution </w:t>
            </w:r>
            <w:r w:rsidRPr="00D97460">
              <w:rPr>
                <w:b/>
                <w:bCs/>
                <w:szCs w:val="22"/>
                <w:lang w:val="en-NZ"/>
              </w:rPr>
              <w:t>659</w:t>
            </w:r>
            <w:r w:rsidRPr="00D97460">
              <w:rPr>
                <w:bCs/>
                <w:szCs w:val="22"/>
                <w:lang w:val="en-NZ"/>
              </w:rPr>
              <w:t xml:space="preserve"> (</w:t>
            </w:r>
            <w:r w:rsidRPr="00D97460">
              <w:rPr>
                <w:b/>
                <w:bCs/>
                <w:szCs w:val="22"/>
                <w:lang w:val="en-NZ"/>
              </w:rPr>
              <w:t>WRC-15</w:t>
            </w:r>
            <w:r w:rsidRPr="00D97460">
              <w:rPr>
                <w:bCs/>
                <w:szCs w:val="22"/>
                <w:lang w:val="en-NZ"/>
              </w:rPr>
              <w:t>).</w:t>
            </w:r>
          </w:p>
          <w:p w:rsidR="00D97460" w:rsidRPr="00D97460" w:rsidRDefault="00D97460" w:rsidP="00B42432">
            <w:pPr>
              <w:numPr>
                <w:ilvl w:val="0"/>
                <w:numId w:val="11"/>
              </w:numPr>
              <w:rPr>
                <w:bCs/>
                <w:szCs w:val="22"/>
                <w:lang w:val="en-NZ"/>
              </w:rPr>
            </w:pPr>
            <w:r w:rsidRPr="00D97460">
              <w:rPr>
                <w:bCs/>
                <w:szCs w:val="22"/>
                <w:lang w:val="en-NZ"/>
              </w:rPr>
              <w:t>Protection of existing services is necessary and any new allocations or upgrades of existing allocations to the space operation service could be applied without any constraint to the incumbent services and their future development.</w:t>
            </w:r>
          </w:p>
          <w:p w:rsidR="00D97460" w:rsidRPr="00D97460" w:rsidRDefault="00D97460" w:rsidP="00B42432">
            <w:pPr>
              <w:numPr>
                <w:ilvl w:val="0"/>
                <w:numId w:val="11"/>
              </w:numPr>
              <w:rPr>
                <w:bCs/>
                <w:szCs w:val="22"/>
                <w:lang w:val="en-NZ"/>
              </w:rPr>
            </w:pPr>
            <w:r w:rsidRPr="00D97460">
              <w:rPr>
                <w:bCs/>
                <w:szCs w:val="22"/>
                <w:lang w:val="en-NZ"/>
              </w:rPr>
              <w:t>The following frequency ranges should not be considered:</w:t>
            </w:r>
          </w:p>
          <w:p w:rsidR="00D97460" w:rsidRPr="00D97460" w:rsidRDefault="00D97460" w:rsidP="00B42432">
            <w:pPr>
              <w:numPr>
                <w:ilvl w:val="0"/>
                <w:numId w:val="12"/>
              </w:numPr>
              <w:rPr>
                <w:bCs/>
                <w:szCs w:val="22"/>
                <w:lang w:val="en-NZ"/>
              </w:rPr>
            </w:pPr>
            <w:r w:rsidRPr="00D97460">
              <w:rPr>
                <w:bCs/>
                <w:szCs w:val="22"/>
                <w:lang w:val="en-NZ"/>
              </w:rPr>
              <w:t xml:space="preserve">Maritime mobile VHF radiocommunication in the frequency ranges 156-157.45 MHz, 160.6-160.975 MHz and 161.475-162.05 MHz, in accordance with RR No. </w:t>
            </w:r>
            <w:r w:rsidRPr="00D97460">
              <w:rPr>
                <w:b/>
                <w:bCs/>
                <w:szCs w:val="22"/>
                <w:lang w:val="en-NZ"/>
              </w:rPr>
              <w:t>5.226</w:t>
            </w:r>
            <w:r w:rsidRPr="00D97460">
              <w:rPr>
                <w:bCs/>
                <w:szCs w:val="22"/>
                <w:lang w:val="en-NZ"/>
              </w:rPr>
              <w:t xml:space="preserve"> and Appendix </w:t>
            </w:r>
            <w:r w:rsidRPr="00D97460">
              <w:rPr>
                <w:b/>
                <w:bCs/>
                <w:szCs w:val="22"/>
                <w:lang w:val="en-NZ"/>
              </w:rPr>
              <w:t xml:space="preserve">18 </w:t>
            </w:r>
            <w:r w:rsidRPr="00D97460">
              <w:rPr>
                <w:bCs/>
                <w:szCs w:val="22"/>
                <w:lang w:val="en-NZ"/>
              </w:rPr>
              <w:t>(</w:t>
            </w:r>
            <w:r w:rsidRPr="00D97460">
              <w:rPr>
                <w:b/>
                <w:bCs/>
                <w:szCs w:val="22"/>
                <w:lang w:val="en-NZ"/>
              </w:rPr>
              <w:t>Rev. WRC-15</w:t>
            </w:r>
            <w:r w:rsidRPr="00D97460">
              <w:rPr>
                <w:bCs/>
                <w:szCs w:val="22"/>
                <w:lang w:val="en-NZ"/>
              </w:rPr>
              <w:t>)</w:t>
            </w:r>
            <w:r w:rsidRPr="00D97460">
              <w:rPr>
                <w:b/>
                <w:bCs/>
                <w:szCs w:val="22"/>
                <w:lang w:val="en-NZ"/>
              </w:rPr>
              <w:t>.</w:t>
            </w:r>
            <w:r w:rsidRPr="00D97460">
              <w:rPr>
                <w:bCs/>
                <w:szCs w:val="22"/>
                <w:lang w:val="en-NZ"/>
              </w:rPr>
              <w:t xml:space="preserve"> </w:t>
            </w:r>
          </w:p>
          <w:p w:rsidR="00D97460" w:rsidRPr="00D97460" w:rsidRDefault="00D97460" w:rsidP="00B42432">
            <w:pPr>
              <w:numPr>
                <w:ilvl w:val="0"/>
                <w:numId w:val="12"/>
              </w:numPr>
              <w:rPr>
                <w:bCs/>
                <w:szCs w:val="22"/>
                <w:lang w:val="en-NZ"/>
              </w:rPr>
            </w:pPr>
            <w:r w:rsidRPr="00D97460">
              <w:rPr>
                <w:bCs/>
                <w:szCs w:val="22"/>
                <w:lang w:val="en-NZ"/>
              </w:rPr>
              <w:t xml:space="preserve">The frequency range 406-406.1 MHz that is dedicated for satellite emergency position-indicating radio beacons, in accordance with Resolution </w:t>
            </w:r>
            <w:r w:rsidRPr="00D97460">
              <w:rPr>
                <w:b/>
                <w:bCs/>
                <w:szCs w:val="22"/>
                <w:lang w:val="en-NZ"/>
              </w:rPr>
              <w:t xml:space="preserve">205 </w:t>
            </w:r>
            <w:r w:rsidRPr="00D97460">
              <w:rPr>
                <w:bCs/>
                <w:szCs w:val="22"/>
                <w:lang w:val="en-NZ"/>
              </w:rPr>
              <w:t>(</w:t>
            </w:r>
            <w:r w:rsidRPr="00D97460">
              <w:rPr>
                <w:b/>
                <w:bCs/>
                <w:szCs w:val="22"/>
                <w:lang w:val="en-NZ"/>
              </w:rPr>
              <w:t>Rev. WRC-15</w:t>
            </w:r>
            <w:r w:rsidRPr="00D97460">
              <w:rPr>
                <w:bCs/>
                <w:szCs w:val="22"/>
                <w:lang w:val="en-NZ"/>
              </w:rPr>
              <w:t>); and</w:t>
            </w:r>
          </w:p>
          <w:p w:rsidR="00D97460" w:rsidRPr="00D97460" w:rsidRDefault="00D97460" w:rsidP="00B42432">
            <w:pPr>
              <w:numPr>
                <w:ilvl w:val="0"/>
                <w:numId w:val="12"/>
              </w:numPr>
              <w:rPr>
                <w:bCs/>
                <w:szCs w:val="22"/>
                <w:lang w:val="en-NZ"/>
              </w:rPr>
            </w:pPr>
            <w:r w:rsidRPr="00D97460">
              <w:rPr>
                <w:bCs/>
                <w:szCs w:val="22"/>
                <w:lang w:val="en-NZ"/>
              </w:rPr>
              <w:t>Frequency bands used by Global Maritime Distress and Safety System (GMDSS) included</w:t>
            </w:r>
            <w:r w:rsidRPr="00D97460">
              <w:rPr>
                <w:rFonts w:hint="eastAsia"/>
                <w:bCs/>
                <w:szCs w:val="22"/>
                <w:lang w:val="en-NZ"/>
              </w:rPr>
              <w:t xml:space="preserve"> </w:t>
            </w:r>
            <w:r w:rsidRPr="00D97460">
              <w:rPr>
                <w:bCs/>
                <w:szCs w:val="22"/>
                <w:lang w:val="en-NZ"/>
              </w:rPr>
              <w:t xml:space="preserve">in Appendix </w:t>
            </w:r>
            <w:r w:rsidRPr="00D97460">
              <w:rPr>
                <w:b/>
                <w:bCs/>
                <w:szCs w:val="22"/>
                <w:lang w:val="en-NZ"/>
              </w:rPr>
              <w:t>15</w:t>
            </w:r>
            <w:r w:rsidRPr="00D97460">
              <w:rPr>
                <w:bCs/>
                <w:szCs w:val="22"/>
                <w:lang w:val="en-NZ"/>
              </w:rPr>
              <w:t xml:space="preserve"> of RR.</w:t>
            </w:r>
          </w:p>
          <w:p w:rsidR="008968BD" w:rsidRPr="00EE4A74" w:rsidRDefault="008968BD" w:rsidP="00E35257">
            <w:pPr>
              <w:rPr>
                <w:bCs/>
                <w:szCs w:val="22"/>
                <w:lang w:val="en-AU"/>
              </w:rPr>
            </w:pPr>
          </w:p>
        </w:tc>
      </w:tr>
      <w:tr w:rsidR="008968BD" w:rsidTr="004466F4">
        <w:tc>
          <w:tcPr>
            <w:tcW w:w="959" w:type="dxa"/>
          </w:tcPr>
          <w:p w:rsidR="00293947" w:rsidRDefault="00293947" w:rsidP="00293947">
            <w:pPr>
              <w:jc w:val="center"/>
              <w:rPr>
                <w:sz w:val="20"/>
              </w:rPr>
            </w:pPr>
            <w:r w:rsidRPr="006338AA">
              <w:rPr>
                <w:sz w:val="20"/>
              </w:rPr>
              <w:t>1.1</w:t>
            </w:r>
            <w:r>
              <w:rPr>
                <w:sz w:val="20"/>
              </w:rPr>
              <w:t>3</w:t>
            </w:r>
          </w:p>
          <w:p w:rsidR="00293947" w:rsidRDefault="00293947" w:rsidP="00293947">
            <w:pPr>
              <w:jc w:val="center"/>
              <w:rPr>
                <w:sz w:val="20"/>
              </w:rPr>
            </w:pPr>
          </w:p>
          <w:p w:rsidR="00293947" w:rsidRPr="0021066A" w:rsidRDefault="00293947" w:rsidP="00293947">
            <w:pPr>
              <w:jc w:val="center"/>
              <w:rPr>
                <w:color w:val="FF0000"/>
                <w:sz w:val="16"/>
              </w:rPr>
            </w:pPr>
            <w:proofErr w:type="spellStart"/>
            <w:r w:rsidRPr="0021066A">
              <w:rPr>
                <w:color w:val="FF0000"/>
                <w:sz w:val="16"/>
              </w:rPr>
              <w:t>Resp</w:t>
            </w:r>
            <w:proofErr w:type="spellEnd"/>
          </w:p>
          <w:p w:rsidR="00293947" w:rsidRDefault="00293947" w:rsidP="00293947">
            <w:pPr>
              <w:jc w:val="center"/>
              <w:rPr>
                <w:color w:val="FF0000"/>
                <w:sz w:val="16"/>
                <w:szCs w:val="16"/>
              </w:rPr>
            </w:pPr>
            <w:r w:rsidRPr="00161DE1">
              <w:rPr>
                <w:color w:val="FF0000"/>
                <w:sz w:val="16"/>
                <w:szCs w:val="16"/>
              </w:rPr>
              <w:t>TG 5/1</w:t>
            </w:r>
          </w:p>
          <w:p w:rsidR="00293947" w:rsidRDefault="00293947" w:rsidP="00293947">
            <w:pPr>
              <w:jc w:val="center"/>
              <w:rPr>
                <w:color w:val="FF0000"/>
                <w:sz w:val="16"/>
                <w:szCs w:val="16"/>
              </w:rPr>
            </w:pP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3J</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WP3K</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3M</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4A</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4B</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4C</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5A</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5B</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5C</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5D</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6A</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7B</w:t>
            </w:r>
          </w:p>
          <w:p w:rsidR="00293947" w:rsidRPr="00B41E47" w:rsidRDefault="00293947" w:rsidP="00293947">
            <w:pPr>
              <w:jc w:val="center"/>
              <w:rPr>
                <w:bCs/>
                <w:color w:val="000000" w:themeColor="text1"/>
                <w:sz w:val="16"/>
                <w:szCs w:val="16"/>
                <w:lang w:val="en-US"/>
              </w:rPr>
            </w:pPr>
            <w:r w:rsidRPr="00B41E47">
              <w:rPr>
                <w:bCs/>
                <w:color w:val="000000" w:themeColor="text1"/>
                <w:sz w:val="16"/>
                <w:szCs w:val="16"/>
                <w:lang w:val="en-US"/>
              </w:rPr>
              <w:t>WP 7C</w:t>
            </w:r>
          </w:p>
          <w:p w:rsidR="008968BD" w:rsidRPr="00EE4A74" w:rsidRDefault="00293947" w:rsidP="00293947">
            <w:pPr>
              <w:jc w:val="center"/>
              <w:rPr>
                <w:color w:val="000000" w:themeColor="text1"/>
                <w:szCs w:val="22"/>
              </w:rPr>
            </w:pPr>
            <w:r w:rsidRPr="00B41E47">
              <w:rPr>
                <w:bCs/>
                <w:color w:val="000000" w:themeColor="text1"/>
                <w:sz w:val="16"/>
                <w:szCs w:val="16"/>
                <w:lang w:val="en-US"/>
              </w:rPr>
              <w:t>WP 7D</w:t>
            </w:r>
          </w:p>
        </w:tc>
        <w:tc>
          <w:tcPr>
            <w:tcW w:w="4111" w:type="dxa"/>
          </w:tcPr>
          <w:p w:rsidR="008968BD" w:rsidRPr="00EE4A74" w:rsidRDefault="00293947" w:rsidP="00E35257">
            <w:pPr>
              <w:rPr>
                <w:szCs w:val="22"/>
              </w:rPr>
            </w:pPr>
            <w:r w:rsidRPr="00293947">
              <w:rPr>
                <w:szCs w:val="22"/>
              </w:rPr>
              <w:t>to consider identification of frequency bands for the future development of International Mobile Telecommunications (IMT), including possible additional allocations to the mobile service on a primary basis, in accordance with Resolution 238 [COM6/20] (WRC 15);</w:t>
            </w:r>
          </w:p>
        </w:tc>
        <w:tc>
          <w:tcPr>
            <w:tcW w:w="4677" w:type="dxa"/>
          </w:tcPr>
          <w:p w:rsidR="000B711E" w:rsidRPr="000B711E" w:rsidRDefault="000B711E" w:rsidP="000B711E">
            <w:pPr>
              <w:rPr>
                <w:szCs w:val="22"/>
              </w:rPr>
            </w:pPr>
            <w:r w:rsidRPr="000B711E">
              <w:rPr>
                <w:szCs w:val="22"/>
              </w:rPr>
              <w:t xml:space="preserve">WMO supports the need to conduct studies under Agenda Item 1.13.  WMO does not oppose new IMT 5G identification/allocations provided that protection of ISS, EESS (Earth-to-space and space-to-Earth) and EESS (passive) is ensured and that guarantees are given on the long-term usage and future deployment of receiving EESS earth stations (in particular in the 25.5-27 GHz band). </w:t>
            </w:r>
          </w:p>
          <w:p w:rsidR="000B711E" w:rsidRPr="000B711E" w:rsidRDefault="000B711E" w:rsidP="000B711E">
            <w:pPr>
              <w:rPr>
                <w:szCs w:val="22"/>
              </w:rPr>
            </w:pPr>
          </w:p>
          <w:p w:rsidR="000B711E" w:rsidRPr="000B711E" w:rsidRDefault="000B711E" w:rsidP="000B711E">
            <w:pPr>
              <w:rPr>
                <w:szCs w:val="22"/>
              </w:rPr>
            </w:pPr>
            <w:r w:rsidRPr="000B711E">
              <w:rPr>
                <w:szCs w:val="22"/>
              </w:rPr>
              <w:t>The protection of EESS (passive) would require appropriate unwanted emission limits in Resolution 750 (rev. WRC-15).</w:t>
            </w:r>
          </w:p>
          <w:p w:rsidR="000B711E" w:rsidRPr="000B711E" w:rsidRDefault="000B711E" w:rsidP="000B711E">
            <w:pPr>
              <w:rPr>
                <w:szCs w:val="22"/>
              </w:rPr>
            </w:pPr>
          </w:p>
          <w:p w:rsidR="008968BD" w:rsidRPr="00EE4A74" w:rsidRDefault="000B711E" w:rsidP="000B711E">
            <w:pPr>
              <w:rPr>
                <w:szCs w:val="22"/>
              </w:rPr>
            </w:pPr>
            <w:r w:rsidRPr="000B711E">
              <w:rPr>
                <w:szCs w:val="22"/>
              </w:rPr>
              <w:t>Furthermore, WMO would appreciate the development of a solution to ensure the effective operation of the ground-based radiometers in the 22-28 GHz and 50.4-51.4 GHz frequency bands.</w:t>
            </w:r>
          </w:p>
        </w:tc>
        <w:tc>
          <w:tcPr>
            <w:tcW w:w="5670" w:type="dxa"/>
          </w:tcPr>
          <w:p w:rsidR="002D1559" w:rsidRDefault="002D1559" w:rsidP="002D1559">
            <w:pPr>
              <w:rPr>
                <w:szCs w:val="22"/>
              </w:rPr>
            </w:pPr>
            <w:r w:rsidRPr="002D1559">
              <w:rPr>
                <w:szCs w:val="22"/>
              </w:rPr>
              <w:t xml:space="preserve">APT Members support the consideration of additional frequency bands for International Mobile Telecommunications (IMT), including possible additional mobile allocations on a primary basis, in accordance with Resolution </w:t>
            </w:r>
            <w:r w:rsidRPr="002D1559">
              <w:rPr>
                <w:b/>
                <w:szCs w:val="22"/>
              </w:rPr>
              <w:t>238 (WRC-15)</w:t>
            </w:r>
            <w:r w:rsidRPr="002D1559">
              <w:rPr>
                <w:szCs w:val="22"/>
              </w:rPr>
              <w:t>.</w:t>
            </w:r>
          </w:p>
          <w:p w:rsidR="002D1559" w:rsidRPr="002D1559" w:rsidRDefault="002D1559" w:rsidP="002D1559">
            <w:pPr>
              <w:rPr>
                <w:szCs w:val="22"/>
              </w:rPr>
            </w:pPr>
          </w:p>
          <w:p w:rsidR="002D1559" w:rsidRPr="002D1559" w:rsidRDefault="002D1559" w:rsidP="002D1559">
            <w:pPr>
              <w:rPr>
                <w:szCs w:val="22"/>
              </w:rPr>
            </w:pPr>
            <w:r w:rsidRPr="002D1559">
              <w:rPr>
                <w:szCs w:val="22"/>
              </w:rPr>
              <w:t xml:space="preserve">APT Members also support ITU-R studies on spectrum needs for the terrestrial component of IMT and sharing and compatibility studies in accordance with Resolution </w:t>
            </w:r>
            <w:r w:rsidRPr="002D1559">
              <w:rPr>
                <w:b/>
                <w:szCs w:val="22"/>
              </w:rPr>
              <w:t>238 (WRC-15)</w:t>
            </w:r>
            <w:r w:rsidRPr="002D1559">
              <w:rPr>
                <w:szCs w:val="22"/>
              </w:rPr>
              <w:t>. It is important for these sharing and compatibility studies to take into account protection of services to which the band is allocated on a primary basis.</w:t>
            </w:r>
          </w:p>
          <w:p w:rsidR="008968BD" w:rsidRPr="00EE4A74" w:rsidRDefault="008968BD" w:rsidP="00E35257">
            <w:pPr>
              <w:rPr>
                <w:szCs w:val="22"/>
              </w:rPr>
            </w:pPr>
          </w:p>
        </w:tc>
      </w:tr>
      <w:tr w:rsidR="008968BD" w:rsidTr="004466F4">
        <w:tc>
          <w:tcPr>
            <w:tcW w:w="959" w:type="dxa"/>
          </w:tcPr>
          <w:p w:rsidR="000F18D5" w:rsidRPr="000F18D5" w:rsidRDefault="000F18D5" w:rsidP="000F18D5">
            <w:pPr>
              <w:jc w:val="center"/>
              <w:rPr>
                <w:sz w:val="20"/>
              </w:rPr>
            </w:pPr>
            <w:r w:rsidRPr="000F18D5">
              <w:rPr>
                <w:sz w:val="20"/>
              </w:rPr>
              <w:t>1.14</w:t>
            </w:r>
          </w:p>
          <w:p w:rsidR="000F18D5" w:rsidRPr="000F18D5" w:rsidRDefault="000F18D5" w:rsidP="000F18D5">
            <w:pPr>
              <w:jc w:val="center"/>
              <w:rPr>
                <w:sz w:val="20"/>
              </w:rPr>
            </w:pPr>
          </w:p>
          <w:p w:rsidR="000F18D5" w:rsidRPr="000F18D5" w:rsidRDefault="000F18D5" w:rsidP="000F18D5">
            <w:pPr>
              <w:jc w:val="center"/>
              <w:rPr>
                <w:color w:val="FF0000"/>
                <w:sz w:val="16"/>
              </w:rPr>
            </w:pPr>
            <w:proofErr w:type="spellStart"/>
            <w:r w:rsidRPr="000F18D5">
              <w:rPr>
                <w:color w:val="FF0000"/>
                <w:sz w:val="16"/>
              </w:rPr>
              <w:t>Resp</w:t>
            </w:r>
            <w:proofErr w:type="spellEnd"/>
          </w:p>
          <w:p w:rsidR="000F18D5" w:rsidRPr="000F18D5" w:rsidRDefault="000F18D5" w:rsidP="000F18D5">
            <w:pPr>
              <w:jc w:val="center"/>
              <w:rPr>
                <w:color w:val="FF0000"/>
                <w:sz w:val="16"/>
                <w:szCs w:val="16"/>
              </w:rPr>
            </w:pPr>
            <w:r w:rsidRPr="000F18D5">
              <w:rPr>
                <w:color w:val="FF0000"/>
                <w:sz w:val="16"/>
                <w:szCs w:val="16"/>
              </w:rPr>
              <w:t>WP 5C</w:t>
            </w:r>
          </w:p>
          <w:p w:rsidR="000F18D5" w:rsidRPr="000F18D5" w:rsidRDefault="000F18D5" w:rsidP="000F18D5">
            <w:pPr>
              <w:jc w:val="center"/>
              <w:rPr>
                <w:color w:val="FF0000"/>
                <w:sz w:val="16"/>
                <w:szCs w:val="16"/>
              </w:rPr>
            </w:pP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4A</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4C</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5A</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5D</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7B</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bCs/>
                <w:sz w:val="16"/>
                <w:szCs w:val="16"/>
              </w:rPr>
              <w:t>WP 7C</w:t>
            </w:r>
          </w:p>
          <w:p w:rsidR="000F18D5" w:rsidRPr="000F18D5" w:rsidRDefault="000F18D5" w:rsidP="000F18D5">
            <w:pPr>
              <w:pStyle w:val="Tabletext"/>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jc w:val="center"/>
              <w:rPr>
                <w:rFonts w:ascii="Arial" w:hAnsi="Arial" w:cs="Arial"/>
                <w:bCs/>
                <w:sz w:val="16"/>
                <w:szCs w:val="16"/>
              </w:rPr>
            </w:pPr>
            <w:r w:rsidRPr="000F18D5">
              <w:rPr>
                <w:rFonts w:ascii="Arial" w:hAnsi="Arial" w:cs="Arial"/>
                <w:sz w:val="16"/>
                <w:szCs w:val="16"/>
              </w:rPr>
              <w:t>(WP 3M)</w:t>
            </w:r>
          </w:p>
          <w:p w:rsidR="008968BD" w:rsidRPr="00EE4A74" w:rsidRDefault="000F18D5" w:rsidP="000F18D5">
            <w:pPr>
              <w:jc w:val="center"/>
              <w:rPr>
                <w:color w:val="000000" w:themeColor="text1"/>
                <w:szCs w:val="22"/>
              </w:rPr>
            </w:pPr>
            <w:r w:rsidRPr="000F18D5">
              <w:rPr>
                <w:sz w:val="16"/>
                <w:szCs w:val="16"/>
              </w:rPr>
              <w:t>(WP 7D)</w:t>
            </w:r>
          </w:p>
        </w:tc>
        <w:tc>
          <w:tcPr>
            <w:tcW w:w="4111" w:type="dxa"/>
          </w:tcPr>
          <w:p w:rsidR="008968BD" w:rsidRPr="00EE4A74" w:rsidRDefault="00361850" w:rsidP="00E35257">
            <w:pPr>
              <w:tabs>
                <w:tab w:val="left" w:pos="1755"/>
              </w:tabs>
              <w:rPr>
                <w:szCs w:val="22"/>
              </w:rPr>
            </w:pPr>
            <w:r w:rsidRPr="00361850">
              <w:rPr>
                <w:szCs w:val="22"/>
              </w:rPr>
              <w:t>to consider, on the basis of ITU R studies in accordance with Resolution 160 [COM6/21] (WRC 15), appropriate regulatory actions for high-altitude platform stations (HAPS), within existing fixed-service allocations</w:t>
            </w:r>
          </w:p>
        </w:tc>
        <w:tc>
          <w:tcPr>
            <w:tcW w:w="4677" w:type="dxa"/>
          </w:tcPr>
          <w:p w:rsidR="00361850" w:rsidRPr="00361850" w:rsidRDefault="00361850" w:rsidP="00361850">
            <w:pPr>
              <w:rPr>
                <w:szCs w:val="22"/>
              </w:rPr>
            </w:pPr>
            <w:r w:rsidRPr="00361850">
              <w:rPr>
                <w:szCs w:val="22"/>
              </w:rPr>
              <w:t xml:space="preserve">WMO does not oppose new HAPS band identifications provided that studies show a need for identification of additional spectrum for HAPS and that protection of ISS, EESS (space-to-Earth), and EESS (passive) is ensured and that guarantees are given on the long-term usage and future deployment of receiving EESS earth stations (in particular in the 25.5-27 GHz band). </w:t>
            </w:r>
          </w:p>
          <w:p w:rsidR="00361850" w:rsidRPr="00361850" w:rsidRDefault="00361850" w:rsidP="00361850">
            <w:pPr>
              <w:rPr>
                <w:szCs w:val="22"/>
              </w:rPr>
            </w:pPr>
          </w:p>
          <w:p w:rsidR="00361850" w:rsidRPr="00361850" w:rsidRDefault="00361850" w:rsidP="00361850">
            <w:pPr>
              <w:rPr>
                <w:szCs w:val="22"/>
              </w:rPr>
            </w:pPr>
            <w:r w:rsidRPr="00361850">
              <w:rPr>
                <w:szCs w:val="22"/>
              </w:rPr>
              <w:t>The protection of EESS (passive) would require appropriate unwanted emission limits in Resolution 750 (rev. WRC-15).</w:t>
            </w:r>
          </w:p>
          <w:p w:rsidR="00361850" w:rsidRPr="00361850" w:rsidRDefault="00361850" w:rsidP="00361850">
            <w:pPr>
              <w:rPr>
                <w:szCs w:val="22"/>
              </w:rPr>
            </w:pPr>
          </w:p>
          <w:p w:rsidR="008968BD" w:rsidRPr="00EE4A74" w:rsidRDefault="00361850" w:rsidP="00361850">
            <w:pPr>
              <w:rPr>
                <w:szCs w:val="22"/>
              </w:rPr>
            </w:pPr>
            <w:r w:rsidRPr="00361850">
              <w:rPr>
                <w:szCs w:val="22"/>
              </w:rPr>
              <w:t>Furthermore, WMO would appreciate the development of a solution to ensure the effective operation of the ground-based radiometers in the 22-28 GHz frequency band.</w:t>
            </w:r>
          </w:p>
        </w:tc>
        <w:tc>
          <w:tcPr>
            <w:tcW w:w="5670" w:type="dxa"/>
          </w:tcPr>
          <w:p w:rsidR="002D1559" w:rsidRPr="002D1559" w:rsidRDefault="002D1559" w:rsidP="00B42432">
            <w:pPr>
              <w:numPr>
                <w:ilvl w:val="0"/>
                <w:numId w:val="13"/>
              </w:numPr>
              <w:rPr>
                <w:szCs w:val="22"/>
                <w:lang w:val="en-US"/>
              </w:rPr>
            </w:pPr>
            <w:r w:rsidRPr="002D1559">
              <w:rPr>
                <w:szCs w:val="22"/>
                <w:lang w:val="en-US"/>
              </w:rPr>
              <w:t>APT Members support the ITU-R studies undertaken in accordance with Resolution 160 (WRC-15) to study spectrum needs for High Altitude Platform Stations (HAPS), taking into account existing frequency bands that have already been identified for HAPS in the Radio Regulations and appropriate regulatory actions.</w:t>
            </w:r>
          </w:p>
          <w:p w:rsidR="002D1559" w:rsidRPr="002D1559" w:rsidRDefault="002D1559" w:rsidP="00B42432">
            <w:pPr>
              <w:numPr>
                <w:ilvl w:val="0"/>
                <w:numId w:val="13"/>
              </w:numPr>
              <w:rPr>
                <w:szCs w:val="22"/>
                <w:lang w:val="en-US"/>
              </w:rPr>
            </w:pPr>
            <w:r w:rsidRPr="002D1559">
              <w:rPr>
                <w:szCs w:val="22"/>
                <w:lang w:val="en-US"/>
              </w:rPr>
              <w:t>APT Members also support sharing and compatibility studies between HAPS and other services to ensure protection of services to which frequency bands are allocated without any constraint to these services in accordance with Resolution 160 (WRC-15).</w:t>
            </w:r>
          </w:p>
          <w:p w:rsidR="008968BD" w:rsidRPr="00EE4A74" w:rsidRDefault="008968BD" w:rsidP="00361850">
            <w:pPr>
              <w:rPr>
                <w:szCs w:val="22"/>
              </w:rPr>
            </w:pPr>
          </w:p>
        </w:tc>
      </w:tr>
      <w:tr w:rsidR="008968BD" w:rsidTr="004466F4">
        <w:tc>
          <w:tcPr>
            <w:tcW w:w="959" w:type="dxa"/>
          </w:tcPr>
          <w:p w:rsidR="00361850" w:rsidRDefault="00361850" w:rsidP="00361850">
            <w:pPr>
              <w:jc w:val="center"/>
              <w:rPr>
                <w:sz w:val="20"/>
              </w:rPr>
            </w:pPr>
            <w:r>
              <w:rPr>
                <w:sz w:val="20"/>
              </w:rPr>
              <w:t>1.15</w:t>
            </w:r>
          </w:p>
          <w:p w:rsidR="00361850" w:rsidRDefault="00361850" w:rsidP="00361850">
            <w:pPr>
              <w:jc w:val="center"/>
              <w:rPr>
                <w:sz w:val="20"/>
              </w:rPr>
            </w:pPr>
          </w:p>
          <w:p w:rsidR="00361850" w:rsidRPr="0021066A" w:rsidRDefault="00361850" w:rsidP="00361850">
            <w:pPr>
              <w:jc w:val="center"/>
              <w:rPr>
                <w:color w:val="FF0000"/>
                <w:sz w:val="16"/>
              </w:rPr>
            </w:pPr>
            <w:proofErr w:type="spellStart"/>
            <w:r w:rsidRPr="0021066A">
              <w:rPr>
                <w:color w:val="FF0000"/>
                <w:sz w:val="16"/>
              </w:rPr>
              <w:t>Resp</w:t>
            </w:r>
            <w:proofErr w:type="spellEnd"/>
          </w:p>
          <w:p w:rsidR="00361850" w:rsidRDefault="00361850" w:rsidP="00361850">
            <w:pPr>
              <w:jc w:val="center"/>
              <w:rPr>
                <w:color w:val="FF0000"/>
                <w:sz w:val="16"/>
                <w:szCs w:val="16"/>
              </w:rPr>
            </w:pPr>
            <w:r w:rsidRPr="002D172B">
              <w:rPr>
                <w:color w:val="FF0000"/>
                <w:sz w:val="16"/>
                <w:szCs w:val="16"/>
              </w:rPr>
              <w:t>WP 1A</w:t>
            </w:r>
          </w:p>
          <w:p w:rsidR="00361850" w:rsidRDefault="00361850" w:rsidP="00361850">
            <w:pPr>
              <w:jc w:val="center"/>
              <w:rPr>
                <w:color w:val="FF0000"/>
                <w:sz w:val="16"/>
                <w:szCs w:val="16"/>
              </w:rPr>
            </w:pPr>
          </w:p>
          <w:p w:rsidR="00361850" w:rsidRPr="002D25CC" w:rsidRDefault="00361850" w:rsidP="00361850">
            <w:pPr>
              <w:jc w:val="center"/>
              <w:rPr>
                <w:bCs/>
                <w:sz w:val="16"/>
                <w:szCs w:val="16"/>
                <w:lang w:val="en-US"/>
              </w:rPr>
            </w:pPr>
            <w:r w:rsidRPr="002D25CC">
              <w:rPr>
                <w:bCs/>
                <w:sz w:val="16"/>
                <w:szCs w:val="16"/>
                <w:lang w:val="en-US"/>
              </w:rPr>
              <w:t>WP 3J</w:t>
            </w:r>
            <w:r w:rsidRPr="002D25CC">
              <w:rPr>
                <w:bCs/>
                <w:sz w:val="16"/>
                <w:szCs w:val="16"/>
                <w:lang w:val="en-US"/>
              </w:rPr>
              <w:br/>
              <w:t>WP 3K</w:t>
            </w:r>
            <w:r w:rsidRPr="002D25CC">
              <w:rPr>
                <w:bCs/>
                <w:sz w:val="16"/>
                <w:szCs w:val="16"/>
                <w:lang w:val="en-US"/>
              </w:rPr>
              <w:br/>
              <w:t>WP 3M</w:t>
            </w:r>
            <w:r w:rsidRPr="002D25CC">
              <w:rPr>
                <w:bCs/>
                <w:sz w:val="16"/>
                <w:szCs w:val="16"/>
                <w:lang w:val="en-US"/>
              </w:rPr>
              <w:br/>
            </w:r>
          </w:p>
          <w:p w:rsidR="00361850" w:rsidRPr="002D25CC" w:rsidRDefault="00361850" w:rsidP="00361850">
            <w:pPr>
              <w:jc w:val="center"/>
              <w:rPr>
                <w:bCs/>
                <w:sz w:val="16"/>
                <w:szCs w:val="16"/>
                <w:lang w:val="en-US"/>
              </w:rPr>
            </w:pPr>
            <w:r w:rsidRPr="002D25CC">
              <w:rPr>
                <w:bCs/>
                <w:sz w:val="16"/>
                <w:szCs w:val="16"/>
                <w:lang w:val="en-US"/>
              </w:rPr>
              <w:t>WP 5A</w:t>
            </w:r>
            <w:r w:rsidRPr="002D25CC">
              <w:rPr>
                <w:bCs/>
                <w:sz w:val="16"/>
                <w:szCs w:val="16"/>
                <w:lang w:val="en-US"/>
              </w:rPr>
              <w:br/>
              <w:t>WP 5C</w:t>
            </w:r>
            <w:r w:rsidRPr="002D25CC">
              <w:rPr>
                <w:bCs/>
                <w:sz w:val="16"/>
                <w:szCs w:val="16"/>
                <w:lang w:val="en-US"/>
              </w:rPr>
              <w:br/>
            </w:r>
          </w:p>
          <w:p w:rsidR="00361850" w:rsidRPr="002D25CC" w:rsidRDefault="00361850" w:rsidP="00361850">
            <w:pPr>
              <w:jc w:val="center"/>
              <w:rPr>
                <w:bCs/>
                <w:sz w:val="16"/>
                <w:szCs w:val="16"/>
                <w:lang w:val="en-US"/>
              </w:rPr>
            </w:pPr>
            <w:r w:rsidRPr="002D25CC">
              <w:rPr>
                <w:bCs/>
                <w:sz w:val="16"/>
                <w:szCs w:val="16"/>
                <w:lang w:val="en-US"/>
              </w:rPr>
              <w:t>WP 7C</w:t>
            </w:r>
            <w:r w:rsidRPr="002D25CC">
              <w:rPr>
                <w:bCs/>
                <w:sz w:val="16"/>
                <w:szCs w:val="16"/>
                <w:lang w:val="en-US"/>
              </w:rPr>
              <w:br/>
              <w:t>WP 7D</w:t>
            </w:r>
            <w:r w:rsidRPr="002D25CC">
              <w:rPr>
                <w:bCs/>
                <w:sz w:val="16"/>
                <w:szCs w:val="16"/>
                <w:lang w:val="en-US"/>
              </w:rPr>
              <w:br/>
            </w:r>
          </w:p>
          <w:p w:rsidR="00361850" w:rsidRPr="002D25CC" w:rsidRDefault="00361850" w:rsidP="00361850">
            <w:pPr>
              <w:jc w:val="center"/>
              <w:rPr>
                <w:sz w:val="16"/>
                <w:szCs w:val="16"/>
                <w:lang w:val="en-US"/>
              </w:rPr>
            </w:pPr>
            <w:r w:rsidRPr="002D25CC">
              <w:rPr>
                <w:sz w:val="16"/>
                <w:szCs w:val="16"/>
                <w:lang w:val="en-US"/>
              </w:rPr>
              <w:t>(WP 4A)</w:t>
            </w:r>
          </w:p>
          <w:p w:rsidR="00361850" w:rsidRPr="002D25CC" w:rsidRDefault="00361850" w:rsidP="00361850">
            <w:pPr>
              <w:jc w:val="center"/>
              <w:rPr>
                <w:sz w:val="16"/>
                <w:szCs w:val="16"/>
                <w:lang w:val="en-US"/>
              </w:rPr>
            </w:pPr>
            <w:r w:rsidRPr="002D25CC">
              <w:rPr>
                <w:sz w:val="16"/>
                <w:szCs w:val="16"/>
                <w:lang w:val="en-US"/>
              </w:rPr>
              <w:t xml:space="preserve">(WP 5D) </w:t>
            </w:r>
          </w:p>
          <w:p w:rsidR="008968BD" w:rsidRPr="00EE4A74" w:rsidRDefault="00361850" w:rsidP="00361850">
            <w:pPr>
              <w:jc w:val="center"/>
              <w:rPr>
                <w:color w:val="000000" w:themeColor="text1"/>
                <w:szCs w:val="22"/>
              </w:rPr>
            </w:pPr>
            <w:r w:rsidRPr="002D25CC">
              <w:rPr>
                <w:sz w:val="16"/>
                <w:szCs w:val="16"/>
                <w:lang w:val="en-US"/>
              </w:rPr>
              <w:t>(WP 6A)</w:t>
            </w:r>
          </w:p>
        </w:tc>
        <w:tc>
          <w:tcPr>
            <w:tcW w:w="4111" w:type="dxa"/>
          </w:tcPr>
          <w:p w:rsidR="008968BD" w:rsidRPr="00EE4A74" w:rsidRDefault="00361850" w:rsidP="00E35257">
            <w:pPr>
              <w:rPr>
                <w:bCs/>
                <w:szCs w:val="22"/>
              </w:rPr>
            </w:pPr>
            <w:r w:rsidRPr="00361850">
              <w:rPr>
                <w:bCs/>
                <w:szCs w:val="22"/>
              </w:rPr>
              <w:t>to consider identification of frequency bands for use by administrations for the land-mobile and fixed services applications operating in the frequency range 275 450 GHz, in accordance with Resolution 767 [COM6/14] (WRC 15)</w:t>
            </w:r>
          </w:p>
        </w:tc>
        <w:tc>
          <w:tcPr>
            <w:tcW w:w="4677" w:type="dxa"/>
          </w:tcPr>
          <w:p w:rsidR="0050151E" w:rsidRPr="0050151E" w:rsidRDefault="0050151E" w:rsidP="0050151E">
            <w:pPr>
              <w:rPr>
                <w:szCs w:val="22"/>
              </w:rPr>
            </w:pPr>
            <w:r w:rsidRPr="0050151E">
              <w:rPr>
                <w:szCs w:val="22"/>
              </w:rPr>
              <w:t xml:space="preserve">WMO does not oppose the identification of land-mobile and fixed services in the 275-450 GHz band provided that protection of EESS (passive) is ensured and the identification is consistent with footnote RR No. 5.565. </w:t>
            </w:r>
          </w:p>
          <w:p w:rsidR="0050151E" w:rsidRPr="0050151E" w:rsidRDefault="0050151E" w:rsidP="0050151E">
            <w:pPr>
              <w:rPr>
                <w:szCs w:val="22"/>
              </w:rPr>
            </w:pPr>
          </w:p>
          <w:p w:rsidR="008968BD" w:rsidRPr="00EE4A74" w:rsidRDefault="0050151E" w:rsidP="0050151E">
            <w:pPr>
              <w:rPr>
                <w:szCs w:val="22"/>
              </w:rPr>
            </w:pPr>
            <w:r w:rsidRPr="0050151E">
              <w:rPr>
                <w:szCs w:val="22"/>
              </w:rPr>
              <w:t>If allocations for active service are envisaged, the same approach would have to be applied to passive service.</w:t>
            </w:r>
          </w:p>
        </w:tc>
        <w:tc>
          <w:tcPr>
            <w:tcW w:w="5670" w:type="dxa"/>
          </w:tcPr>
          <w:p w:rsidR="00E36DFF" w:rsidRPr="005E0198" w:rsidRDefault="00E36DFF" w:rsidP="00E36DFF">
            <w:pPr>
              <w:rPr>
                <w:color w:val="E36C0A" w:themeColor="accent6" w:themeShade="BF"/>
                <w:szCs w:val="22"/>
                <w:lang w:val="en-NZ"/>
              </w:rPr>
            </w:pPr>
            <w:r w:rsidRPr="005E0198">
              <w:rPr>
                <w:color w:val="E36C0A" w:themeColor="accent6" w:themeShade="BF"/>
                <w:szCs w:val="22"/>
                <w:lang w:val="en-NZ"/>
              </w:rPr>
              <w:t xml:space="preserve">APT Members support the ITU-R studies to consider identification of </w:t>
            </w:r>
            <w:r w:rsidRPr="005E0198">
              <w:rPr>
                <w:color w:val="E36C0A" w:themeColor="accent6" w:themeShade="BF"/>
                <w:szCs w:val="22"/>
                <w:lang w:val="en-US"/>
              </w:rPr>
              <w:t>frequency bands for use by the land-mobile and fixed service applications operating in the frequency range 275-450 GHz, provided that the protection of passive services identified in No.</w:t>
            </w:r>
            <w:r w:rsidRPr="005E0198">
              <w:rPr>
                <w:b/>
                <w:color w:val="E36C0A" w:themeColor="accent6" w:themeShade="BF"/>
                <w:szCs w:val="22"/>
                <w:lang w:val="en-US"/>
              </w:rPr>
              <w:t>5.565</w:t>
            </w:r>
            <w:r w:rsidRPr="005E0198">
              <w:rPr>
                <w:color w:val="E36C0A" w:themeColor="accent6" w:themeShade="BF"/>
                <w:szCs w:val="22"/>
                <w:lang w:val="en-US"/>
              </w:rPr>
              <w:t xml:space="preserve"> is ensured.</w:t>
            </w:r>
          </w:p>
          <w:p w:rsidR="008968BD" w:rsidRPr="00EE4A74" w:rsidRDefault="008968BD" w:rsidP="00E35257">
            <w:pPr>
              <w:rPr>
                <w:szCs w:val="22"/>
              </w:rPr>
            </w:pPr>
          </w:p>
        </w:tc>
      </w:tr>
      <w:tr w:rsidR="008968BD" w:rsidTr="004466F4">
        <w:tc>
          <w:tcPr>
            <w:tcW w:w="959" w:type="dxa"/>
          </w:tcPr>
          <w:p w:rsidR="0061527F" w:rsidRDefault="0061527F" w:rsidP="0061527F">
            <w:pPr>
              <w:jc w:val="center"/>
              <w:rPr>
                <w:sz w:val="20"/>
              </w:rPr>
            </w:pPr>
            <w:r>
              <w:rPr>
                <w:sz w:val="20"/>
              </w:rPr>
              <w:t>1.16</w:t>
            </w:r>
          </w:p>
          <w:p w:rsidR="0061527F" w:rsidRDefault="0061527F" w:rsidP="0061527F">
            <w:pPr>
              <w:jc w:val="center"/>
              <w:rPr>
                <w:sz w:val="20"/>
              </w:rPr>
            </w:pPr>
          </w:p>
          <w:p w:rsidR="0061527F" w:rsidRPr="0021066A" w:rsidRDefault="0061527F" w:rsidP="0061527F">
            <w:pPr>
              <w:jc w:val="center"/>
              <w:rPr>
                <w:color w:val="FF0000"/>
                <w:sz w:val="16"/>
              </w:rPr>
            </w:pPr>
            <w:proofErr w:type="spellStart"/>
            <w:r w:rsidRPr="0021066A">
              <w:rPr>
                <w:color w:val="FF0000"/>
                <w:sz w:val="16"/>
              </w:rPr>
              <w:t>Resp</w:t>
            </w:r>
            <w:proofErr w:type="spellEnd"/>
          </w:p>
          <w:p w:rsidR="0061527F" w:rsidRDefault="0061527F" w:rsidP="0061527F">
            <w:pPr>
              <w:jc w:val="center"/>
              <w:rPr>
                <w:color w:val="FF0000"/>
                <w:sz w:val="16"/>
                <w:szCs w:val="16"/>
              </w:rPr>
            </w:pPr>
            <w:r w:rsidRPr="006C570F">
              <w:rPr>
                <w:color w:val="FF0000"/>
                <w:sz w:val="16"/>
                <w:szCs w:val="16"/>
              </w:rPr>
              <w:t>WP 5A</w:t>
            </w:r>
          </w:p>
          <w:p w:rsidR="0061527F" w:rsidRDefault="0061527F" w:rsidP="0061527F">
            <w:pPr>
              <w:jc w:val="center"/>
              <w:rPr>
                <w:color w:val="FF0000"/>
                <w:sz w:val="16"/>
                <w:szCs w:val="16"/>
              </w:rPr>
            </w:pPr>
          </w:p>
          <w:p w:rsidR="0061527F" w:rsidRPr="00B4289A" w:rsidRDefault="0061527F" w:rsidP="0061527F">
            <w:pPr>
              <w:jc w:val="center"/>
              <w:rPr>
                <w:bCs/>
                <w:sz w:val="16"/>
                <w:szCs w:val="16"/>
                <w:lang w:val="en-US"/>
              </w:rPr>
            </w:pPr>
            <w:r w:rsidRPr="00B4289A">
              <w:rPr>
                <w:bCs/>
                <w:sz w:val="16"/>
                <w:szCs w:val="16"/>
                <w:lang w:val="en-US"/>
              </w:rPr>
              <w:t>WP 4A</w:t>
            </w:r>
          </w:p>
          <w:p w:rsidR="0061527F" w:rsidRPr="00B4289A" w:rsidRDefault="0061527F" w:rsidP="0061527F">
            <w:pPr>
              <w:jc w:val="center"/>
              <w:rPr>
                <w:bCs/>
                <w:sz w:val="16"/>
                <w:szCs w:val="16"/>
                <w:lang w:val="en-US"/>
              </w:rPr>
            </w:pPr>
            <w:r w:rsidRPr="00B4289A">
              <w:rPr>
                <w:bCs/>
                <w:sz w:val="16"/>
                <w:szCs w:val="16"/>
                <w:lang w:val="en-US"/>
              </w:rPr>
              <w:t>WP 4C</w:t>
            </w:r>
          </w:p>
          <w:p w:rsidR="0061527F" w:rsidRPr="00B4289A" w:rsidRDefault="0061527F" w:rsidP="0061527F">
            <w:pPr>
              <w:jc w:val="center"/>
              <w:rPr>
                <w:bCs/>
                <w:sz w:val="16"/>
                <w:szCs w:val="16"/>
                <w:lang w:val="en-US"/>
              </w:rPr>
            </w:pPr>
            <w:r w:rsidRPr="00B4289A">
              <w:rPr>
                <w:bCs/>
                <w:sz w:val="16"/>
                <w:szCs w:val="16"/>
                <w:lang w:val="en-US"/>
              </w:rPr>
              <w:t>WP 5B</w:t>
            </w:r>
          </w:p>
          <w:p w:rsidR="0061527F" w:rsidRPr="00B4289A" w:rsidRDefault="0061527F" w:rsidP="0061527F">
            <w:pPr>
              <w:jc w:val="center"/>
              <w:rPr>
                <w:bCs/>
                <w:sz w:val="16"/>
                <w:szCs w:val="16"/>
                <w:lang w:val="en-US"/>
              </w:rPr>
            </w:pPr>
            <w:r w:rsidRPr="00B4289A">
              <w:rPr>
                <w:bCs/>
                <w:sz w:val="16"/>
                <w:szCs w:val="16"/>
                <w:lang w:val="en-US"/>
              </w:rPr>
              <w:t>WP 5C</w:t>
            </w:r>
          </w:p>
          <w:p w:rsidR="0061527F" w:rsidRPr="00B4289A" w:rsidRDefault="0061527F" w:rsidP="0061527F">
            <w:pPr>
              <w:jc w:val="center"/>
              <w:rPr>
                <w:sz w:val="16"/>
                <w:szCs w:val="16"/>
                <w:lang w:val="en-US"/>
              </w:rPr>
            </w:pPr>
            <w:r w:rsidRPr="00B4289A">
              <w:rPr>
                <w:bCs/>
                <w:sz w:val="16"/>
                <w:szCs w:val="16"/>
                <w:lang w:val="en-US"/>
              </w:rPr>
              <w:t>WP 7C</w:t>
            </w:r>
          </w:p>
          <w:p w:rsidR="0061527F" w:rsidRPr="00B4289A" w:rsidRDefault="0061527F" w:rsidP="0061527F">
            <w:pPr>
              <w:jc w:val="center"/>
              <w:rPr>
                <w:sz w:val="16"/>
                <w:szCs w:val="16"/>
                <w:lang w:val="en-US"/>
              </w:rPr>
            </w:pPr>
            <w:r w:rsidRPr="00B4289A">
              <w:rPr>
                <w:sz w:val="16"/>
                <w:szCs w:val="16"/>
                <w:lang w:val="en-US"/>
              </w:rPr>
              <w:t>(WP 1B)</w:t>
            </w:r>
          </w:p>
          <w:p w:rsidR="0061527F" w:rsidRPr="00B4289A" w:rsidRDefault="0061527F" w:rsidP="0061527F">
            <w:pPr>
              <w:jc w:val="center"/>
              <w:rPr>
                <w:sz w:val="16"/>
                <w:szCs w:val="16"/>
                <w:lang w:val="en-US"/>
              </w:rPr>
            </w:pPr>
            <w:r w:rsidRPr="00B4289A">
              <w:rPr>
                <w:sz w:val="16"/>
                <w:szCs w:val="16"/>
                <w:lang w:val="en-US"/>
              </w:rPr>
              <w:t>(WP 3J)</w:t>
            </w:r>
          </w:p>
          <w:p w:rsidR="0061527F" w:rsidRPr="00B4289A" w:rsidRDefault="0061527F" w:rsidP="0061527F">
            <w:pPr>
              <w:jc w:val="center"/>
              <w:rPr>
                <w:sz w:val="16"/>
                <w:szCs w:val="16"/>
                <w:lang w:val="en-US"/>
              </w:rPr>
            </w:pPr>
            <w:r w:rsidRPr="00B4289A">
              <w:rPr>
                <w:sz w:val="16"/>
                <w:szCs w:val="16"/>
                <w:lang w:val="en-US"/>
              </w:rPr>
              <w:t>(WP 3K)</w:t>
            </w:r>
          </w:p>
          <w:p w:rsidR="0061527F" w:rsidRPr="00B4289A" w:rsidRDefault="0061527F" w:rsidP="0061527F">
            <w:pPr>
              <w:jc w:val="center"/>
              <w:rPr>
                <w:sz w:val="16"/>
                <w:szCs w:val="16"/>
                <w:lang w:val="en-US"/>
              </w:rPr>
            </w:pPr>
            <w:r w:rsidRPr="00B4289A">
              <w:rPr>
                <w:sz w:val="16"/>
                <w:szCs w:val="16"/>
                <w:lang w:val="en-US"/>
              </w:rPr>
              <w:t>(WP 3M)</w:t>
            </w:r>
          </w:p>
          <w:p w:rsidR="008968BD" w:rsidRPr="00EE4A74" w:rsidRDefault="0061527F" w:rsidP="0061527F">
            <w:pPr>
              <w:jc w:val="center"/>
              <w:rPr>
                <w:color w:val="000000" w:themeColor="text1"/>
                <w:szCs w:val="22"/>
              </w:rPr>
            </w:pPr>
            <w:r w:rsidRPr="00B4289A">
              <w:rPr>
                <w:sz w:val="16"/>
                <w:szCs w:val="16"/>
                <w:lang w:val="en-US"/>
              </w:rPr>
              <w:t>(WP 5D)</w:t>
            </w:r>
          </w:p>
        </w:tc>
        <w:tc>
          <w:tcPr>
            <w:tcW w:w="4111" w:type="dxa"/>
          </w:tcPr>
          <w:p w:rsidR="008968BD" w:rsidRPr="00EE4A74" w:rsidRDefault="0061527F" w:rsidP="00E35257">
            <w:pPr>
              <w:rPr>
                <w:szCs w:val="22"/>
              </w:rPr>
            </w:pPr>
            <w:r w:rsidRPr="0061527F">
              <w:rPr>
                <w:szCs w:val="22"/>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[COM6/22] (WRC 15);</w:t>
            </w:r>
          </w:p>
        </w:tc>
        <w:tc>
          <w:tcPr>
            <w:tcW w:w="4677" w:type="dxa"/>
          </w:tcPr>
          <w:p w:rsidR="0061527F" w:rsidRPr="0061527F" w:rsidRDefault="0061527F" w:rsidP="0061527F">
            <w:pPr>
              <w:rPr>
                <w:szCs w:val="22"/>
              </w:rPr>
            </w:pPr>
            <w:r w:rsidRPr="0061527F">
              <w:rPr>
                <w:szCs w:val="22"/>
              </w:rPr>
              <w:t>Due to potential for increasing interference to the EESS (active), WMO opposes relaxed restrictions that would allow the outdoor use of RLAN devices in the 5250-5350 MHz frequency band.</w:t>
            </w:r>
          </w:p>
          <w:p w:rsidR="0061527F" w:rsidRPr="0061527F" w:rsidRDefault="0061527F" w:rsidP="0061527F">
            <w:pPr>
              <w:rPr>
                <w:szCs w:val="22"/>
              </w:rPr>
            </w:pPr>
          </w:p>
          <w:p w:rsidR="0061527F" w:rsidRPr="0061527F" w:rsidRDefault="0061527F" w:rsidP="0061527F">
            <w:pPr>
              <w:rPr>
                <w:szCs w:val="22"/>
              </w:rPr>
            </w:pPr>
            <w:r w:rsidRPr="0061527F">
              <w:rPr>
                <w:szCs w:val="22"/>
              </w:rPr>
              <w:t xml:space="preserve">WMO is highly concerned and opposed to an allocation/identification for RLAN in the frequency band 5 350-5 470 MHz, since it will in particular endanger the operation of current and planned EESS (active) systems. </w:t>
            </w:r>
          </w:p>
          <w:p w:rsidR="0061527F" w:rsidRPr="0061527F" w:rsidRDefault="0061527F" w:rsidP="0061527F">
            <w:pPr>
              <w:rPr>
                <w:szCs w:val="22"/>
              </w:rPr>
            </w:pPr>
          </w:p>
          <w:p w:rsidR="008968BD" w:rsidRPr="00EE4A74" w:rsidRDefault="0061527F" w:rsidP="0061527F">
            <w:pPr>
              <w:rPr>
                <w:b/>
                <w:szCs w:val="22"/>
              </w:rPr>
            </w:pPr>
            <w:r w:rsidRPr="0061527F">
              <w:rPr>
                <w:szCs w:val="22"/>
              </w:rPr>
              <w:t>Furthermore WMO is concerned that the current situation in the band 5600-5650 MHz, regarding intentional illegal use and non-compliant RLAN systems by-passing the regulated mitigation technique and leading to interference to meteorological radars, will be repeated in the 5350-5470 MHz band and additionally affect EESS (active) and meteorological radars.</w:t>
            </w:r>
          </w:p>
        </w:tc>
        <w:tc>
          <w:tcPr>
            <w:tcW w:w="5670" w:type="dxa"/>
          </w:tcPr>
          <w:p w:rsidR="00165B31" w:rsidRPr="001C422A" w:rsidRDefault="00165B31" w:rsidP="00B42432">
            <w:pPr>
              <w:numPr>
                <w:ilvl w:val="0"/>
                <w:numId w:val="11"/>
              </w:numPr>
              <w:rPr>
                <w:color w:val="E36C0A" w:themeColor="accent6" w:themeShade="BF"/>
                <w:szCs w:val="22"/>
                <w:lang w:val="en-NZ"/>
              </w:rPr>
            </w:pPr>
            <w:r w:rsidRPr="001C422A">
              <w:rPr>
                <w:rFonts w:hint="eastAsia"/>
                <w:color w:val="E36C0A" w:themeColor="accent6" w:themeShade="BF"/>
                <w:szCs w:val="22"/>
                <w:lang w:val="en-NZ"/>
              </w:rPr>
              <w:t xml:space="preserve">APT </w:t>
            </w:r>
            <w:r w:rsidRPr="001C422A">
              <w:rPr>
                <w:color w:val="E36C0A" w:themeColor="accent6" w:themeShade="BF"/>
                <w:szCs w:val="22"/>
                <w:lang w:val="en-NZ"/>
              </w:rPr>
              <w:t>M</w:t>
            </w:r>
            <w:r w:rsidRPr="001C422A">
              <w:rPr>
                <w:rFonts w:hint="eastAsia"/>
                <w:color w:val="E36C0A" w:themeColor="accent6" w:themeShade="BF"/>
                <w:szCs w:val="22"/>
                <w:lang w:val="en-NZ"/>
              </w:rPr>
              <w:t xml:space="preserve">embers </w:t>
            </w:r>
            <w:r w:rsidRPr="001C422A">
              <w:rPr>
                <w:color w:val="E36C0A" w:themeColor="accent6" w:themeShade="BF"/>
                <w:szCs w:val="22"/>
                <w:lang w:val="en-NZ"/>
              </w:rPr>
              <w:t>support</w:t>
            </w:r>
            <w:r w:rsidRPr="001C422A">
              <w:rPr>
                <w:rFonts w:hint="eastAsia"/>
                <w:color w:val="E36C0A" w:themeColor="accent6" w:themeShade="BF"/>
                <w:szCs w:val="22"/>
                <w:lang w:val="en-NZ"/>
              </w:rPr>
              <w:t xml:space="preserve"> </w:t>
            </w:r>
            <w:r w:rsidRPr="001C422A">
              <w:rPr>
                <w:color w:val="E36C0A" w:themeColor="accent6" w:themeShade="BF"/>
                <w:szCs w:val="22"/>
                <w:lang w:val="en-NZ"/>
              </w:rPr>
              <w:t xml:space="preserve">studies being conducted in ITU-R in accordance with Resolution </w:t>
            </w:r>
            <w:r w:rsidRPr="001C422A">
              <w:rPr>
                <w:b/>
                <w:color w:val="E36C0A" w:themeColor="accent6" w:themeShade="BF"/>
                <w:szCs w:val="22"/>
                <w:lang w:val="en-NZ"/>
              </w:rPr>
              <w:t>239 (WRC-15).</w:t>
            </w:r>
          </w:p>
          <w:p w:rsidR="00165B31" w:rsidRPr="001C422A" w:rsidRDefault="00165B31" w:rsidP="00B42432">
            <w:pPr>
              <w:numPr>
                <w:ilvl w:val="0"/>
                <w:numId w:val="11"/>
              </w:numPr>
              <w:rPr>
                <w:color w:val="E36C0A" w:themeColor="accent6" w:themeShade="BF"/>
                <w:szCs w:val="22"/>
                <w:lang w:val="en-NZ"/>
              </w:rPr>
            </w:pPr>
            <w:r w:rsidRPr="001C422A">
              <w:rPr>
                <w:rFonts w:hint="eastAsia"/>
                <w:color w:val="E36C0A" w:themeColor="accent6" w:themeShade="BF"/>
                <w:szCs w:val="22"/>
                <w:lang w:val="en-NZ"/>
              </w:rPr>
              <w:t xml:space="preserve">APT </w:t>
            </w:r>
            <w:r w:rsidRPr="001C422A">
              <w:rPr>
                <w:color w:val="E36C0A" w:themeColor="accent6" w:themeShade="BF"/>
                <w:szCs w:val="22"/>
                <w:lang w:val="en-NZ"/>
              </w:rPr>
              <w:t>M</w:t>
            </w:r>
            <w:r w:rsidRPr="001C422A">
              <w:rPr>
                <w:rFonts w:hint="eastAsia"/>
                <w:color w:val="E36C0A" w:themeColor="accent6" w:themeShade="BF"/>
                <w:szCs w:val="22"/>
                <w:lang w:val="en-NZ"/>
              </w:rPr>
              <w:t>embers</w:t>
            </w:r>
            <w:r w:rsidRPr="001C422A">
              <w:rPr>
                <w:color w:val="E36C0A" w:themeColor="accent6" w:themeShade="BF"/>
                <w:szCs w:val="22"/>
                <w:lang w:val="en-NZ"/>
              </w:rPr>
              <w:t xml:space="preserve"> are of the view that the protection of incumbent services including their current and planned use in the frequency bands 5 150-5 350 MHz, 5 350-5 470 MHz, 5 725-5 850 MHz and 5 850-5 925 MHz should be ensured, without </w:t>
            </w:r>
            <w:r w:rsidRPr="001C422A">
              <w:rPr>
                <w:iCs/>
                <w:color w:val="E36C0A" w:themeColor="accent6" w:themeShade="BF"/>
                <w:szCs w:val="22"/>
                <w:lang w:val="en-US"/>
              </w:rPr>
              <w:t>any unacceptable constraints on these services.</w:t>
            </w:r>
          </w:p>
          <w:p w:rsidR="008968BD" w:rsidRPr="00EE4A74" w:rsidRDefault="008968BD" w:rsidP="00E35257">
            <w:pPr>
              <w:rPr>
                <w:szCs w:val="22"/>
              </w:rPr>
            </w:pPr>
          </w:p>
        </w:tc>
      </w:tr>
      <w:tr w:rsidR="00346968" w:rsidTr="004466F4">
        <w:tc>
          <w:tcPr>
            <w:tcW w:w="959" w:type="dxa"/>
          </w:tcPr>
          <w:p w:rsidR="00346968" w:rsidRDefault="00346968" w:rsidP="00346968">
            <w:pPr>
              <w:jc w:val="center"/>
              <w:rPr>
                <w:sz w:val="20"/>
              </w:rPr>
            </w:pPr>
            <w:r>
              <w:rPr>
                <w:sz w:val="20"/>
              </w:rPr>
              <w:t>9.1.5</w:t>
            </w:r>
          </w:p>
          <w:p w:rsidR="00346968" w:rsidRDefault="00346968" w:rsidP="00346968">
            <w:pPr>
              <w:jc w:val="center"/>
              <w:rPr>
                <w:sz w:val="20"/>
              </w:rPr>
            </w:pPr>
          </w:p>
          <w:p w:rsidR="00346968" w:rsidRPr="0021066A" w:rsidRDefault="00346968" w:rsidP="00346968">
            <w:pPr>
              <w:jc w:val="center"/>
              <w:rPr>
                <w:color w:val="FF0000"/>
                <w:sz w:val="16"/>
              </w:rPr>
            </w:pPr>
            <w:proofErr w:type="spellStart"/>
            <w:r w:rsidRPr="0021066A">
              <w:rPr>
                <w:color w:val="FF0000"/>
                <w:sz w:val="16"/>
              </w:rPr>
              <w:t>Resp</w:t>
            </w:r>
            <w:proofErr w:type="spellEnd"/>
          </w:p>
          <w:p w:rsidR="00346968" w:rsidRDefault="00346968" w:rsidP="00346968">
            <w:pPr>
              <w:jc w:val="center"/>
              <w:rPr>
                <w:color w:val="FF0000"/>
                <w:sz w:val="16"/>
                <w:szCs w:val="16"/>
              </w:rPr>
            </w:pPr>
            <w:r w:rsidRPr="00284EA3">
              <w:rPr>
                <w:color w:val="FF0000"/>
                <w:sz w:val="16"/>
                <w:szCs w:val="16"/>
              </w:rPr>
              <w:t>WP 5A</w:t>
            </w:r>
          </w:p>
          <w:p w:rsidR="00346968" w:rsidRDefault="00346968" w:rsidP="00346968">
            <w:pPr>
              <w:jc w:val="center"/>
              <w:rPr>
                <w:color w:val="FF0000"/>
                <w:sz w:val="16"/>
                <w:szCs w:val="16"/>
              </w:rPr>
            </w:pPr>
          </w:p>
          <w:p w:rsidR="00346968" w:rsidRPr="004724AE" w:rsidRDefault="00346968" w:rsidP="00346968">
            <w:pPr>
              <w:jc w:val="center"/>
              <w:rPr>
                <w:color w:val="000000" w:themeColor="text1"/>
                <w:sz w:val="16"/>
                <w:szCs w:val="16"/>
                <w:lang w:val="en-US"/>
              </w:rPr>
            </w:pPr>
            <w:r w:rsidRPr="004724AE">
              <w:rPr>
                <w:bCs/>
                <w:color w:val="000000" w:themeColor="text1"/>
                <w:sz w:val="16"/>
                <w:szCs w:val="16"/>
                <w:lang w:val="en-US"/>
              </w:rPr>
              <w:t>WP 5B</w:t>
            </w:r>
          </w:p>
          <w:p w:rsidR="00346968" w:rsidRDefault="00346968" w:rsidP="00346968">
            <w:pPr>
              <w:jc w:val="center"/>
              <w:rPr>
                <w:sz w:val="20"/>
              </w:rPr>
            </w:pPr>
            <w:r w:rsidRPr="004724AE">
              <w:rPr>
                <w:color w:val="000000" w:themeColor="text1"/>
                <w:sz w:val="16"/>
                <w:szCs w:val="16"/>
                <w:lang w:val="en-US"/>
              </w:rPr>
              <w:t>(WP 3M)</w:t>
            </w:r>
          </w:p>
        </w:tc>
        <w:tc>
          <w:tcPr>
            <w:tcW w:w="4111" w:type="dxa"/>
          </w:tcPr>
          <w:p w:rsidR="00346968" w:rsidRPr="00346968" w:rsidRDefault="00346968" w:rsidP="00346968">
            <w:pPr>
              <w:rPr>
                <w:szCs w:val="22"/>
              </w:rPr>
            </w:pPr>
            <w:r w:rsidRPr="00346968">
              <w:rPr>
                <w:szCs w:val="22"/>
              </w:rPr>
              <w:t xml:space="preserve">resolves to invite the ITU Radiocommunication Sector </w:t>
            </w:r>
          </w:p>
          <w:p w:rsidR="00346968" w:rsidRPr="00346968" w:rsidRDefault="00346968" w:rsidP="00346968">
            <w:pPr>
              <w:rPr>
                <w:szCs w:val="22"/>
              </w:rPr>
            </w:pPr>
            <w:r w:rsidRPr="00346968">
              <w:rPr>
                <w:szCs w:val="22"/>
              </w:rPr>
              <w:t>1</w:t>
            </w:r>
            <w:r w:rsidRPr="00346968">
              <w:rPr>
                <w:szCs w:val="22"/>
              </w:rPr>
              <w:tab/>
              <w:t>to investigate the technical and regulatory impacts on the services referred to in Nos. 5.447F and 5.450A that would result from referencing Recommendation ITU R M.1638 1 in place of Recommendation ITU R M.1638 0 in those footnotes, while ensuring that no undue constraints are imposed on the services referenced in these footnotes;</w:t>
            </w:r>
          </w:p>
          <w:p w:rsidR="00346968" w:rsidRPr="00346968" w:rsidRDefault="00346968" w:rsidP="00346968">
            <w:pPr>
              <w:rPr>
                <w:szCs w:val="22"/>
              </w:rPr>
            </w:pPr>
            <w:r w:rsidRPr="00346968">
              <w:rPr>
                <w:szCs w:val="22"/>
              </w:rPr>
              <w:t>2</w:t>
            </w:r>
            <w:r w:rsidRPr="00346968">
              <w:rPr>
                <w:szCs w:val="22"/>
              </w:rPr>
              <w:tab/>
              <w:t>to investigate the technical and regulatory impacts on the services referred to in Nos 5.447F and 5.450A that would result from adding a new reference to Recommendation ITU R M.1849 1 to these footnotes, while ensuring that no undue constraints are imposed on the services referenced in these footnotes,</w:t>
            </w:r>
            <w:r>
              <w:rPr>
                <w:szCs w:val="22"/>
              </w:rPr>
              <w:t xml:space="preserve"> </w:t>
            </w:r>
            <w:r w:rsidRPr="00346968">
              <w:rPr>
                <w:szCs w:val="22"/>
              </w:rPr>
              <w:t>instructs the Director of the Radiocommunication Bureau</w:t>
            </w:r>
          </w:p>
          <w:p w:rsidR="00346968" w:rsidRPr="0061527F" w:rsidRDefault="00346968" w:rsidP="00346968">
            <w:pPr>
              <w:rPr>
                <w:szCs w:val="22"/>
              </w:rPr>
            </w:pPr>
            <w:r w:rsidRPr="00346968">
              <w:rPr>
                <w:szCs w:val="22"/>
              </w:rPr>
              <w:t>to include the results of these studies in the Director’s Report to WRC 19 for consideration of any regulatory action in response to resolves to invite the ITU Radiocommunication Sector above.</w:t>
            </w:r>
          </w:p>
        </w:tc>
        <w:tc>
          <w:tcPr>
            <w:tcW w:w="4677" w:type="dxa"/>
          </w:tcPr>
          <w:p w:rsidR="00346968" w:rsidRPr="0061527F" w:rsidRDefault="00F269F8" w:rsidP="0061527F">
            <w:pPr>
              <w:rPr>
                <w:szCs w:val="22"/>
              </w:rPr>
            </w:pPr>
            <w:r w:rsidRPr="00F269F8">
              <w:rPr>
                <w:szCs w:val="22"/>
              </w:rPr>
              <w:t>WMO supports referencing Recommendation ITU-R M.1849-1 in No 5.450A of the Radio Regulations in order to ensure the continued protection of meteorological radars from WAS/RLAN systems operating under the mobile service allocation in the 5470-5725 MHz frequency band.</w:t>
            </w:r>
          </w:p>
        </w:tc>
        <w:tc>
          <w:tcPr>
            <w:tcW w:w="5670" w:type="dxa"/>
          </w:tcPr>
          <w:p w:rsidR="00165B31" w:rsidRPr="00D838DA" w:rsidRDefault="00165B31" w:rsidP="00165B31">
            <w:pPr>
              <w:rPr>
                <w:lang w:val="en-NZ"/>
              </w:rPr>
            </w:pPr>
            <w:r w:rsidRPr="00544EB4">
              <w:rPr>
                <w:rFonts w:hint="eastAsia"/>
                <w:lang w:val="en-NZ"/>
              </w:rPr>
              <w:t xml:space="preserve">APT Members </w:t>
            </w:r>
            <w:r w:rsidRPr="00544EB4">
              <w:rPr>
                <w:lang w:val="en-NZ"/>
              </w:rPr>
              <w:t>support</w:t>
            </w:r>
            <w:r w:rsidRPr="00544EB4">
              <w:rPr>
                <w:rFonts w:hint="eastAsia"/>
                <w:lang w:val="en-NZ"/>
              </w:rPr>
              <w:t xml:space="preserve"> </w:t>
            </w:r>
            <w:r w:rsidRPr="00544EB4">
              <w:rPr>
                <w:lang w:val="en-NZ"/>
              </w:rPr>
              <w:t xml:space="preserve">ITU-R studies to </w:t>
            </w:r>
            <w:r w:rsidRPr="00544EB4">
              <w:rPr>
                <w:rFonts w:eastAsia="Calibri"/>
              </w:rPr>
              <w:t xml:space="preserve">investigate the </w:t>
            </w:r>
            <w:r w:rsidRPr="00544EB4">
              <w:rPr>
                <w:rFonts w:eastAsiaTheme="minorEastAsia"/>
                <w:iCs/>
                <w:lang w:eastAsia="zh-CN"/>
              </w:rPr>
              <w:t xml:space="preserve">technical and regulatory impacts on the services referred to in Nos. 5.447F and 5.450A that would result from referencing Recommendation ITU-R M.1638-1 in place of Recommendation ITU-R M.1638-0 in those footnotes and to also add a new reference to Recommendation ITU-R M.1849-1 to these footnotes. </w:t>
            </w:r>
            <w:r w:rsidRPr="00D838DA">
              <w:rPr>
                <w:rFonts w:eastAsiaTheme="minorEastAsia"/>
                <w:iCs/>
                <w:lang w:eastAsia="zh-CN"/>
              </w:rPr>
              <w:t>In so doing, APT Members also support to ensure the protection of the services to which the band is allocated including those which are referenced in these footnotes without any constraints to these services.</w:t>
            </w:r>
          </w:p>
          <w:p w:rsidR="00346968" w:rsidRPr="00EE4A74" w:rsidRDefault="00346968" w:rsidP="00E35257">
            <w:pPr>
              <w:rPr>
                <w:szCs w:val="22"/>
              </w:rPr>
            </w:pPr>
          </w:p>
        </w:tc>
      </w:tr>
      <w:tr w:rsidR="00F269F8" w:rsidTr="004466F4">
        <w:tc>
          <w:tcPr>
            <w:tcW w:w="959" w:type="dxa"/>
          </w:tcPr>
          <w:p w:rsidR="00F269F8" w:rsidRDefault="00F269F8" w:rsidP="00F269F8">
            <w:pPr>
              <w:jc w:val="center"/>
              <w:rPr>
                <w:sz w:val="20"/>
              </w:rPr>
            </w:pPr>
            <w:r>
              <w:rPr>
                <w:sz w:val="20"/>
              </w:rPr>
              <w:t>9.1.9</w:t>
            </w:r>
          </w:p>
          <w:p w:rsidR="00F269F8" w:rsidRDefault="00F269F8" w:rsidP="00F269F8">
            <w:pPr>
              <w:jc w:val="center"/>
              <w:rPr>
                <w:sz w:val="20"/>
              </w:rPr>
            </w:pPr>
          </w:p>
          <w:p w:rsidR="00F269F8" w:rsidRPr="0021066A" w:rsidRDefault="00F269F8" w:rsidP="00F269F8">
            <w:pPr>
              <w:jc w:val="center"/>
              <w:rPr>
                <w:color w:val="FF0000"/>
                <w:sz w:val="16"/>
              </w:rPr>
            </w:pPr>
            <w:proofErr w:type="spellStart"/>
            <w:r w:rsidRPr="0021066A">
              <w:rPr>
                <w:color w:val="FF0000"/>
                <w:sz w:val="16"/>
              </w:rPr>
              <w:t>Resp</w:t>
            </w:r>
            <w:proofErr w:type="spellEnd"/>
          </w:p>
          <w:p w:rsidR="00F269F8" w:rsidRDefault="00F269F8" w:rsidP="00F269F8">
            <w:pPr>
              <w:jc w:val="center"/>
              <w:rPr>
                <w:color w:val="FF0000"/>
                <w:sz w:val="16"/>
                <w:szCs w:val="16"/>
              </w:rPr>
            </w:pPr>
            <w:r w:rsidRPr="002A2B3C">
              <w:rPr>
                <w:color w:val="FF0000"/>
                <w:sz w:val="16"/>
                <w:szCs w:val="16"/>
              </w:rPr>
              <w:t>WP 4A</w:t>
            </w:r>
          </w:p>
          <w:p w:rsidR="00F269F8" w:rsidRDefault="00F269F8" w:rsidP="00F269F8">
            <w:pPr>
              <w:jc w:val="center"/>
              <w:rPr>
                <w:color w:val="FF0000"/>
                <w:sz w:val="16"/>
                <w:szCs w:val="16"/>
              </w:rPr>
            </w:pPr>
          </w:p>
          <w:p w:rsidR="00F269F8" w:rsidRDefault="00F269F8" w:rsidP="00F269F8">
            <w:pPr>
              <w:jc w:val="center"/>
              <w:rPr>
                <w:color w:val="FF0000"/>
                <w:sz w:val="16"/>
                <w:szCs w:val="16"/>
              </w:rPr>
            </w:pPr>
          </w:p>
          <w:p w:rsidR="00F269F8" w:rsidRPr="004724AE" w:rsidRDefault="00F269F8" w:rsidP="00F269F8">
            <w:pPr>
              <w:jc w:val="center"/>
              <w:rPr>
                <w:bCs/>
                <w:color w:val="000000" w:themeColor="text1"/>
                <w:sz w:val="16"/>
                <w:szCs w:val="16"/>
                <w:lang w:val="en-US"/>
              </w:rPr>
            </w:pPr>
            <w:r w:rsidRPr="004724AE">
              <w:rPr>
                <w:bCs/>
                <w:color w:val="000000" w:themeColor="text1"/>
                <w:sz w:val="16"/>
                <w:szCs w:val="16"/>
                <w:lang w:val="en-US"/>
              </w:rPr>
              <w:t>WP 4B</w:t>
            </w:r>
          </w:p>
          <w:p w:rsidR="00F269F8" w:rsidRPr="004724AE" w:rsidRDefault="00F269F8" w:rsidP="00F269F8">
            <w:pPr>
              <w:jc w:val="center"/>
              <w:rPr>
                <w:bCs/>
                <w:color w:val="000000" w:themeColor="text1"/>
                <w:sz w:val="16"/>
                <w:szCs w:val="16"/>
                <w:lang w:val="en-US"/>
              </w:rPr>
            </w:pPr>
            <w:r w:rsidRPr="004724AE">
              <w:rPr>
                <w:bCs/>
                <w:color w:val="000000" w:themeColor="text1"/>
                <w:sz w:val="16"/>
                <w:szCs w:val="16"/>
                <w:lang w:val="en-US"/>
              </w:rPr>
              <w:t>WP 5A</w:t>
            </w:r>
          </w:p>
          <w:p w:rsidR="00F269F8" w:rsidRPr="004724AE" w:rsidRDefault="00F269F8" w:rsidP="00F269F8">
            <w:pPr>
              <w:jc w:val="center"/>
              <w:rPr>
                <w:bCs/>
                <w:color w:val="000000" w:themeColor="text1"/>
                <w:sz w:val="16"/>
                <w:szCs w:val="16"/>
                <w:lang w:val="en-US"/>
              </w:rPr>
            </w:pPr>
            <w:r w:rsidRPr="004724AE">
              <w:rPr>
                <w:bCs/>
                <w:color w:val="000000" w:themeColor="text1"/>
                <w:sz w:val="16"/>
                <w:szCs w:val="16"/>
                <w:lang w:val="en-US"/>
              </w:rPr>
              <w:t>WP 5C</w:t>
            </w:r>
          </w:p>
          <w:p w:rsidR="00F269F8" w:rsidRPr="004724AE" w:rsidRDefault="00F269F8" w:rsidP="00F269F8">
            <w:pPr>
              <w:jc w:val="center"/>
              <w:rPr>
                <w:bCs/>
                <w:color w:val="000000" w:themeColor="text1"/>
                <w:sz w:val="16"/>
                <w:szCs w:val="16"/>
                <w:lang w:val="en-US"/>
              </w:rPr>
            </w:pPr>
            <w:r w:rsidRPr="004724AE">
              <w:rPr>
                <w:bCs/>
                <w:color w:val="000000" w:themeColor="text1"/>
                <w:sz w:val="16"/>
                <w:szCs w:val="16"/>
                <w:lang w:val="en-US"/>
              </w:rPr>
              <w:t>WP 5D</w:t>
            </w:r>
          </w:p>
          <w:p w:rsidR="00F269F8" w:rsidRPr="004724AE" w:rsidRDefault="00F269F8" w:rsidP="00F269F8">
            <w:pPr>
              <w:jc w:val="center"/>
              <w:rPr>
                <w:bCs/>
                <w:color w:val="000000" w:themeColor="text1"/>
                <w:sz w:val="16"/>
                <w:szCs w:val="16"/>
                <w:lang w:val="en-US"/>
              </w:rPr>
            </w:pPr>
            <w:r w:rsidRPr="004724AE">
              <w:rPr>
                <w:bCs/>
                <w:color w:val="000000" w:themeColor="text1"/>
                <w:sz w:val="16"/>
                <w:szCs w:val="16"/>
                <w:lang w:val="en-US"/>
              </w:rPr>
              <w:t>WP 7C</w:t>
            </w:r>
          </w:p>
          <w:p w:rsidR="00F269F8" w:rsidRPr="004724AE" w:rsidRDefault="00F269F8" w:rsidP="00F269F8">
            <w:pPr>
              <w:jc w:val="center"/>
              <w:rPr>
                <w:color w:val="000000" w:themeColor="text1"/>
                <w:sz w:val="16"/>
                <w:szCs w:val="16"/>
                <w:lang w:val="en-US"/>
              </w:rPr>
            </w:pPr>
            <w:r w:rsidRPr="004724AE">
              <w:rPr>
                <w:bCs/>
                <w:color w:val="000000" w:themeColor="text1"/>
                <w:sz w:val="16"/>
                <w:szCs w:val="16"/>
                <w:lang w:val="en-US"/>
              </w:rPr>
              <w:t>WP 7D</w:t>
            </w:r>
          </w:p>
          <w:p w:rsidR="00F269F8" w:rsidRDefault="00F269F8" w:rsidP="00F269F8">
            <w:pPr>
              <w:jc w:val="center"/>
              <w:rPr>
                <w:sz w:val="20"/>
              </w:rPr>
            </w:pPr>
            <w:r w:rsidRPr="004724AE">
              <w:rPr>
                <w:color w:val="000000" w:themeColor="text1"/>
                <w:sz w:val="16"/>
                <w:szCs w:val="16"/>
                <w:lang w:val="en-US"/>
              </w:rPr>
              <w:t>(WP 3M)</w:t>
            </w:r>
          </w:p>
        </w:tc>
        <w:tc>
          <w:tcPr>
            <w:tcW w:w="4111" w:type="dxa"/>
          </w:tcPr>
          <w:p w:rsidR="00F269F8" w:rsidRPr="00F269F8" w:rsidRDefault="00F269F8" w:rsidP="00F269F8">
            <w:pPr>
              <w:rPr>
                <w:szCs w:val="22"/>
              </w:rPr>
            </w:pPr>
            <w:r w:rsidRPr="00F269F8">
              <w:rPr>
                <w:szCs w:val="22"/>
              </w:rPr>
              <w:t>resolves to invite ITU R</w:t>
            </w:r>
          </w:p>
          <w:p w:rsidR="00F269F8" w:rsidRPr="00F269F8" w:rsidRDefault="00F269F8" w:rsidP="00F269F8">
            <w:pPr>
              <w:rPr>
                <w:szCs w:val="22"/>
              </w:rPr>
            </w:pPr>
            <w:r w:rsidRPr="00F269F8">
              <w:rPr>
                <w:szCs w:val="22"/>
              </w:rPr>
              <w:t>to conduct, and complete in time for WRC 19:</w:t>
            </w:r>
          </w:p>
          <w:p w:rsidR="00F269F8" w:rsidRPr="00F269F8" w:rsidRDefault="00F269F8" w:rsidP="00F269F8">
            <w:pPr>
              <w:rPr>
                <w:szCs w:val="22"/>
              </w:rPr>
            </w:pPr>
            <w:r w:rsidRPr="00F269F8">
              <w:rPr>
                <w:szCs w:val="22"/>
              </w:rPr>
              <w:t>1</w:t>
            </w:r>
            <w:r w:rsidRPr="00F269F8">
              <w:rPr>
                <w:szCs w:val="22"/>
              </w:rPr>
              <w:tab/>
              <w:t>studies considering additional spectrum needs for development of the fixed-satellite service, taking into account the frequency bands currently allocated to the fixed-satellite service, the technical conditions of their use, and the possibility of optimizing the use of these frequency bands with a view to increasing spectrum efficiency;</w:t>
            </w:r>
          </w:p>
          <w:p w:rsidR="00F269F8" w:rsidRPr="00F269F8" w:rsidRDefault="00F269F8" w:rsidP="00F269F8">
            <w:pPr>
              <w:rPr>
                <w:szCs w:val="22"/>
              </w:rPr>
            </w:pPr>
            <w:r w:rsidRPr="00F269F8">
              <w:rPr>
                <w:szCs w:val="22"/>
              </w:rPr>
              <w:t>2</w:t>
            </w:r>
            <w:r w:rsidRPr="00F269F8">
              <w:rPr>
                <w:szCs w:val="22"/>
              </w:rPr>
              <w:tab/>
              <w:t>subject to justification resulting from studies conducted under resolves to invite ITU R 1, sharing and compatibility studies with existing services, on a primary and secondary basis, including in adjacent bands as appropriate, to determine the suitability, including protection of fixed and mobile services, of new primary allocations to the FSS in the frequency band 51.4-52.4 GHz (Earth-to-space) limited to FSS feeder links for geostationary orbit use, and the possible associated regulatory actions;</w:t>
            </w:r>
          </w:p>
          <w:p w:rsidR="00F269F8" w:rsidRPr="00F269F8" w:rsidRDefault="00F269F8" w:rsidP="00F269F8">
            <w:pPr>
              <w:rPr>
                <w:szCs w:val="22"/>
              </w:rPr>
            </w:pPr>
            <w:r w:rsidRPr="00F269F8">
              <w:rPr>
                <w:szCs w:val="22"/>
              </w:rPr>
              <w:t>3</w:t>
            </w:r>
            <w:r w:rsidRPr="00F269F8">
              <w:rPr>
                <w:szCs w:val="22"/>
              </w:rPr>
              <w:tab/>
              <w:t>studies towards possible revision of Resolution 750 (Rev.WRC 12) so that systems operating in the passive frequency band 52.6-54.25 GHz are protected;</w:t>
            </w:r>
          </w:p>
          <w:p w:rsidR="00F269F8" w:rsidRPr="00F269F8" w:rsidRDefault="00F269F8" w:rsidP="00F269F8">
            <w:pPr>
              <w:rPr>
                <w:szCs w:val="22"/>
              </w:rPr>
            </w:pPr>
            <w:r w:rsidRPr="00F269F8">
              <w:rPr>
                <w:szCs w:val="22"/>
              </w:rPr>
              <w:t>4</w:t>
            </w:r>
            <w:r w:rsidRPr="00F269F8">
              <w:rPr>
                <w:szCs w:val="22"/>
              </w:rPr>
              <w:tab/>
              <w:t>studies regarding the protection of radio astronomy, as described in recognizing c), including regulatory measures, as appropriate,</w:t>
            </w:r>
          </w:p>
          <w:p w:rsidR="00F269F8" w:rsidRPr="00F269F8" w:rsidRDefault="00F269F8" w:rsidP="00F269F8">
            <w:pPr>
              <w:rPr>
                <w:szCs w:val="22"/>
              </w:rPr>
            </w:pPr>
            <w:r w:rsidRPr="00F269F8">
              <w:rPr>
                <w:szCs w:val="22"/>
              </w:rPr>
              <w:t>instructs the Director of the Radiocommunication Bureau</w:t>
            </w:r>
          </w:p>
          <w:p w:rsidR="00F269F8" w:rsidRPr="00F269F8" w:rsidRDefault="00F269F8" w:rsidP="00F269F8">
            <w:pPr>
              <w:rPr>
                <w:szCs w:val="22"/>
              </w:rPr>
            </w:pPr>
            <w:r w:rsidRPr="00F269F8">
              <w:rPr>
                <w:szCs w:val="22"/>
              </w:rPr>
              <w:t>to report on the results of the ITU-R studies to WRC-19,</w:t>
            </w:r>
          </w:p>
          <w:p w:rsidR="00F269F8" w:rsidRPr="00F269F8" w:rsidRDefault="00F269F8" w:rsidP="00F269F8">
            <w:pPr>
              <w:rPr>
                <w:szCs w:val="22"/>
              </w:rPr>
            </w:pPr>
            <w:r w:rsidRPr="00F269F8">
              <w:rPr>
                <w:szCs w:val="22"/>
              </w:rPr>
              <w:t>invites administrations</w:t>
            </w:r>
          </w:p>
          <w:p w:rsidR="00F269F8" w:rsidRPr="00346968" w:rsidRDefault="00F269F8" w:rsidP="00F269F8">
            <w:pPr>
              <w:rPr>
                <w:szCs w:val="22"/>
              </w:rPr>
            </w:pPr>
            <w:r w:rsidRPr="00F269F8">
              <w:rPr>
                <w:szCs w:val="22"/>
              </w:rPr>
              <w:t>to participate actively in these studies by submitting contributions to ITU R.</w:t>
            </w:r>
          </w:p>
        </w:tc>
        <w:tc>
          <w:tcPr>
            <w:tcW w:w="4677" w:type="dxa"/>
          </w:tcPr>
          <w:p w:rsidR="00F269F8" w:rsidRPr="00F269F8" w:rsidRDefault="00F269F8" w:rsidP="00F269F8">
            <w:pPr>
              <w:rPr>
                <w:szCs w:val="22"/>
              </w:rPr>
            </w:pPr>
            <w:r w:rsidRPr="00F269F8">
              <w:rPr>
                <w:szCs w:val="22"/>
              </w:rPr>
              <w:t>WMO does not oppose to the possible allocation of the frequency band 51.4-52.4 GHz to the FSS (E-s) provided that protection of EESS (passive) in the bands 50.2-50.4 GHz and 52.6-54.25 GHz is ensured.</w:t>
            </w:r>
          </w:p>
          <w:p w:rsidR="00F269F8" w:rsidRPr="00F269F8" w:rsidRDefault="00F269F8" w:rsidP="00F269F8">
            <w:pPr>
              <w:rPr>
                <w:szCs w:val="22"/>
              </w:rPr>
            </w:pPr>
          </w:p>
          <w:p w:rsidR="00F269F8" w:rsidRPr="00F269F8" w:rsidRDefault="00F269F8" w:rsidP="00F269F8">
            <w:pPr>
              <w:rPr>
                <w:szCs w:val="22"/>
              </w:rPr>
            </w:pPr>
            <w:r w:rsidRPr="00F269F8">
              <w:rPr>
                <w:szCs w:val="22"/>
              </w:rPr>
              <w:t>The protection of EESS (passive) would require appropriate unwanted emission limits in Resolution 750 (rev. WRC-15).</w:t>
            </w:r>
          </w:p>
          <w:p w:rsidR="00F269F8" w:rsidRPr="00F269F8" w:rsidRDefault="00F269F8" w:rsidP="00F269F8">
            <w:pPr>
              <w:rPr>
                <w:szCs w:val="22"/>
              </w:rPr>
            </w:pPr>
          </w:p>
          <w:p w:rsidR="00F269F8" w:rsidRPr="00F269F8" w:rsidRDefault="00F269F8" w:rsidP="00F269F8">
            <w:pPr>
              <w:rPr>
                <w:szCs w:val="22"/>
              </w:rPr>
            </w:pPr>
            <w:r w:rsidRPr="00F269F8">
              <w:rPr>
                <w:szCs w:val="22"/>
              </w:rPr>
              <w:t>Furthermore, WMO would appreciate the development of a solution to ensure the effective operation of the ground-based radiometers in the 50.4-51.4 GHz frequency band.</w:t>
            </w:r>
          </w:p>
        </w:tc>
        <w:tc>
          <w:tcPr>
            <w:tcW w:w="5670" w:type="dxa"/>
          </w:tcPr>
          <w:p w:rsidR="000304C7" w:rsidRPr="000304C7" w:rsidRDefault="000304C7" w:rsidP="000304C7">
            <w:pPr>
              <w:rPr>
                <w:szCs w:val="22"/>
                <w:lang w:val="id-ID"/>
              </w:rPr>
            </w:pPr>
            <w:r w:rsidRPr="000304C7">
              <w:rPr>
                <w:szCs w:val="22"/>
                <w:lang w:val="en-US"/>
              </w:rPr>
              <w:t xml:space="preserve">APT Members support ITU-R studies relating to spectrum needs, sharing and compatibility between fixed-satellite service in the frequency band 51.4-52.4 GHz and other co-frequency, and adjacent band services in accordance with Resolution </w:t>
            </w:r>
            <w:r w:rsidRPr="000304C7">
              <w:rPr>
                <w:b/>
                <w:szCs w:val="22"/>
                <w:lang w:val="en-US"/>
              </w:rPr>
              <w:t>162 (WRC-15)</w:t>
            </w:r>
            <w:r w:rsidRPr="000304C7">
              <w:rPr>
                <w:szCs w:val="22"/>
                <w:lang w:val="id-ID"/>
              </w:rPr>
              <w:t>.</w:t>
            </w:r>
          </w:p>
          <w:p w:rsidR="000304C7" w:rsidRPr="000304C7" w:rsidRDefault="000304C7" w:rsidP="000304C7">
            <w:pPr>
              <w:rPr>
                <w:szCs w:val="22"/>
                <w:lang w:val="id-ID"/>
              </w:rPr>
            </w:pPr>
          </w:p>
          <w:p w:rsidR="000304C7" w:rsidRPr="000304C7" w:rsidRDefault="000304C7" w:rsidP="000304C7">
            <w:pPr>
              <w:rPr>
                <w:szCs w:val="22"/>
                <w:lang w:val="en-NZ"/>
              </w:rPr>
            </w:pPr>
            <w:r w:rsidRPr="000304C7">
              <w:rPr>
                <w:szCs w:val="22"/>
                <w:lang w:val="en-US"/>
              </w:rPr>
              <w:t>APT Members are of the view that consideration of an  allocation to the fixed-satellite service (Earth-to-space) in the frequency band 51.4-52.4 GHz limited to feeder links for geostationary satellite orbit use is subject to satisfactory outcomes of ITU-R studies related to spectrum needs and compatibility with existing services allocated to the same and adjacent bands.</w:t>
            </w:r>
          </w:p>
          <w:p w:rsidR="00F269F8" w:rsidRPr="00EE4A74" w:rsidRDefault="00F269F8" w:rsidP="00E35257">
            <w:pPr>
              <w:rPr>
                <w:szCs w:val="22"/>
              </w:rPr>
            </w:pPr>
          </w:p>
        </w:tc>
      </w:tr>
      <w:tr w:rsidR="00AA78F7" w:rsidTr="004466F4">
        <w:tc>
          <w:tcPr>
            <w:tcW w:w="959" w:type="dxa"/>
          </w:tcPr>
          <w:p w:rsidR="00AA78F7" w:rsidRDefault="00AA78F7" w:rsidP="00F269F8">
            <w:pPr>
              <w:jc w:val="center"/>
              <w:rPr>
                <w:sz w:val="20"/>
              </w:rPr>
            </w:pPr>
            <w:r>
              <w:rPr>
                <w:sz w:val="20"/>
              </w:rPr>
              <w:t>10</w:t>
            </w:r>
          </w:p>
        </w:tc>
        <w:tc>
          <w:tcPr>
            <w:tcW w:w="4111" w:type="dxa"/>
          </w:tcPr>
          <w:p w:rsidR="00AA78F7" w:rsidRPr="00F269F8" w:rsidRDefault="00AA78F7" w:rsidP="00F269F8">
            <w:pPr>
              <w:rPr>
                <w:szCs w:val="22"/>
              </w:rPr>
            </w:pPr>
            <w:r w:rsidRPr="00AA78F7">
              <w:rPr>
                <w:szCs w:val="22"/>
              </w:rPr>
              <w:t>to recommend to the Council items for inclusion in the Agenda for the next WRC, and to give its views on the preliminary agenda for the subsequent conference and on possible agenda items for future conferences, in accordance with Article 7 of the Convention, (Resolution 808 (WRC-12)).</w:t>
            </w:r>
          </w:p>
        </w:tc>
        <w:tc>
          <w:tcPr>
            <w:tcW w:w="4677" w:type="dxa"/>
          </w:tcPr>
          <w:p w:rsidR="00AA78F7" w:rsidRPr="00F269F8" w:rsidRDefault="00AA78F7" w:rsidP="00F269F8">
            <w:pPr>
              <w:rPr>
                <w:szCs w:val="22"/>
              </w:rPr>
            </w:pPr>
            <w:r w:rsidRPr="00AA78F7">
              <w:rPr>
                <w:szCs w:val="22"/>
              </w:rPr>
              <w:t>WMO supports retention of both of the preliminary agenda items on the WRC-23 Agenda, related to EESS (active) around 45 MHz and to space weather sensors.</w:t>
            </w:r>
          </w:p>
        </w:tc>
        <w:tc>
          <w:tcPr>
            <w:tcW w:w="5670" w:type="dxa"/>
          </w:tcPr>
          <w:p w:rsidR="00AA78F7" w:rsidRPr="00EE4A74" w:rsidRDefault="000304C7" w:rsidP="00E35257">
            <w:pPr>
              <w:rPr>
                <w:szCs w:val="22"/>
              </w:rPr>
            </w:pPr>
            <w:r>
              <w:rPr>
                <w:szCs w:val="22"/>
              </w:rPr>
              <w:t>To be developed</w:t>
            </w:r>
          </w:p>
        </w:tc>
      </w:tr>
    </w:tbl>
    <w:p w:rsidR="00F35F35" w:rsidRPr="00FF65B9" w:rsidRDefault="00F35F35" w:rsidP="00413EDA"/>
    <w:p w:rsidR="008A71EB" w:rsidRPr="00FF65B9" w:rsidRDefault="008A71EB" w:rsidP="00B97253"/>
    <w:sectPr w:rsidR="008A71EB" w:rsidRPr="00FF65B9" w:rsidSect="008968BD">
      <w:pgSz w:w="16840" w:h="11907" w:orient="landscape"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4BF" w:rsidRDefault="003404BF">
      <w:r>
        <w:separator/>
      </w:r>
    </w:p>
    <w:p w:rsidR="003404BF" w:rsidRDefault="003404BF"/>
  </w:endnote>
  <w:endnote w:type="continuationSeparator" w:id="0">
    <w:p w:rsidR="003404BF" w:rsidRDefault="003404BF">
      <w:r>
        <w:continuationSeparator/>
      </w:r>
    </w:p>
    <w:p w:rsidR="003404BF" w:rsidRDefault="00340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4BF" w:rsidRDefault="003404BF">
      <w:r>
        <w:separator/>
      </w:r>
    </w:p>
    <w:p w:rsidR="003404BF" w:rsidRDefault="003404BF"/>
  </w:footnote>
  <w:footnote w:type="continuationSeparator" w:id="0">
    <w:p w:rsidR="003404BF" w:rsidRDefault="003404BF">
      <w:r>
        <w:continuationSeparator/>
      </w:r>
    </w:p>
    <w:p w:rsidR="003404BF" w:rsidRDefault="003404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E90B58">
    <w:pPr>
      <w:pStyle w:val="Header"/>
      <w:pBdr>
        <w:bottom w:val="single" w:sz="4" w:space="1" w:color="auto"/>
      </w:pBdr>
      <w:rPr>
        <w:rStyle w:val="PageNumber"/>
        <w:lang w:val="en-GB"/>
      </w:rPr>
    </w:pPr>
    <w:r>
      <w:rPr>
        <w:bCs/>
        <w:lang w:val="fr-CH" w:eastAsia="zh-CN"/>
      </w:rPr>
      <w:t xml:space="preserve">SG-RFC-2018/Doc </w:t>
    </w:r>
    <w:r w:rsidR="00E90B58">
      <w:rPr>
        <w:bCs/>
        <w:lang w:val="fr-CH" w:eastAsia="zh-CN"/>
      </w:rPr>
      <w:t>5.3</w:t>
    </w:r>
    <w:r w:rsidRPr="00C10690">
      <w:rPr>
        <w:lang w:val="en-GB"/>
      </w:rPr>
      <w:t>, p</w:t>
    </w:r>
    <w:r w:rsidR="007D7393">
      <w:rPr>
        <w:rStyle w:val="PageNumber"/>
      </w:rPr>
      <w:fldChar w:fldCharType="begin"/>
    </w:r>
    <w:r w:rsidRPr="00C10690">
      <w:rPr>
        <w:rStyle w:val="PageNumber"/>
        <w:lang w:val="en-GB"/>
      </w:rPr>
      <w:instrText xml:space="preserve"> PAGE </w:instrText>
    </w:r>
    <w:r w:rsidR="007D7393">
      <w:rPr>
        <w:rStyle w:val="PageNumber"/>
      </w:rPr>
      <w:fldChar w:fldCharType="separate"/>
    </w:r>
    <w:r w:rsidR="00E90B58">
      <w:rPr>
        <w:rStyle w:val="PageNumber"/>
        <w:noProof/>
        <w:lang w:val="en-GB"/>
      </w:rPr>
      <w:t>7</w:t>
    </w:r>
    <w:r w:rsidR="007D7393">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196A1D" w:rsidP="00E90B58">
    <w:pPr>
      <w:pStyle w:val="Header"/>
      <w:rPr>
        <w:lang w:val="en-GB"/>
      </w:rPr>
    </w:pPr>
    <w:r>
      <w:rPr>
        <w:lang w:val="en-GB"/>
      </w:rPr>
      <w:t xml:space="preserve">SG-RFC-2018/Doc </w:t>
    </w:r>
    <w:r w:rsidR="00E90B58">
      <w:rPr>
        <w:lang w:val="en-GB"/>
      </w:rPr>
      <w:t>5.3</w:t>
    </w:r>
    <w:r>
      <w:rPr>
        <w:lang w:val="en-GB"/>
      </w:rPr>
      <w:t xml:space="preserve"> Page </w:t>
    </w:r>
    <w:r>
      <w:rPr>
        <w:lang w:val="en-GB"/>
      </w:rPr>
      <w:fldChar w:fldCharType="begin"/>
    </w:r>
    <w:r>
      <w:rPr>
        <w:lang w:val="en-GB"/>
      </w:rPr>
      <w:instrText xml:space="preserve"> PAGE   \* MERGEFORMAT </w:instrText>
    </w:r>
    <w:r>
      <w:rPr>
        <w:lang w:val="en-GB"/>
      </w:rPr>
      <w:fldChar w:fldCharType="separate"/>
    </w:r>
    <w:r w:rsidR="00E90B58">
      <w:rPr>
        <w:noProof/>
        <w:lang w:val="en-GB"/>
      </w:rPr>
      <w:t>2</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E90B58">
      <w:rPr>
        <w:noProof/>
        <w:lang w:val="en-GB"/>
      </w:rPr>
      <w:t>8</w:t>
    </w:r>
    <w:r>
      <w:rPr>
        <w:lang w:val="en-GB"/>
      </w:rPr>
      <w:fldChar w:fldCharType="end"/>
    </w: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BE1A4D"/>
    <w:multiLevelType w:val="hybridMultilevel"/>
    <w:tmpl w:val="8DB00EA8"/>
    <w:lvl w:ilvl="0" w:tplc="A114EBFA">
      <w:start w:val="1"/>
      <w:numFmt w:val="bullet"/>
      <w:lvlText w:val="-"/>
      <w:lvlJc w:val="left"/>
      <w:pPr>
        <w:ind w:left="280" w:hanging="360"/>
      </w:pPr>
      <w:rPr>
        <w:rFonts w:ascii="Malgun Gothic" w:eastAsia="Malgun Gothic" w:hAnsi="Malgun Gothic" w:cstheme="minorBidi" w:hint="eastAsia"/>
      </w:rPr>
    </w:lvl>
    <w:lvl w:ilvl="1" w:tplc="04090003" w:tentative="1">
      <w:start w:val="1"/>
      <w:numFmt w:val="bullet"/>
      <w:lvlText w:val=""/>
      <w:lvlJc w:val="left"/>
      <w:pPr>
        <w:ind w:left="720" w:hanging="400"/>
      </w:pPr>
      <w:rPr>
        <w:rFonts w:ascii="Wingdings" w:hAnsi="Wingdings" w:hint="default"/>
      </w:rPr>
    </w:lvl>
    <w:lvl w:ilvl="2" w:tplc="04090005" w:tentative="1">
      <w:start w:val="1"/>
      <w:numFmt w:val="bullet"/>
      <w:lvlText w:val=""/>
      <w:lvlJc w:val="left"/>
      <w:pPr>
        <w:ind w:left="1120" w:hanging="400"/>
      </w:pPr>
      <w:rPr>
        <w:rFonts w:ascii="Wingdings" w:hAnsi="Wingdings" w:hint="default"/>
      </w:rPr>
    </w:lvl>
    <w:lvl w:ilvl="3" w:tplc="04090001" w:tentative="1">
      <w:start w:val="1"/>
      <w:numFmt w:val="bullet"/>
      <w:lvlText w:val=""/>
      <w:lvlJc w:val="left"/>
      <w:pPr>
        <w:ind w:left="1520" w:hanging="400"/>
      </w:pPr>
      <w:rPr>
        <w:rFonts w:ascii="Wingdings" w:hAnsi="Wingdings" w:hint="default"/>
      </w:rPr>
    </w:lvl>
    <w:lvl w:ilvl="4" w:tplc="04090003" w:tentative="1">
      <w:start w:val="1"/>
      <w:numFmt w:val="bullet"/>
      <w:lvlText w:val=""/>
      <w:lvlJc w:val="left"/>
      <w:pPr>
        <w:ind w:left="1920" w:hanging="400"/>
      </w:pPr>
      <w:rPr>
        <w:rFonts w:ascii="Wingdings" w:hAnsi="Wingdings" w:hint="default"/>
      </w:rPr>
    </w:lvl>
    <w:lvl w:ilvl="5" w:tplc="04090005" w:tentative="1">
      <w:start w:val="1"/>
      <w:numFmt w:val="bullet"/>
      <w:lvlText w:val=""/>
      <w:lvlJc w:val="left"/>
      <w:pPr>
        <w:ind w:left="2320" w:hanging="400"/>
      </w:pPr>
      <w:rPr>
        <w:rFonts w:ascii="Wingdings" w:hAnsi="Wingdings" w:hint="default"/>
      </w:rPr>
    </w:lvl>
    <w:lvl w:ilvl="6" w:tplc="04090001" w:tentative="1">
      <w:start w:val="1"/>
      <w:numFmt w:val="bullet"/>
      <w:lvlText w:val=""/>
      <w:lvlJc w:val="left"/>
      <w:pPr>
        <w:ind w:left="2720" w:hanging="400"/>
      </w:pPr>
      <w:rPr>
        <w:rFonts w:ascii="Wingdings" w:hAnsi="Wingdings" w:hint="default"/>
      </w:rPr>
    </w:lvl>
    <w:lvl w:ilvl="7" w:tplc="04090003" w:tentative="1">
      <w:start w:val="1"/>
      <w:numFmt w:val="bullet"/>
      <w:lvlText w:val=""/>
      <w:lvlJc w:val="left"/>
      <w:pPr>
        <w:ind w:left="3120" w:hanging="400"/>
      </w:pPr>
      <w:rPr>
        <w:rFonts w:ascii="Wingdings" w:hAnsi="Wingdings" w:hint="default"/>
      </w:rPr>
    </w:lvl>
    <w:lvl w:ilvl="8" w:tplc="04090005" w:tentative="1">
      <w:start w:val="1"/>
      <w:numFmt w:val="bullet"/>
      <w:lvlText w:val=""/>
      <w:lvlJc w:val="left"/>
      <w:pPr>
        <w:ind w:left="3520" w:hanging="400"/>
      </w:pPr>
      <w:rPr>
        <w:rFonts w:ascii="Wingdings" w:hAnsi="Wingdings" w:hint="default"/>
      </w:rPr>
    </w:lvl>
  </w:abstractNum>
  <w:abstractNum w:abstractNumId="4">
    <w:nsid w:val="4957541F"/>
    <w:multiLevelType w:val="hybridMultilevel"/>
    <w:tmpl w:val="01BC09B0"/>
    <w:lvl w:ilvl="0" w:tplc="23C8003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6">
    <w:nsid w:val="5A787F92"/>
    <w:multiLevelType w:val="hybridMultilevel"/>
    <w:tmpl w:val="A6160DDE"/>
    <w:lvl w:ilvl="0" w:tplc="04090005">
      <w:start w:val="1"/>
      <w:numFmt w:val="bullet"/>
      <w:lvlText w:val=""/>
      <w:lvlJc w:val="left"/>
      <w:pPr>
        <w:ind w:left="640" w:hanging="360"/>
      </w:pPr>
      <w:rPr>
        <w:rFonts w:ascii="Wingdings" w:hAnsi="Wingdings" w:hint="default"/>
      </w:rPr>
    </w:lvl>
    <w:lvl w:ilvl="1" w:tplc="04090003" w:tentative="1">
      <w:start w:val="1"/>
      <w:numFmt w:val="bullet"/>
      <w:lvlText w:val=""/>
      <w:lvlJc w:val="left"/>
      <w:pPr>
        <w:ind w:left="1080" w:hanging="400"/>
      </w:pPr>
      <w:rPr>
        <w:rFonts w:ascii="Wingdings" w:hAnsi="Wingdings" w:hint="default"/>
      </w:rPr>
    </w:lvl>
    <w:lvl w:ilvl="2" w:tplc="04090005" w:tentative="1">
      <w:start w:val="1"/>
      <w:numFmt w:val="bullet"/>
      <w:lvlText w:val=""/>
      <w:lvlJc w:val="left"/>
      <w:pPr>
        <w:ind w:left="1480" w:hanging="400"/>
      </w:pPr>
      <w:rPr>
        <w:rFonts w:ascii="Wingdings" w:hAnsi="Wingdings" w:hint="default"/>
      </w:rPr>
    </w:lvl>
    <w:lvl w:ilvl="3" w:tplc="04090001" w:tentative="1">
      <w:start w:val="1"/>
      <w:numFmt w:val="bullet"/>
      <w:lvlText w:val=""/>
      <w:lvlJc w:val="left"/>
      <w:pPr>
        <w:ind w:left="1880" w:hanging="400"/>
      </w:pPr>
      <w:rPr>
        <w:rFonts w:ascii="Wingdings" w:hAnsi="Wingdings" w:hint="default"/>
      </w:rPr>
    </w:lvl>
    <w:lvl w:ilvl="4" w:tplc="04090003" w:tentative="1">
      <w:start w:val="1"/>
      <w:numFmt w:val="bullet"/>
      <w:lvlText w:val=""/>
      <w:lvlJc w:val="left"/>
      <w:pPr>
        <w:ind w:left="2280" w:hanging="400"/>
      </w:pPr>
      <w:rPr>
        <w:rFonts w:ascii="Wingdings" w:hAnsi="Wingdings" w:hint="default"/>
      </w:rPr>
    </w:lvl>
    <w:lvl w:ilvl="5" w:tplc="04090005" w:tentative="1">
      <w:start w:val="1"/>
      <w:numFmt w:val="bullet"/>
      <w:lvlText w:val=""/>
      <w:lvlJc w:val="left"/>
      <w:pPr>
        <w:ind w:left="2680" w:hanging="400"/>
      </w:pPr>
      <w:rPr>
        <w:rFonts w:ascii="Wingdings" w:hAnsi="Wingdings" w:hint="default"/>
      </w:rPr>
    </w:lvl>
    <w:lvl w:ilvl="6" w:tplc="04090001" w:tentative="1">
      <w:start w:val="1"/>
      <w:numFmt w:val="bullet"/>
      <w:lvlText w:val=""/>
      <w:lvlJc w:val="left"/>
      <w:pPr>
        <w:ind w:left="3080" w:hanging="400"/>
      </w:pPr>
      <w:rPr>
        <w:rFonts w:ascii="Wingdings" w:hAnsi="Wingdings" w:hint="default"/>
      </w:rPr>
    </w:lvl>
    <w:lvl w:ilvl="7" w:tplc="04090003" w:tentative="1">
      <w:start w:val="1"/>
      <w:numFmt w:val="bullet"/>
      <w:lvlText w:val=""/>
      <w:lvlJc w:val="left"/>
      <w:pPr>
        <w:ind w:left="3480" w:hanging="400"/>
      </w:pPr>
      <w:rPr>
        <w:rFonts w:ascii="Wingdings" w:hAnsi="Wingdings" w:hint="default"/>
      </w:rPr>
    </w:lvl>
    <w:lvl w:ilvl="8" w:tplc="04090005" w:tentative="1">
      <w:start w:val="1"/>
      <w:numFmt w:val="bullet"/>
      <w:lvlText w:val=""/>
      <w:lvlJc w:val="left"/>
      <w:pPr>
        <w:ind w:left="3880" w:hanging="400"/>
      </w:pPr>
      <w:rPr>
        <w:rFonts w:ascii="Wingdings" w:hAnsi="Wingdings" w:hint="default"/>
      </w:r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7073C46"/>
    <w:multiLevelType w:val="hybridMultilevel"/>
    <w:tmpl w:val="BC2C80FC"/>
    <w:lvl w:ilvl="0" w:tplc="A114EBFA">
      <w:start w:val="1"/>
      <w:numFmt w:val="bullet"/>
      <w:lvlText w:val="-"/>
      <w:lvlJc w:val="left"/>
      <w:pPr>
        <w:ind w:left="360" w:hanging="360"/>
      </w:pPr>
      <w:rPr>
        <w:rFonts w:ascii="Malgun Gothic" w:eastAsia="Malgun Gothic" w:hAnsi="Malgun Gothic" w:cstheme="minorBidi" w:hint="eastAsia"/>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DC56719"/>
    <w:multiLevelType w:val="hybridMultilevel"/>
    <w:tmpl w:val="FFAE4902"/>
    <w:lvl w:ilvl="0" w:tplc="7D0CD3BE">
      <w:numFmt w:val="bullet"/>
      <w:lvlText w:val="-"/>
      <w:lvlJc w:val="left"/>
      <w:pPr>
        <w:ind w:left="360" w:hanging="360"/>
      </w:pPr>
      <w:rPr>
        <w:rFonts w:ascii="Times New Roman" w:eastAsia="MS Mincho"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num>
  <w:num w:numId="2">
    <w:abstractNumId w:val="10"/>
  </w:num>
  <w:num w:numId="3">
    <w:abstractNumId w:val="0"/>
  </w:num>
  <w:num w:numId="4">
    <w:abstractNumId w:val="7"/>
  </w:num>
  <w:num w:numId="5">
    <w:abstractNumId w:val="11"/>
  </w:num>
  <w:num w:numId="6">
    <w:abstractNumId w:val="1"/>
  </w:num>
  <w:num w:numId="7">
    <w:abstractNumId w:val="5"/>
  </w:num>
  <w:num w:numId="8">
    <w:abstractNumId w:val="2"/>
  </w:num>
  <w:num w:numId="9">
    <w:abstractNumId w:val="4"/>
  </w:num>
  <w:num w:numId="10">
    <w:abstractNumId w:val="9"/>
  </w:num>
  <w:num w:numId="11">
    <w:abstractNumId w:val="3"/>
  </w:num>
  <w:num w:numId="12">
    <w:abstractNumId w:val="6"/>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19457"/>
  </w:hdrShapeDefaults>
  <w:footnotePr>
    <w:footnote w:id="-1"/>
    <w:footnote w:id="0"/>
  </w:footnotePr>
  <w:endnotePr>
    <w:endnote w:id="-1"/>
    <w:endnote w:id="0"/>
  </w:endnotePr>
  <w:compat>
    <w:useFELayout/>
    <w:compatSetting w:name="compatibilityMode" w:uri="http://schemas.microsoft.com/office/word" w:val="12"/>
  </w:compat>
  <w:rsids>
    <w:rsidRoot w:val="00550D38"/>
    <w:rsid w:val="00002465"/>
    <w:rsid w:val="000048B5"/>
    <w:rsid w:val="000104BD"/>
    <w:rsid w:val="0001212F"/>
    <w:rsid w:val="000135F6"/>
    <w:rsid w:val="000304C7"/>
    <w:rsid w:val="00032134"/>
    <w:rsid w:val="00033326"/>
    <w:rsid w:val="00037813"/>
    <w:rsid w:val="00044982"/>
    <w:rsid w:val="00047952"/>
    <w:rsid w:val="00051ED5"/>
    <w:rsid w:val="000522FD"/>
    <w:rsid w:val="000531BD"/>
    <w:rsid w:val="00055CB6"/>
    <w:rsid w:val="00062C21"/>
    <w:rsid w:val="000700C3"/>
    <w:rsid w:val="00073C93"/>
    <w:rsid w:val="000874E4"/>
    <w:rsid w:val="00095554"/>
    <w:rsid w:val="000A64C1"/>
    <w:rsid w:val="000A7240"/>
    <w:rsid w:val="000B5E64"/>
    <w:rsid w:val="000B711E"/>
    <w:rsid w:val="000C3C25"/>
    <w:rsid w:val="000C6ECA"/>
    <w:rsid w:val="000D4A00"/>
    <w:rsid w:val="000D6C2E"/>
    <w:rsid w:val="000D7DA5"/>
    <w:rsid w:val="000E3612"/>
    <w:rsid w:val="000E53BA"/>
    <w:rsid w:val="000F18D5"/>
    <w:rsid w:val="0010269C"/>
    <w:rsid w:val="001112B8"/>
    <w:rsid w:val="001114CA"/>
    <w:rsid w:val="001350C6"/>
    <w:rsid w:val="00141491"/>
    <w:rsid w:val="001446A7"/>
    <w:rsid w:val="00153187"/>
    <w:rsid w:val="001575A8"/>
    <w:rsid w:val="001638D5"/>
    <w:rsid w:val="00163C9F"/>
    <w:rsid w:val="00165B31"/>
    <w:rsid w:val="00183776"/>
    <w:rsid w:val="00187554"/>
    <w:rsid w:val="0019137E"/>
    <w:rsid w:val="00196A1D"/>
    <w:rsid w:val="001A5CB4"/>
    <w:rsid w:val="001B18E2"/>
    <w:rsid w:val="001B34F3"/>
    <w:rsid w:val="001B54D4"/>
    <w:rsid w:val="001C16A8"/>
    <w:rsid w:val="001C21AE"/>
    <w:rsid w:val="001C4164"/>
    <w:rsid w:val="001C422A"/>
    <w:rsid w:val="001C74C3"/>
    <w:rsid w:val="001D17E1"/>
    <w:rsid w:val="001E511B"/>
    <w:rsid w:val="001F317B"/>
    <w:rsid w:val="001F5B91"/>
    <w:rsid w:val="00206411"/>
    <w:rsid w:val="00207EE3"/>
    <w:rsid w:val="002250BE"/>
    <w:rsid w:val="00245849"/>
    <w:rsid w:val="00245D75"/>
    <w:rsid w:val="00251C3F"/>
    <w:rsid w:val="00252945"/>
    <w:rsid w:val="0027569D"/>
    <w:rsid w:val="0028043D"/>
    <w:rsid w:val="002810FD"/>
    <w:rsid w:val="00281257"/>
    <w:rsid w:val="0028485E"/>
    <w:rsid w:val="002914FD"/>
    <w:rsid w:val="002921E5"/>
    <w:rsid w:val="00293947"/>
    <w:rsid w:val="00293B76"/>
    <w:rsid w:val="002949DD"/>
    <w:rsid w:val="00294BA3"/>
    <w:rsid w:val="00295E01"/>
    <w:rsid w:val="002A7617"/>
    <w:rsid w:val="002A7ED7"/>
    <w:rsid w:val="002A7FA1"/>
    <w:rsid w:val="002C11F9"/>
    <w:rsid w:val="002C499A"/>
    <w:rsid w:val="002C738A"/>
    <w:rsid w:val="002D1559"/>
    <w:rsid w:val="002D5529"/>
    <w:rsid w:val="002D7217"/>
    <w:rsid w:val="002E1642"/>
    <w:rsid w:val="002E5A73"/>
    <w:rsid w:val="002F1B0A"/>
    <w:rsid w:val="00310DDF"/>
    <w:rsid w:val="00314A52"/>
    <w:rsid w:val="00320A0D"/>
    <w:rsid w:val="00324304"/>
    <w:rsid w:val="003404BF"/>
    <w:rsid w:val="00346968"/>
    <w:rsid w:val="00347DB6"/>
    <w:rsid w:val="003601B2"/>
    <w:rsid w:val="00361850"/>
    <w:rsid w:val="00362A7D"/>
    <w:rsid w:val="003642A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0771B"/>
    <w:rsid w:val="00413EDA"/>
    <w:rsid w:val="00415F4C"/>
    <w:rsid w:val="004223F1"/>
    <w:rsid w:val="0042519D"/>
    <w:rsid w:val="00426C67"/>
    <w:rsid w:val="00430A5B"/>
    <w:rsid w:val="004342FA"/>
    <w:rsid w:val="00437572"/>
    <w:rsid w:val="00437B4C"/>
    <w:rsid w:val="004437D4"/>
    <w:rsid w:val="004447EF"/>
    <w:rsid w:val="004466F4"/>
    <w:rsid w:val="00460847"/>
    <w:rsid w:val="00461DD9"/>
    <w:rsid w:val="004668E7"/>
    <w:rsid w:val="00472482"/>
    <w:rsid w:val="00480313"/>
    <w:rsid w:val="004938CC"/>
    <w:rsid w:val="00495EEF"/>
    <w:rsid w:val="004A77F1"/>
    <w:rsid w:val="004B58FE"/>
    <w:rsid w:val="004C1599"/>
    <w:rsid w:val="004D3BAA"/>
    <w:rsid w:val="004D77E1"/>
    <w:rsid w:val="004E156D"/>
    <w:rsid w:val="004E577D"/>
    <w:rsid w:val="004F3BA0"/>
    <w:rsid w:val="004F6651"/>
    <w:rsid w:val="0050151E"/>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0198"/>
    <w:rsid w:val="005E36A7"/>
    <w:rsid w:val="005F4523"/>
    <w:rsid w:val="005F4C81"/>
    <w:rsid w:val="005F65A1"/>
    <w:rsid w:val="0060664B"/>
    <w:rsid w:val="006125D7"/>
    <w:rsid w:val="0061527F"/>
    <w:rsid w:val="006160AE"/>
    <w:rsid w:val="006166B0"/>
    <w:rsid w:val="006204CC"/>
    <w:rsid w:val="00622808"/>
    <w:rsid w:val="0062450A"/>
    <w:rsid w:val="00624976"/>
    <w:rsid w:val="00631715"/>
    <w:rsid w:val="00634A60"/>
    <w:rsid w:val="00637340"/>
    <w:rsid w:val="00650516"/>
    <w:rsid w:val="00653DA3"/>
    <w:rsid w:val="006567ED"/>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85A1A"/>
    <w:rsid w:val="0079169E"/>
    <w:rsid w:val="0079558F"/>
    <w:rsid w:val="00796267"/>
    <w:rsid w:val="00796B82"/>
    <w:rsid w:val="007B3E28"/>
    <w:rsid w:val="007C2038"/>
    <w:rsid w:val="007C49CE"/>
    <w:rsid w:val="007C595D"/>
    <w:rsid w:val="007D7393"/>
    <w:rsid w:val="007F4C01"/>
    <w:rsid w:val="007F6329"/>
    <w:rsid w:val="00801715"/>
    <w:rsid w:val="00802B20"/>
    <w:rsid w:val="00810373"/>
    <w:rsid w:val="008269A2"/>
    <w:rsid w:val="00827511"/>
    <w:rsid w:val="008414B4"/>
    <w:rsid w:val="00843A1D"/>
    <w:rsid w:val="00846779"/>
    <w:rsid w:val="00854846"/>
    <w:rsid w:val="0085547C"/>
    <w:rsid w:val="00857BD7"/>
    <w:rsid w:val="008621B3"/>
    <w:rsid w:val="008639CA"/>
    <w:rsid w:val="00872093"/>
    <w:rsid w:val="00881D8B"/>
    <w:rsid w:val="00881EE7"/>
    <w:rsid w:val="00882666"/>
    <w:rsid w:val="008968BD"/>
    <w:rsid w:val="00897AFA"/>
    <w:rsid w:val="008A2780"/>
    <w:rsid w:val="008A5CA7"/>
    <w:rsid w:val="008A71EB"/>
    <w:rsid w:val="008B534D"/>
    <w:rsid w:val="008B798C"/>
    <w:rsid w:val="008C03D1"/>
    <w:rsid w:val="008C1C30"/>
    <w:rsid w:val="008C255B"/>
    <w:rsid w:val="008C3634"/>
    <w:rsid w:val="008C4B31"/>
    <w:rsid w:val="008C5169"/>
    <w:rsid w:val="008E274F"/>
    <w:rsid w:val="008E4282"/>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755B0"/>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36A62"/>
    <w:rsid w:val="00A414EB"/>
    <w:rsid w:val="00A45F94"/>
    <w:rsid w:val="00A55596"/>
    <w:rsid w:val="00A65A51"/>
    <w:rsid w:val="00A7189B"/>
    <w:rsid w:val="00A71E92"/>
    <w:rsid w:val="00A74081"/>
    <w:rsid w:val="00A83967"/>
    <w:rsid w:val="00A872AF"/>
    <w:rsid w:val="00AA52BD"/>
    <w:rsid w:val="00AA78F7"/>
    <w:rsid w:val="00AB119C"/>
    <w:rsid w:val="00AB564C"/>
    <w:rsid w:val="00AB7157"/>
    <w:rsid w:val="00AC551F"/>
    <w:rsid w:val="00AD3B62"/>
    <w:rsid w:val="00AD49F1"/>
    <w:rsid w:val="00AE5EDA"/>
    <w:rsid w:val="00B0249F"/>
    <w:rsid w:val="00B04592"/>
    <w:rsid w:val="00B05BBA"/>
    <w:rsid w:val="00B06CE2"/>
    <w:rsid w:val="00B070C6"/>
    <w:rsid w:val="00B147A8"/>
    <w:rsid w:val="00B2276F"/>
    <w:rsid w:val="00B360C9"/>
    <w:rsid w:val="00B408BC"/>
    <w:rsid w:val="00B42432"/>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24B0A"/>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C5B82"/>
    <w:rsid w:val="00CD47BE"/>
    <w:rsid w:val="00D01387"/>
    <w:rsid w:val="00D02FA8"/>
    <w:rsid w:val="00D17948"/>
    <w:rsid w:val="00D22E8A"/>
    <w:rsid w:val="00D35ABB"/>
    <w:rsid w:val="00D37E35"/>
    <w:rsid w:val="00D6629A"/>
    <w:rsid w:val="00D70B08"/>
    <w:rsid w:val="00D733B4"/>
    <w:rsid w:val="00D9579B"/>
    <w:rsid w:val="00D97460"/>
    <w:rsid w:val="00DA0B4D"/>
    <w:rsid w:val="00DB1BA5"/>
    <w:rsid w:val="00DB3060"/>
    <w:rsid w:val="00DD1C37"/>
    <w:rsid w:val="00DD4013"/>
    <w:rsid w:val="00DE5EB7"/>
    <w:rsid w:val="00DF04C7"/>
    <w:rsid w:val="00E106FE"/>
    <w:rsid w:val="00E36DFF"/>
    <w:rsid w:val="00E40C83"/>
    <w:rsid w:val="00E43CAF"/>
    <w:rsid w:val="00E6623A"/>
    <w:rsid w:val="00E90B58"/>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269F8"/>
    <w:rsid w:val="00F345D8"/>
    <w:rsid w:val="00F35F35"/>
    <w:rsid w:val="00F448DD"/>
    <w:rsid w:val="00F4516F"/>
    <w:rsid w:val="00F5735F"/>
    <w:rsid w:val="00F617E1"/>
    <w:rsid w:val="00F62267"/>
    <w:rsid w:val="00F6362C"/>
    <w:rsid w:val="00F72148"/>
    <w:rsid w:val="00FA3713"/>
    <w:rsid w:val="00FA501F"/>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uiPriority w:val="59"/>
    <w:rsid w:val="008968BD"/>
    <w:rPr>
      <w:rFonts w:ascii="Calibri" w:eastAsia="Calibri" w:hAnsi="Calibr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_text"/>
    <w:basedOn w:val="Normal"/>
    <w:link w:val="TabletextChar"/>
    <w:rsid w:val="000F18D5"/>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ascii="Calibri" w:hAnsi="Calibri" w:cs="Calibri"/>
      <w:sz w:val="20"/>
      <w:szCs w:val="22"/>
      <w:lang w:val="en-US"/>
    </w:rPr>
  </w:style>
  <w:style w:type="character" w:customStyle="1" w:styleId="TabletextChar">
    <w:name w:val="Table_text Char"/>
    <w:basedOn w:val="DefaultParagraphFont"/>
    <w:link w:val="Tabletext"/>
    <w:locked/>
    <w:rsid w:val="000F18D5"/>
    <w:rPr>
      <w:rFonts w:ascii="Calibri" w:eastAsia="Times New Roman" w:hAnsi="Calibri" w:cs="Calibri"/>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14"/>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tabs>
        <w:tab w:val="num" w:pos="720"/>
      </w:tabs>
      <w:ind w:left="720" w:hanging="720"/>
    </w:pPr>
  </w:style>
  <w:style w:type="paragraph" w:customStyle="1" w:styleId="BodyTextNumbered">
    <w:name w:val="_Body Text Numbered"/>
    <w:basedOn w:val="BodyText"/>
    <w:rsid w:val="00B74B70"/>
    <w:pPr>
      <w:tabs>
        <w:tab w:val="num" w:pos="720"/>
      </w:tabs>
      <w:ind w:left="720" w:hanging="720"/>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tabs>
        <w:tab w:val="left" w:pos="680"/>
        <w:tab w:val="num" w:pos="720"/>
        <w:tab w:val="left" w:pos="1134"/>
        <w:tab w:val="left" w:pos="2041"/>
        <w:tab w:val="left" w:pos="2722"/>
        <w:tab w:val="left" w:pos="3402"/>
      </w:tabs>
      <w:spacing w:before="240"/>
      <w:ind w:left="720" w:hanging="72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tabs>
        <w:tab w:val="left" w:pos="680"/>
        <w:tab w:val="num" w:pos="720"/>
        <w:tab w:val="left" w:pos="1134"/>
        <w:tab w:val="left" w:pos="2041"/>
        <w:tab w:val="left" w:pos="2722"/>
        <w:tab w:val="left" w:pos="3402"/>
      </w:tabs>
      <w:spacing w:before="240" w:after="120"/>
      <w:ind w:left="720" w:hanging="7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tabs>
        <w:tab w:val="num" w:pos="720"/>
      </w:tabs>
      <w:ind w:left="720" w:hanging="720"/>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AF716-3D3B-4AD6-90F5-B0B839EDB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226</TotalTime>
  <Pages>8</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17999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52</cp:revision>
  <cp:lastPrinted>2012-03-15T15:21:00Z</cp:lastPrinted>
  <dcterms:created xsi:type="dcterms:W3CDTF">2018-01-31T05:13:00Z</dcterms:created>
  <dcterms:modified xsi:type="dcterms:W3CDTF">2018-02-07T15:13:00Z</dcterms:modified>
</cp:coreProperties>
</file>