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Borders>
          <w:bottom w:val="single" w:sz="4" w:space="0" w:color="auto"/>
        </w:tblBorders>
        <w:tblLook w:val="01E0" w:firstRow="1" w:lastRow="1" w:firstColumn="1" w:lastColumn="1" w:noHBand="0" w:noVBand="0"/>
      </w:tblPr>
      <w:tblGrid>
        <w:gridCol w:w="6629"/>
        <w:gridCol w:w="2760"/>
      </w:tblGrid>
      <w:tr w:rsidR="00B74B70" w:rsidRPr="00636B90" w:rsidTr="00EE4A91">
        <w:trPr>
          <w:trHeight w:val="282"/>
        </w:trPr>
        <w:tc>
          <w:tcPr>
            <w:tcW w:w="6629"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5998EFB8" wp14:editId="5B31423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760" w:type="dxa"/>
          </w:tcPr>
          <w:p w:rsidR="00B74B70" w:rsidRPr="008D1145" w:rsidRDefault="00550D38" w:rsidP="001F0174">
            <w:pPr>
              <w:spacing w:after="60"/>
              <w:ind w:right="-108"/>
              <w:jc w:val="right"/>
              <w:rPr>
                <w:rFonts w:cs="Tahoma"/>
                <w:b/>
                <w:bCs/>
                <w:color w:val="365F91" w:themeColor="accent1" w:themeShade="BF"/>
                <w:szCs w:val="22"/>
                <w:lang w:val="en-US"/>
              </w:rPr>
            </w:pPr>
            <w:r w:rsidRPr="008D1145">
              <w:rPr>
                <w:rFonts w:cs="Tahoma"/>
                <w:b/>
                <w:bCs/>
                <w:color w:val="365F91" w:themeColor="accent1" w:themeShade="BF"/>
                <w:szCs w:val="22"/>
                <w:lang w:val="en-US"/>
              </w:rPr>
              <w:t xml:space="preserve">SG-RFC-2018/Doc </w:t>
            </w:r>
            <w:r w:rsidR="001F0174">
              <w:rPr>
                <w:rFonts w:cs="Tahoma"/>
                <w:b/>
                <w:bCs/>
                <w:color w:val="365F91" w:themeColor="accent1" w:themeShade="BF"/>
                <w:szCs w:val="22"/>
                <w:lang w:val="en-US"/>
              </w:rPr>
              <w:t>05</w:t>
            </w:r>
            <w:r w:rsidR="00EE4A91">
              <w:rPr>
                <w:rFonts w:cs="Tahoma"/>
                <w:b/>
                <w:bCs/>
                <w:color w:val="365F91" w:themeColor="accent1" w:themeShade="BF"/>
                <w:szCs w:val="22"/>
                <w:lang w:val="en-US"/>
              </w:rPr>
              <w:t>.2</w:t>
            </w:r>
            <w:r w:rsidR="00AA52BD" w:rsidRPr="008D1145">
              <w:rPr>
                <w:rFonts w:cs="Tahoma"/>
                <w:b/>
                <w:bCs/>
                <w:color w:val="365F91" w:themeColor="accent1" w:themeShade="BF"/>
                <w:szCs w:val="22"/>
                <w:lang w:val="en-US"/>
              </w:rPr>
              <w:br/>
              <w:t xml:space="preserve">Agenda item: </w:t>
            </w:r>
            <w:r w:rsidR="001F0174">
              <w:rPr>
                <w:rFonts w:cs="Tahoma"/>
                <w:b/>
                <w:bCs/>
                <w:color w:val="365F91" w:themeColor="accent1" w:themeShade="BF"/>
                <w:szCs w:val="22"/>
                <w:lang w:val="en-US"/>
              </w:rPr>
              <w:t>2.</w:t>
            </w:r>
            <w:r w:rsidR="00796C5D">
              <w:rPr>
                <w:rFonts w:cs="Tahoma"/>
                <w:b/>
                <w:bCs/>
                <w:color w:val="365F91" w:themeColor="accent1" w:themeShade="BF"/>
                <w:szCs w:val="22"/>
                <w:lang w:val="en-US"/>
              </w:rPr>
              <w:t>4.</w:t>
            </w:r>
            <w:r w:rsidR="001F0174">
              <w:rPr>
                <w:rFonts w:cs="Tahoma"/>
                <w:b/>
                <w:bCs/>
                <w:color w:val="365F91" w:themeColor="accent1" w:themeShade="BF"/>
                <w:szCs w:val="22"/>
                <w:lang w:val="en-US"/>
              </w:rPr>
              <w:t>2</w:t>
            </w:r>
          </w:p>
        </w:tc>
      </w:tr>
      <w:tr w:rsidR="00B74B70" w:rsidRPr="005D666D" w:rsidTr="00EE4A91">
        <w:trPr>
          <w:trHeight w:val="730"/>
        </w:trPr>
        <w:tc>
          <w:tcPr>
            <w:tcW w:w="6629" w:type="dxa"/>
            <w:vMerge/>
          </w:tcPr>
          <w:p w:rsidR="00B74B70" w:rsidRPr="008D114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760"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EB3300">
              <w:rPr>
                <w:rFonts w:cs="Tahoma"/>
                <w:color w:val="365F91" w:themeColor="accent1" w:themeShade="BF"/>
                <w:szCs w:val="22"/>
              </w:rPr>
              <w:t xml:space="preserve">Philippe </w:t>
            </w:r>
            <w:proofErr w:type="spellStart"/>
            <w:r w:rsidR="00EB3300">
              <w:rPr>
                <w:rFonts w:cs="Tahoma"/>
                <w:color w:val="365F91" w:themeColor="accent1" w:themeShade="BF"/>
                <w:szCs w:val="22"/>
              </w:rPr>
              <w:t>Tristant</w:t>
            </w:r>
            <w:proofErr w:type="spellEnd"/>
            <w:r w:rsidRPr="005D666D">
              <w:rPr>
                <w:rFonts w:cs="Tahoma"/>
                <w:color w:val="365F91" w:themeColor="accent1" w:themeShade="BF"/>
                <w:szCs w:val="22"/>
              </w:rPr>
              <w:t xml:space="preserve"> </w:t>
            </w:r>
          </w:p>
          <w:p w:rsidR="00AA52BD" w:rsidRDefault="00EB3300" w:rsidP="00EE4A91">
            <w:pPr>
              <w:spacing w:after="60"/>
              <w:ind w:right="-108"/>
              <w:jc w:val="right"/>
              <w:rPr>
                <w:rFonts w:cs="Tahoma"/>
                <w:color w:val="365F91" w:themeColor="accent1" w:themeShade="BF"/>
                <w:szCs w:val="22"/>
              </w:rPr>
            </w:pPr>
            <w:r>
              <w:rPr>
                <w:rFonts w:cs="Tahoma"/>
                <w:color w:val="365F91" w:themeColor="accent1" w:themeShade="BF"/>
                <w:szCs w:val="22"/>
              </w:rPr>
              <w:t>02.</w:t>
            </w:r>
            <w:r w:rsidR="00EE4A91">
              <w:rPr>
                <w:rFonts w:cs="Tahoma"/>
                <w:color w:val="365F91" w:themeColor="accent1" w:themeShade="BF"/>
                <w:szCs w:val="22"/>
              </w:rPr>
              <w:t>Feb</w:t>
            </w:r>
            <w:r w:rsidR="00B74B70">
              <w:rPr>
                <w:rFonts w:cs="Tahoma"/>
                <w:color w:val="365F91" w:themeColor="accent1" w:themeShade="BF"/>
                <w:szCs w:val="22"/>
              </w:rPr>
              <w:t>.</w:t>
            </w:r>
            <w:r w:rsidR="00550D38">
              <w:rPr>
                <w:rFonts w:cs="Tahoma"/>
                <w:color w:val="365F91" w:themeColor="accent1" w:themeShade="BF"/>
                <w:szCs w:val="22"/>
              </w:rPr>
              <w:t>2018</w:t>
            </w:r>
          </w:p>
          <w:p w:rsidR="00AA52BD" w:rsidRPr="00AA52BD" w:rsidRDefault="00AA52BD" w:rsidP="00AA52BD">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 xml:space="preserve">Restricted access: </w:t>
            </w:r>
            <w:r w:rsidRPr="007A3F4B">
              <w:rPr>
                <w:rFonts w:cs="Tahoma"/>
                <w:b/>
                <w:bCs/>
                <w:color w:val="365F91" w:themeColor="accent1" w:themeShade="BF"/>
                <w:szCs w:val="22"/>
              </w:rPr>
              <w:t>N</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796C5D" w:rsidRDefault="00EB3300" w:rsidP="00EB3300">
      <w:pPr>
        <w:pStyle w:val="Heading2"/>
        <w:jc w:val="center"/>
        <w:rPr>
          <w:rFonts w:hint="eastAsia"/>
        </w:rPr>
      </w:pPr>
      <w:bookmarkStart w:id="0" w:name="_GoBack"/>
      <w:r w:rsidRPr="00EB3300">
        <w:rPr>
          <w:rFonts w:eastAsia="Times New Roman"/>
          <w:iCs w:val="0"/>
          <w:kern w:val="32"/>
          <w:sz w:val="28"/>
          <w:szCs w:val="32"/>
          <w:lang w:eastAsia="en-US"/>
        </w:rPr>
        <w:t>CEPT Preliminary Positions on WRC-19 Agenda Items of WMO prime Interest</w:t>
      </w:r>
      <w:bookmarkEnd w:id="0"/>
    </w:p>
    <w:p w:rsidR="00550D38" w:rsidRPr="00FF65B9" w:rsidRDefault="00D24A54" w:rsidP="00550D38">
      <w:pPr>
        <w:pStyle w:val="Heading2"/>
        <w:rPr>
          <w:rFonts w:hint="eastAsia"/>
        </w:rPr>
      </w:pPr>
      <w:r w:rsidRPr="00D24A54">
        <w:t>INTRODUCTION</w:t>
      </w:r>
    </w:p>
    <w:p w:rsidR="00EB3300" w:rsidRPr="00EE4A91" w:rsidRDefault="00EB3300" w:rsidP="00EE4A91">
      <w:pPr>
        <w:pStyle w:val="BodyTextNumbered"/>
        <w:rPr>
          <w:iCs/>
          <w:caps/>
        </w:rPr>
      </w:pPr>
      <w:r w:rsidRPr="00EE4A91">
        <w:t>The CEPT Conference Preparatory Group (ECC/CPG) for WRC-19 met three times since last SG-RFC and held its last meeting 8-11 January 2018 in Budapest (Hungary).</w:t>
      </w:r>
    </w:p>
    <w:p w:rsidR="00EB3300" w:rsidRPr="00EE4A91" w:rsidRDefault="00EB3300" w:rsidP="00EE4A91">
      <w:pPr>
        <w:pStyle w:val="BodyTextNumbered"/>
        <w:rPr>
          <w:iCs/>
          <w:caps/>
        </w:rPr>
      </w:pPr>
      <w:r w:rsidRPr="00EE4A91">
        <w:t>At this stage of the WRC-19 preparation, ECC/CPG only considered the CEPT Briefs of the various agenda items with very preliminary positions.</w:t>
      </w:r>
    </w:p>
    <w:p w:rsidR="00EB02BD" w:rsidRPr="00EE4A91" w:rsidRDefault="00EB3300" w:rsidP="00EE4A91">
      <w:pPr>
        <w:pStyle w:val="BodyTextNumbered"/>
        <w:rPr>
          <w:iCs/>
          <w:caps/>
        </w:rPr>
      </w:pPr>
      <w:r w:rsidRPr="00EE4A91">
        <w:t>These CEPT Preliminary Positions on WRC-19 Agenda Items of WMO interest are given in the attached table.</w:t>
      </w:r>
      <w:r w:rsidR="00EB02BD" w:rsidRPr="00EE4A91">
        <w:t xml:space="preserve"> </w:t>
      </w:r>
      <w:r w:rsidR="00EB02BD" w:rsidRPr="00EE4A91">
        <w:cr/>
      </w:r>
    </w:p>
    <w:p w:rsidR="00EB3300" w:rsidRPr="00EB3300" w:rsidRDefault="00EB3300" w:rsidP="00EB3300">
      <w:pPr>
        <w:rPr>
          <w:rFonts w:eastAsia="Arial"/>
          <w:lang w:eastAsia="zh-TW"/>
        </w:rPr>
      </w:pPr>
    </w:p>
    <w:p w:rsidR="00EB3300" w:rsidRDefault="00EB3300" w:rsidP="00550CB1">
      <w:pPr>
        <w:rPr>
          <w:rFonts w:ascii="Arial Bold" w:eastAsia="SimSun" w:hAnsi="Arial Bold" w:hint="eastAsia"/>
          <w:b/>
          <w:bCs/>
          <w:iCs/>
          <w:caps/>
          <w:sz w:val="24"/>
          <w:szCs w:val="24"/>
          <w:lang w:val="en-US" w:eastAsia="zh-CN"/>
        </w:rPr>
      </w:pPr>
      <w:r w:rsidRPr="00EB3300">
        <w:rPr>
          <w:rFonts w:ascii="Arial Bold" w:eastAsia="SimSun" w:hAnsi="Arial Bold"/>
          <w:b/>
          <w:bCs/>
          <w:iCs/>
          <w:caps/>
          <w:sz w:val="24"/>
          <w:szCs w:val="24"/>
          <w:lang w:val="en-US" w:eastAsia="zh-CN"/>
        </w:rPr>
        <w:t>Action (by SG-RFC) Proposed</w:t>
      </w:r>
    </w:p>
    <w:p w:rsidR="00EB3300" w:rsidRDefault="00EB3300" w:rsidP="00550CB1">
      <w:pPr>
        <w:rPr>
          <w:rFonts w:ascii="Verdana" w:eastAsia="Arial" w:hAnsi="Verdana"/>
          <w:sz w:val="20"/>
          <w:szCs w:val="22"/>
          <w:lang w:val="en-US" w:eastAsia="zh-TW"/>
        </w:rPr>
      </w:pPr>
    </w:p>
    <w:p w:rsidR="00550CB1" w:rsidRDefault="00EB3300" w:rsidP="00550CB1">
      <w:pPr>
        <w:rPr>
          <w:lang w:eastAsia="zh-TW"/>
        </w:rPr>
      </w:pPr>
      <w:r w:rsidRPr="00EB3300">
        <w:rPr>
          <w:rFonts w:ascii="Verdana" w:eastAsia="Arial" w:hAnsi="Verdana"/>
          <w:sz w:val="20"/>
          <w:szCs w:val="22"/>
          <w:lang w:val="en-US" w:eastAsia="zh-TW"/>
        </w:rPr>
        <w:t>Note the information in the attached table.</w:t>
      </w:r>
      <w:r w:rsidR="00550CB1">
        <w:rPr>
          <w:lang w:eastAsia="zh-TW"/>
        </w:rPr>
        <w:tab/>
      </w:r>
    </w:p>
    <w:p w:rsidR="00EB3300" w:rsidRPr="00550CB1" w:rsidRDefault="00EB3300" w:rsidP="00550CB1">
      <w:pPr>
        <w:rPr>
          <w:lang w:eastAsia="zh-TW"/>
        </w:rPr>
      </w:pPr>
    </w:p>
    <w:p w:rsidR="00EB3300" w:rsidRDefault="00EB3300" w:rsidP="00EB3300">
      <w:pPr>
        <w:rPr>
          <w:rFonts w:ascii="Arial Bold" w:eastAsia="SimSun" w:hAnsi="Arial Bold" w:hint="eastAsia"/>
          <w:b/>
          <w:bCs/>
          <w:iCs/>
          <w:caps/>
          <w:sz w:val="24"/>
          <w:szCs w:val="24"/>
          <w:lang w:val="en-US" w:eastAsia="zh-CN"/>
        </w:rPr>
      </w:pPr>
      <w:r w:rsidRPr="00EB3300">
        <w:rPr>
          <w:rFonts w:ascii="Arial Bold" w:eastAsia="SimSun" w:hAnsi="Arial Bold"/>
          <w:b/>
          <w:bCs/>
          <w:iCs/>
          <w:caps/>
          <w:sz w:val="24"/>
          <w:szCs w:val="24"/>
          <w:lang w:val="en-US" w:eastAsia="zh-CN"/>
        </w:rPr>
        <w:t>Recommended text</w:t>
      </w:r>
    </w:p>
    <w:p w:rsidR="00FA7F9D" w:rsidRDefault="00EB3300" w:rsidP="00EB3300">
      <w:pPr>
        <w:pStyle w:val="BodyText"/>
        <w:rPr>
          <w:lang w:val="en-US"/>
        </w:rPr>
      </w:pPr>
      <w:r>
        <w:rPr>
          <w:lang w:val="en-US"/>
        </w:rPr>
        <w:t>None</w:t>
      </w:r>
    </w:p>
    <w:p w:rsidR="00EB3300" w:rsidRDefault="00EB3300" w:rsidP="00EB3300">
      <w:pPr>
        <w:pStyle w:val="BodyText"/>
        <w:sectPr w:rsidR="00EB3300" w:rsidSect="00550D38">
          <w:headerReference w:type="default" r:id="rId10"/>
          <w:headerReference w:type="first" r:id="rId11"/>
          <w:pgSz w:w="11907" w:h="16840" w:code="9"/>
          <w:pgMar w:top="1134" w:right="1134" w:bottom="1134" w:left="1134" w:header="720" w:footer="720" w:gutter="0"/>
          <w:cols w:space="720"/>
          <w:titlePg/>
          <w:docGrid w:linePitch="299"/>
        </w:sectPr>
      </w:pPr>
    </w:p>
    <w:p w:rsidR="00EB3300" w:rsidRDefault="00EB3300" w:rsidP="00EB3300">
      <w:pPr>
        <w:pStyle w:val="BodyText"/>
      </w:pPr>
    </w:p>
    <w:p w:rsidR="00EB3300" w:rsidRDefault="00EB3300" w:rsidP="00EB3300">
      <w:pPr>
        <w:pStyle w:val="BodyText"/>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3"/>
        <w:gridCol w:w="9526"/>
      </w:tblGrid>
      <w:tr w:rsidR="00EB3300" w:rsidRPr="005F142B" w:rsidTr="00BD0FED">
        <w:tc>
          <w:tcPr>
            <w:tcW w:w="817" w:type="dxa"/>
            <w:tcBorders>
              <w:top w:val="single" w:sz="4" w:space="0" w:color="auto"/>
              <w:left w:val="single" w:sz="4" w:space="0" w:color="auto"/>
              <w:bottom w:val="single" w:sz="4" w:space="0" w:color="auto"/>
              <w:right w:val="nil"/>
            </w:tcBorders>
          </w:tcPr>
          <w:p w:rsidR="00EB3300" w:rsidRPr="005F142B" w:rsidRDefault="00EB3300" w:rsidP="00BD0FED">
            <w:pPr>
              <w:jc w:val="center"/>
              <w:rPr>
                <w:b/>
                <w:sz w:val="20"/>
              </w:rPr>
            </w:pPr>
          </w:p>
        </w:tc>
        <w:tc>
          <w:tcPr>
            <w:tcW w:w="4253" w:type="dxa"/>
            <w:tcBorders>
              <w:left w:val="nil"/>
            </w:tcBorders>
          </w:tcPr>
          <w:p w:rsidR="00EB3300" w:rsidRPr="005F142B" w:rsidRDefault="00EB3300" w:rsidP="00BD0FED">
            <w:pPr>
              <w:jc w:val="center"/>
              <w:rPr>
                <w:b/>
                <w:sz w:val="20"/>
              </w:rPr>
            </w:pPr>
            <w:r w:rsidRPr="005F142B">
              <w:rPr>
                <w:b/>
                <w:sz w:val="20"/>
              </w:rPr>
              <w:t>WRC-19 Agenda Item</w:t>
            </w:r>
          </w:p>
        </w:tc>
        <w:tc>
          <w:tcPr>
            <w:tcW w:w="9526" w:type="dxa"/>
          </w:tcPr>
          <w:p w:rsidR="00EB3300" w:rsidRPr="005F142B" w:rsidRDefault="00EB3300" w:rsidP="00BD0FED">
            <w:pPr>
              <w:jc w:val="center"/>
              <w:rPr>
                <w:b/>
                <w:sz w:val="20"/>
              </w:rPr>
            </w:pPr>
            <w:r w:rsidRPr="005F142B">
              <w:rPr>
                <w:b/>
                <w:sz w:val="20"/>
              </w:rPr>
              <w:t>Preliminary CEPT Positions (CPG meeting December 2016)</w:t>
            </w:r>
          </w:p>
        </w:tc>
      </w:tr>
      <w:tr w:rsidR="00EB3300" w:rsidRPr="005F142B" w:rsidTr="00BD0FED">
        <w:tc>
          <w:tcPr>
            <w:tcW w:w="817" w:type="dxa"/>
            <w:tcBorders>
              <w:top w:val="single" w:sz="4" w:space="0" w:color="auto"/>
            </w:tcBorders>
          </w:tcPr>
          <w:p w:rsidR="00EB3300" w:rsidRPr="005F142B" w:rsidRDefault="00EB3300" w:rsidP="00BD0FED">
            <w:pPr>
              <w:spacing w:before="120" w:after="120"/>
              <w:jc w:val="center"/>
              <w:rPr>
                <w:sz w:val="20"/>
              </w:rPr>
            </w:pPr>
            <w:r w:rsidRPr="005F142B">
              <w:rPr>
                <w:sz w:val="20"/>
              </w:rPr>
              <w:t>1.1</w:t>
            </w:r>
          </w:p>
          <w:p w:rsidR="00EB3300" w:rsidRPr="005F142B" w:rsidRDefault="00EB3300" w:rsidP="00BD0FED">
            <w:pPr>
              <w:spacing w:before="120" w:after="120"/>
              <w:jc w:val="center"/>
              <w:rPr>
                <w:color w:val="000000"/>
                <w:sz w:val="20"/>
              </w:rPr>
            </w:pPr>
          </w:p>
        </w:tc>
        <w:tc>
          <w:tcPr>
            <w:tcW w:w="4253" w:type="dxa"/>
          </w:tcPr>
          <w:p w:rsidR="00EB3300" w:rsidRPr="005F142B" w:rsidRDefault="00EB3300" w:rsidP="00BD0FED">
            <w:pPr>
              <w:spacing w:before="120" w:after="120"/>
              <w:rPr>
                <w:sz w:val="20"/>
              </w:rPr>
            </w:pPr>
            <w:r w:rsidRPr="005F142B">
              <w:rPr>
                <w:sz w:val="20"/>
              </w:rPr>
              <w:t>to consider an allocation of the frequency band 50-54 MHz to the amateur service in Region 1, in accordance with Resolution</w:t>
            </w:r>
            <w:r w:rsidRPr="005F142B">
              <w:rPr>
                <w:rStyle w:val="Artdef"/>
                <w:sz w:val="20"/>
              </w:rPr>
              <w:t> </w:t>
            </w:r>
            <w:r w:rsidRPr="005F142B">
              <w:rPr>
                <w:b/>
                <w:sz w:val="20"/>
              </w:rPr>
              <w:t>658 (WRC</w:t>
            </w:r>
            <w:r w:rsidRPr="005F142B">
              <w:rPr>
                <w:b/>
                <w:sz w:val="20"/>
              </w:rPr>
              <w:noBreakHyphen/>
              <w:t>15)</w:t>
            </w:r>
          </w:p>
        </w:tc>
        <w:tc>
          <w:tcPr>
            <w:tcW w:w="9526" w:type="dxa"/>
          </w:tcPr>
          <w:p w:rsidR="00EB3300" w:rsidRPr="005F142B" w:rsidRDefault="00EB3300" w:rsidP="00BD0FED">
            <w:pPr>
              <w:spacing w:before="120"/>
              <w:rPr>
                <w:sz w:val="20"/>
              </w:rPr>
            </w:pPr>
            <w:r w:rsidRPr="005F142B">
              <w:rPr>
                <w:sz w:val="20"/>
              </w:rPr>
              <w:t>CEPT would support an allocation in the frequency range 50-54 MHz to the amateur service in Region 1, only if the spectrum needs for the amateur service in this band are justified and studies show that</w:t>
            </w:r>
            <w:r w:rsidRPr="005F142B">
              <w:rPr>
                <w:b/>
                <w:bCs/>
                <w:caps/>
                <w:sz w:val="20"/>
              </w:rPr>
              <w:t xml:space="preserve"> </w:t>
            </w:r>
            <w:r w:rsidRPr="005F142B">
              <w:rPr>
                <w:sz w:val="20"/>
              </w:rPr>
              <w:t xml:space="preserve">the broadcasting, fixed and mobile services as well as </w:t>
            </w:r>
            <w:proofErr w:type="spellStart"/>
            <w:r w:rsidRPr="005F142B">
              <w:rPr>
                <w:sz w:val="20"/>
              </w:rPr>
              <w:t>windprofiler</w:t>
            </w:r>
            <w:proofErr w:type="spellEnd"/>
            <w:r w:rsidRPr="005F142B">
              <w:rPr>
                <w:sz w:val="20"/>
              </w:rPr>
              <w:t xml:space="preserve"> radars in the radiolocation service, including their future deployment and services in adjacent spectrum, are protected.</w:t>
            </w:r>
          </w:p>
          <w:p w:rsidR="00EB3300" w:rsidRPr="005F142B" w:rsidRDefault="00EB3300" w:rsidP="00EB3300">
            <w:pPr>
              <w:numPr>
                <w:ilvl w:val="0"/>
                <w:numId w:val="9"/>
              </w:numPr>
              <w:spacing w:before="120"/>
              <w:ind w:left="0"/>
              <w:rPr>
                <w:sz w:val="20"/>
              </w:rPr>
            </w:pPr>
            <w:r w:rsidRPr="005F142B">
              <w:rPr>
                <w:sz w:val="20"/>
              </w:rPr>
              <w:t xml:space="preserve">If potentially the frequency band 50-54 MHz is allocated to the amateur service, this should not cause harmful interference to stations in the broadcasting and mobile services to which this frequency band is allocated on a primary basis. The amateur service shall not claim protection from harmful interference caused by the broadcasting service, mobile service and </w:t>
            </w:r>
            <w:proofErr w:type="spellStart"/>
            <w:r w:rsidRPr="005F142B">
              <w:rPr>
                <w:sz w:val="20"/>
              </w:rPr>
              <w:t>windprofiler</w:t>
            </w:r>
            <w:proofErr w:type="spellEnd"/>
            <w:r w:rsidRPr="005F142B">
              <w:rPr>
                <w:sz w:val="20"/>
              </w:rPr>
              <w:t xml:space="preserve"> radars in the radiolocation service.</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t>1.2</w:t>
            </w:r>
          </w:p>
          <w:p w:rsidR="00EB3300" w:rsidRPr="005F142B" w:rsidRDefault="00EB3300" w:rsidP="00BD0FED">
            <w:pPr>
              <w:spacing w:before="120" w:after="120"/>
              <w:jc w:val="center"/>
              <w:rPr>
                <w:sz w:val="20"/>
              </w:rPr>
            </w:pPr>
          </w:p>
          <w:p w:rsidR="00EB3300" w:rsidRPr="005F142B" w:rsidRDefault="00EB3300" w:rsidP="00BD0FED">
            <w:pPr>
              <w:spacing w:before="120" w:after="120"/>
              <w:jc w:val="center"/>
              <w:rPr>
                <w:color w:val="000000"/>
                <w:sz w:val="20"/>
              </w:rPr>
            </w:pPr>
          </w:p>
        </w:tc>
        <w:tc>
          <w:tcPr>
            <w:tcW w:w="4253" w:type="dxa"/>
          </w:tcPr>
          <w:p w:rsidR="00EB3300" w:rsidRPr="005F142B" w:rsidRDefault="00EB3300" w:rsidP="00BD0FED">
            <w:pPr>
              <w:tabs>
                <w:tab w:val="num" w:pos="2250"/>
              </w:tabs>
              <w:spacing w:before="120" w:after="120"/>
              <w:rPr>
                <w:rFonts w:eastAsia="SimSun"/>
                <w:bCs/>
                <w:sz w:val="20"/>
                <w:lang w:eastAsia="zh-CN"/>
              </w:rPr>
            </w:pPr>
            <w:r w:rsidRPr="005F142B">
              <w:rPr>
                <w:sz w:val="20"/>
              </w:rPr>
              <w:t>to consider in-band power limits for earth stations operating in the mobile-satellite service, meteorological-satellite service and Earth exploration-satellite service in the frequency bands 401-403 MHz and 399.9-400.05 MHz, in accordance with Resolution</w:t>
            </w:r>
            <w:r w:rsidRPr="005F142B">
              <w:rPr>
                <w:b/>
                <w:bCs/>
                <w:sz w:val="20"/>
              </w:rPr>
              <w:t> </w:t>
            </w:r>
            <w:r w:rsidRPr="005F142B">
              <w:rPr>
                <w:b/>
                <w:sz w:val="20"/>
              </w:rPr>
              <w:t>765 (WRC</w:t>
            </w:r>
            <w:r w:rsidRPr="005F142B">
              <w:rPr>
                <w:b/>
                <w:sz w:val="20"/>
              </w:rPr>
              <w:noBreakHyphen/>
              <w:t>15)</w:t>
            </w:r>
          </w:p>
        </w:tc>
        <w:tc>
          <w:tcPr>
            <w:tcW w:w="9526" w:type="dxa"/>
          </w:tcPr>
          <w:p w:rsidR="00EB3300" w:rsidRPr="005F142B" w:rsidRDefault="00EB3300" w:rsidP="00BD0FED">
            <w:pPr>
              <w:pStyle w:val="ECCParagraph"/>
              <w:spacing w:before="120" w:after="120"/>
              <w:rPr>
                <w:rFonts w:ascii="Times New Roman" w:hAnsi="Times New Roman"/>
                <w:sz w:val="20"/>
                <w:szCs w:val="20"/>
              </w:rPr>
            </w:pPr>
            <w:r w:rsidRPr="005F142B">
              <w:rPr>
                <w:rFonts w:ascii="Times New Roman" w:hAnsi="Times New Roman"/>
                <w:sz w:val="20"/>
                <w:szCs w:val="20"/>
              </w:rPr>
              <w:t>In order to ensure long term continuity for the operation of satellite data collection systems, CEPT supports the establishment of in-band power/</w:t>
            </w:r>
            <w:proofErr w:type="spellStart"/>
            <w:r w:rsidRPr="005F142B">
              <w:rPr>
                <w:rFonts w:ascii="Times New Roman" w:hAnsi="Times New Roman"/>
                <w:sz w:val="20"/>
                <w:szCs w:val="20"/>
              </w:rPr>
              <w:t>e.i.r.p</w:t>
            </w:r>
            <w:proofErr w:type="spellEnd"/>
            <w:r w:rsidRPr="005F142B">
              <w:rPr>
                <w:rFonts w:ascii="Times New Roman" w:hAnsi="Times New Roman"/>
                <w:sz w:val="20"/>
                <w:szCs w:val="20"/>
              </w:rPr>
              <w:t xml:space="preserve"> limits, as appropriate, for earth stations in the EESS and </w:t>
            </w:r>
            <w:proofErr w:type="spellStart"/>
            <w:r w:rsidRPr="005F142B">
              <w:rPr>
                <w:rFonts w:ascii="Times New Roman" w:hAnsi="Times New Roman"/>
                <w:sz w:val="20"/>
                <w:szCs w:val="20"/>
              </w:rPr>
              <w:t>MetSat</w:t>
            </w:r>
            <w:proofErr w:type="spellEnd"/>
            <w:r w:rsidRPr="005F142B">
              <w:rPr>
                <w:rFonts w:ascii="Times New Roman" w:hAnsi="Times New Roman"/>
                <w:sz w:val="20"/>
                <w:szCs w:val="20"/>
              </w:rPr>
              <w:t xml:space="preserve"> in the frequency band 401-403 MHz and the MSS in the frequency band 399.9-400.05 MHz, taking into account the result of studies. In addition, for the frequency band 401-403 MHz, CEPT is of the view that different sets of limits have to be established for GSO and non-GSO systems.</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t>1.3</w:t>
            </w:r>
          </w:p>
          <w:p w:rsidR="00EB3300" w:rsidRPr="005F142B" w:rsidRDefault="00EB3300" w:rsidP="00BD0FED">
            <w:pPr>
              <w:spacing w:before="120" w:after="120"/>
              <w:jc w:val="center"/>
              <w:rPr>
                <w:color w:val="FF0000"/>
                <w:sz w:val="20"/>
              </w:rPr>
            </w:pPr>
          </w:p>
          <w:p w:rsidR="00EB3300" w:rsidRPr="005F142B" w:rsidRDefault="00EB3300" w:rsidP="00BD0FED">
            <w:pPr>
              <w:spacing w:before="120" w:after="120"/>
              <w:rPr>
                <w:color w:val="000000"/>
                <w:sz w:val="20"/>
              </w:rPr>
            </w:pPr>
          </w:p>
        </w:tc>
        <w:tc>
          <w:tcPr>
            <w:tcW w:w="4253" w:type="dxa"/>
          </w:tcPr>
          <w:p w:rsidR="00EB3300" w:rsidRPr="005F142B" w:rsidRDefault="00EB3300" w:rsidP="00BD0FED">
            <w:pPr>
              <w:spacing w:before="120" w:after="120"/>
              <w:rPr>
                <w:sz w:val="20"/>
              </w:rPr>
            </w:pPr>
            <w:r w:rsidRPr="005F142B">
              <w:rPr>
                <w:sz w:val="20"/>
              </w:rPr>
              <w:t>to consider possible upgrading of the secondary allocation to the meteorological-satellite service (space-to-Earth) to primary status and a possible primary allocation to the Earth exploration-satellite service (space-to-Earth) in the frequency band 460-470 MHz, in accordance with Resolution</w:t>
            </w:r>
            <w:r w:rsidRPr="005F142B">
              <w:rPr>
                <w:rStyle w:val="Artdef"/>
                <w:sz w:val="20"/>
              </w:rPr>
              <w:t> </w:t>
            </w:r>
            <w:r w:rsidRPr="005F142B">
              <w:rPr>
                <w:b/>
                <w:sz w:val="20"/>
              </w:rPr>
              <w:t>766 (WRC</w:t>
            </w:r>
            <w:r w:rsidRPr="005F142B">
              <w:rPr>
                <w:b/>
                <w:sz w:val="20"/>
              </w:rPr>
              <w:noBreakHyphen/>
              <w:t>15)</w:t>
            </w:r>
          </w:p>
        </w:tc>
        <w:tc>
          <w:tcPr>
            <w:tcW w:w="9526" w:type="dxa"/>
          </w:tcPr>
          <w:p w:rsidR="00EB3300" w:rsidRPr="005F142B" w:rsidRDefault="00EB3300" w:rsidP="00BD0FED">
            <w:pPr>
              <w:spacing w:before="120" w:after="120"/>
              <w:rPr>
                <w:sz w:val="20"/>
              </w:rPr>
            </w:pPr>
            <w:r w:rsidRPr="005F142B">
              <w:rPr>
                <w:sz w:val="20"/>
              </w:rPr>
              <w:t xml:space="preserve">CEPT supports that the </w:t>
            </w:r>
            <w:proofErr w:type="spellStart"/>
            <w:r w:rsidRPr="005F142B">
              <w:rPr>
                <w:sz w:val="20"/>
              </w:rPr>
              <w:t>MetSat</w:t>
            </w:r>
            <w:proofErr w:type="spellEnd"/>
            <w:r w:rsidRPr="005F142B">
              <w:rPr>
                <w:sz w:val="20"/>
              </w:rPr>
              <w:t xml:space="preserve"> (space-to-Earth) allocation should be upgraded from secondary to primary status and a primary EESS (space-to-Earth) allocation should be added in the frequency band 460-470 MHz provided that </w:t>
            </w:r>
          </w:p>
          <w:p w:rsidR="00EB3300" w:rsidRPr="005F142B" w:rsidRDefault="00EB3300" w:rsidP="00BD0FED">
            <w:pPr>
              <w:spacing w:before="120" w:after="120"/>
              <w:rPr>
                <w:sz w:val="20"/>
              </w:rPr>
            </w:pPr>
            <w:r w:rsidRPr="005F142B">
              <w:rPr>
                <w:sz w:val="20"/>
              </w:rPr>
              <w:t>-</w:t>
            </w:r>
            <w:r w:rsidRPr="005F142B">
              <w:rPr>
                <w:sz w:val="20"/>
              </w:rPr>
              <w:tab/>
              <w:t xml:space="preserve">priority of </w:t>
            </w:r>
            <w:proofErr w:type="spellStart"/>
            <w:r w:rsidRPr="005F142B">
              <w:rPr>
                <w:sz w:val="20"/>
              </w:rPr>
              <w:t>MetSat</w:t>
            </w:r>
            <w:proofErr w:type="spellEnd"/>
            <w:r w:rsidRPr="005F142B">
              <w:rPr>
                <w:sz w:val="20"/>
              </w:rPr>
              <w:t xml:space="preserve"> over EESS as currently expressed in the RR is retained;</w:t>
            </w:r>
          </w:p>
          <w:p w:rsidR="00EB3300" w:rsidRPr="005F142B" w:rsidRDefault="00EB3300" w:rsidP="00BD0FED">
            <w:pPr>
              <w:spacing w:before="120" w:after="120"/>
              <w:rPr>
                <w:sz w:val="20"/>
              </w:rPr>
            </w:pPr>
            <w:r w:rsidRPr="005F142B">
              <w:rPr>
                <w:sz w:val="20"/>
              </w:rPr>
              <w:t>-</w:t>
            </w:r>
            <w:r w:rsidRPr="005F142B">
              <w:rPr>
                <w:sz w:val="20"/>
              </w:rPr>
              <w:tab/>
              <w:t>the protection of primary services in the frequency band and in adjacent frequency bands is ensured;</w:t>
            </w:r>
          </w:p>
          <w:p w:rsidR="00EB3300" w:rsidRPr="005F142B" w:rsidRDefault="00EB3300" w:rsidP="00BD0FED">
            <w:pPr>
              <w:spacing w:before="120" w:after="120"/>
              <w:rPr>
                <w:sz w:val="20"/>
              </w:rPr>
            </w:pPr>
            <w:r w:rsidRPr="005F142B">
              <w:rPr>
                <w:sz w:val="20"/>
              </w:rPr>
              <w:t>-</w:t>
            </w:r>
            <w:r w:rsidRPr="005F142B">
              <w:rPr>
                <w:sz w:val="20"/>
              </w:rPr>
              <w:tab/>
              <w:t>“</w:t>
            </w:r>
            <w:proofErr w:type="spellStart"/>
            <w:r w:rsidRPr="005F142B">
              <w:rPr>
                <w:sz w:val="20"/>
              </w:rPr>
              <w:t>MetSat</w:t>
            </w:r>
            <w:proofErr w:type="spellEnd"/>
            <w:r w:rsidRPr="005F142B">
              <w:rPr>
                <w:sz w:val="20"/>
              </w:rPr>
              <w:t xml:space="preserve"> and EESS earth stations will not claim protection from stations in the fixed and mobile services”, as stated in recognizing f) of Res 766.</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t>1.6</w:t>
            </w:r>
          </w:p>
          <w:p w:rsidR="00EB3300" w:rsidRPr="005F142B" w:rsidRDefault="00EB3300" w:rsidP="00BD0FED">
            <w:pPr>
              <w:spacing w:before="120" w:after="120"/>
              <w:jc w:val="center"/>
              <w:rPr>
                <w:sz w:val="20"/>
              </w:rPr>
            </w:pPr>
          </w:p>
          <w:p w:rsidR="00EB3300" w:rsidRPr="005F142B" w:rsidRDefault="00EB3300" w:rsidP="00BD0FED">
            <w:pPr>
              <w:spacing w:before="120" w:after="120"/>
              <w:jc w:val="center"/>
              <w:rPr>
                <w:color w:val="000000"/>
                <w:sz w:val="20"/>
              </w:rPr>
            </w:pPr>
          </w:p>
        </w:tc>
        <w:tc>
          <w:tcPr>
            <w:tcW w:w="4253" w:type="dxa"/>
          </w:tcPr>
          <w:p w:rsidR="00EB3300" w:rsidRPr="005F142B" w:rsidRDefault="00EB3300" w:rsidP="00BD0FED">
            <w:pPr>
              <w:tabs>
                <w:tab w:val="left" w:pos="3480"/>
              </w:tabs>
              <w:spacing w:before="120" w:after="120"/>
              <w:rPr>
                <w:sz w:val="20"/>
              </w:rPr>
            </w:pPr>
            <w:r w:rsidRPr="005F142B">
              <w:rPr>
                <w:sz w:val="20"/>
              </w:rPr>
              <w:t xml:space="preserve">to consider the development of a regulatory framework for non-GSO FSS satellite systems that may operate in the frequency bands 37.5-39.5 GHz (space-to-Earth), 39.5-42.5 GHz (space-to-Earth), 47.2-50.2 GHz (Earth-to-space) and 50.4-51.4 GHz (Earth-to-space), in accordance with Resolution </w:t>
            </w:r>
            <w:r w:rsidRPr="005F142B">
              <w:rPr>
                <w:b/>
                <w:sz w:val="20"/>
              </w:rPr>
              <w:lastRenderedPageBreak/>
              <w:t>159 (WRC</w:t>
            </w:r>
            <w:r w:rsidRPr="005F142B">
              <w:rPr>
                <w:b/>
                <w:sz w:val="20"/>
              </w:rPr>
              <w:noBreakHyphen/>
              <w:t>15)</w:t>
            </w:r>
          </w:p>
        </w:tc>
        <w:tc>
          <w:tcPr>
            <w:tcW w:w="9526" w:type="dxa"/>
          </w:tcPr>
          <w:p w:rsidR="00EB3300" w:rsidRPr="005F142B" w:rsidRDefault="00EB3300" w:rsidP="00BD0FED">
            <w:pPr>
              <w:spacing w:before="120" w:after="120"/>
              <w:rPr>
                <w:sz w:val="20"/>
              </w:rPr>
            </w:pPr>
            <w:r w:rsidRPr="005F142B">
              <w:rPr>
                <w:sz w:val="20"/>
              </w:rPr>
              <w:lastRenderedPageBreak/>
              <w:t>CEPT considers that studies for the development of regulatory provisions and technical and operational conditions shall ensure protection for GSO satellite networks and stations of other existing services including passive services in the adjacent frequency bands. To ensure the protection of the EESS (passive) and RAS CEPT supports to study the effects of aggregate FSS interference from GSO satellite networks and NGSO systems operating in the relevant bands.</w:t>
            </w:r>
          </w:p>
          <w:p w:rsidR="00EB3300" w:rsidRPr="005F142B" w:rsidRDefault="00EB3300" w:rsidP="00BD0FED">
            <w:pPr>
              <w:spacing w:before="120" w:after="120"/>
              <w:rPr>
                <w:sz w:val="20"/>
              </w:rPr>
            </w:pPr>
            <w:r w:rsidRPr="005F142B">
              <w:rPr>
                <w:sz w:val="20"/>
              </w:rPr>
              <w:t xml:space="preserve">CEPT considers that the criteria based on a new ITU-R Recommendation under development shall be used while developing the aggregate </w:t>
            </w:r>
            <w:proofErr w:type="spellStart"/>
            <w:r w:rsidRPr="005F142B">
              <w:rPr>
                <w:sz w:val="20"/>
              </w:rPr>
              <w:t>epfd</w:t>
            </w:r>
            <w:proofErr w:type="spellEnd"/>
            <w:r w:rsidRPr="005F142B">
              <w:rPr>
                <w:sz w:val="20"/>
              </w:rPr>
              <w:t xml:space="preserve"> limits for protection of GSO networks. CEPT supports a </w:t>
            </w:r>
            <w:r w:rsidRPr="005F142B">
              <w:rPr>
                <w:sz w:val="20"/>
              </w:rPr>
              <w:lastRenderedPageBreak/>
              <w:t>methodology of interference assessment that takes into account the correlation between a fading event attenuating both the wanted signal and interfering signals in the frequency bands 40/50 GHz.</w:t>
            </w:r>
          </w:p>
          <w:p w:rsidR="00EB3300" w:rsidRPr="005F142B" w:rsidRDefault="00EB3300" w:rsidP="00BD0FED">
            <w:pPr>
              <w:spacing w:before="120" w:after="120"/>
              <w:rPr>
                <w:sz w:val="20"/>
              </w:rPr>
            </w:pPr>
            <w:r w:rsidRPr="005F142B">
              <w:rPr>
                <w:sz w:val="20"/>
              </w:rPr>
              <w:t>CEPT supports further studies on the methodology of interference assessment applicable to frequency bands above 30 GHz.</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lastRenderedPageBreak/>
              <w:t>1.7</w:t>
            </w:r>
          </w:p>
          <w:p w:rsidR="00EB3300" w:rsidRPr="005F142B" w:rsidRDefault="00EB3300" w:rsidP="00BD0FED">
            <w:pPr>
              <w:spacing w:before="120" w:after="120"/>
              <w:jc w:val="center"/>
              <w:rPr>
                <w:sz w:val="20"/>
              </w:rPr>
            </w:pPr>
          </w:p>
          <w:p w:rsidR="00EB3300" w:rsidRPr="005F142B" w:rsidRDefault="00EB3300" w:rsidP="00BD0FED">
            <w:pPr>
              <w:spacing w:before="120" w:after="120"/>
              <w:jc w:val="center"/>
              <w:rPr>
                <w:color w:val="000000"/>
                <w:sz w:val="20"/>
              </w:rPr>
            </w:pPr>
          </w:p>
        </w:tc>
        <w:tc>
          <w:tcPr>
            <w:tcW w:w="4253" w:type="dxa"/>
          </w:tcPr>
          <w:p w:rsidR="00EB3300" w:rsidRPr="005F142B" w:rsidRDefault="00EB3300" w:rsidP="00BD0FED">
            <w:pPr>
              <w:spacing w:before="120" w:after="120"/>
              <w:rPr>
                <w:sz w:val="20"/>
              </w:rPr>
            </w:pPr>
            <w:r w:rsidRPr="005F142B">
              <w:rPr>
                <w:sz w:val="20"/>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w:t>
            </w:r>
            <w:r w:rsidRPr="005F142B">
              <w:rPr>
                <w:b/>
                <w:sz w:val="20"/>
              </w:rPr>
              <w:t>659 (WRC</w:t>
            </w:r>
            <w:r w:rsidRPr="005F142B">
              <w:rPr>
                <w:b/>
                <w:sz w:val="20"/>
              </w:rPr>
              <w:noBreakHyphen/>
              <w:t>15)</w:t>
            </w:r>
          </w:p>
        </w:tc>
        <w:tc>
          <w:tcPr>
            <w:tcW w:w="9526" w:type="dxa"/>
          </w:tcPr>
          <w:p w:rsidR="00EB3300" w:rsidRPr="005F142B" w:rsidRDefault="00EB3300" w:rsidP="00BD0FED">
            <w:pPr>
              <w:spacing w:before="120" w:after="120"/>
              <w:rPr>
                <w:sz w:val="20"/>
              </w:rPr>
            </w:pPr>
            <w:r w:rsidRPr="005F142B">
              <w:rPr>
                <w:sz w:val="20"/>
              </w:rPr>
              <w:t>CEPT supports additional allocations or upgrades of existing allocations to the space operation service for short duration mission satellites provided that:</w:t>
            </w:r>
          </w:p>
          <w:p w:rsidR="00EB3300" w:rsidRPr="005F142B" w:rsidRDefault="00EB3300" w:rsidP="00BD0FED">
            <w:pPr>
              <w:spacing w:before="120" w:after="120"/>
              <w:rPr>
                <w:sz w:val="20"/>
              </w:rPr>
            </w:pPr>
            <w:r w:rsidRPr="005F142B">
              <w:rPr>
                <w:sz w:val="20"/>
              </w:rPr>
              <w:t>-</w:t>
            </w:r>
            <w:r w:rsidRPr="005F142B">
              <w:rPr>
                <w:sz w:val="20"/>
              </w:rPr>
              <w:tab/>
              <w:t>Studies of spectrum requirements are based on satellite missions planned and constellation development.</w:t>
            </w:r>
          </w:p>
          <w:p w:rsidR="00EB3300" w:rsidRPr="005F142B" w:rsidRDefault="00EB3300" w:rsidP="00BD0FED">
            <w:pPr>
              <w:spacing w:before="120" w:after="120"/>
              <w:rPr>
                <w:sz w:val="20"/>
              </w:rPr>
            </w:pPr>
            <w:r w:rsidRPr="005F142B">
              <w:rPr>
                <w:sz w:val="20"/>
              </w:rPr>
              <w:t>-</w:t>
            </w:r>
            <w:r w:rsidRPr="005F142B">
              <w:rPr>
                <w:sz w:val="20"/>
              </w:rPr>
              <w:tab/>
              <w:t>Studies of spectrum requirements show the need for additional allocations or upgrades of existing allocations.</w:t>
            </w:r>
          </w:p>
          <w:p w:rsidR="00EB3300" w:rsidRPr="005F142B" w:rsidRDefault="00EB3300" w:rsidP="00BD0FED">
            <w:pPr>
              <w:spacing w:before="120" w:after="120"/>
              <w:rPr>
                <w:sz w:val="20"/>
              </w:rPr>
            </w:pPr>
            <w:r w:rsidRPr="005F142B">
              <w:rPr>
                <w:sz w:val="20"/>
              </w:rPr>
              <w:t>-</w:t>
            </w:r>
            <w:r w:rsidRPr="005F142B">
              <w:rPr>
                <w:sz w:val="20"/>
              </w:rPr>
              <w:tab/>
              <w:t>Studies show compatibility with existing services.</w:t>
            </w:r>
          </w:p>
          <w:p w:rsidR="00EB3300" w:rsidRPr="005F142B" w:rsidRDefault="00EB3300" w:rsidP="00BD0FED">
            <w:pPr>
              <w:spacing w:before="120" w:after="120"/>
              <w:rPr>
                <w:sz w:val="20"/>
              </w:rPr>
            </w:pPr>
            <w:r w:rsidRPr="005F142B">
              <w:rPr>
                <w:sz w:val="20"/>
              </w:rPr>
              <w:t xml:space="preserve">CEPT recognises that studies with regard to the bands 399.9-400.05 MHz and 401-403 MHz, if any, will have to take into account the considerations under Agenda item 1.2. In addition, CEPT is of the view that co-channel sharing between Earth-to-space links of non-GSO short duration missions and GSO Data Collection Systems is not feasible in the band 401-403 </w:t>
            </w:r>
            <w:proofErr w:type="spellStart"/>
            <w:r w:rsidRPr="005F142B">
              <w:rPr>
                <w:sz w:val="20"/>
              </w:rPr>
              <w:t>MHz.</w:t>
            </w:r>
            <w:proofErr w:type="spellEnd"/>
          </w:p>
          <w:p w:rsidR="00EB3300" w:rsidRPr="005F142B" w:rsidRDefault="00EB3300" w:rsidP="00BD0FED">
            <w:pPr>
              <w:spacing w:before="120" w:after="120"/>
              <w:rPr>
                <w:sz w:val="20"/>
              </w:rPr>
            </w:pPr>
            <w:r w:rsidRPr="005F142B">
              <w:rPr>
                <w:sz w:val="20"/>
              </w:rPr>
              <w:t>CEPT recognises that all allocations to the space operation service in the Earth-to-space direction below 1 GHz are subject to coordination under No 9.21. The application of this provision is not suitable for short duration non-GSO satellites. Therefore, CEPT is of the view that, in addition to considering additional allocations to the space operation service in the Earth-to-space direction, there may be a need to consider modifying the current regulatory situation in the existing allocations.</w:t>
            </w:r>
          </w:p>
          <w:p w:rsidR="00EB3300" w:rsidRPr="005F142B" w:rsidRDefault="00EB3300" w:rsidP="00BD0FED">
            <w:pPr>
              <w:spacing w:before="120" w:after="120"/>
              <w:rPr>
                <w:sz w:val="20"/>
              </w:rPr>
            </w:pPr>
            <w:r w:rsidRPr="005F142B">
              <w:rPr>
                <w:sz w:val="20"/>
              </w:rPr>
              <w:t>CEPT is of the view that consideration of the frequency band 154-156 MHz as candidate for operation of non-GSO satellites with short duration missions is not feasible due to difficulties in sharing with the incumbent services (the radiolocation service).</w:t>
            </w:r>
          </w:p>
          <w:p w:rsidR="00EB3300" w:rsidRPr="005F142B" w:rsidRDefault="00EB3300" w:rsidP="00BD0FED">
            <w:pPr>
              <w:spacing w:before="120" w:after="120"/>
              <w:rPr>
                <w:sz w:val="20"/>
              </w:rPr>
            </w:pPr>
            <w:r w:rsidRPr="005F142B">
              <w:rPr>
                <w:sz w:val="20"/>
              </w:rPr>
              <w:t>CEPT is of the view that any consideration of bands for use under this agenda item must exclude the 406-406.1 MHz COSPAS-SARSAT band as well as its adjacent 405.9-406 MHz and 406.1-406.2 MHz bands (see resolves 1 of Resolution 205 (WRC-15)).</w:t>
            </w:r>
          </w:p>
          <w:p w:rsidR="00EB3300" w:rsidRPr="005F142B" w:rsidRDefault="00EB3300" w:rsidP="00BD0FED">
            <w:pPr>
              <w:spacing w:before="120" w:after="120"/>
              <w:rPr>
                <w:sz w:val="20"/>
              </w:rPr>
            </w:pPr>
            <w:r w:rsidRPr="005F142B">
              <w:rPr>
                <w:sz w:val="20"/>
              </w:rPr>
              <w:t>CEPT is of the view that sharing between non-GSO satellites with short duration missions and the radio astronomy service in the frequency bands 150.05-153 MHz and 406.1-410 MHz is not feasible in the Earth-to-space direction as well as the space-to-Earth direction.</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t>1.13</w:t>
            </w:r>
          </w:p>
        </w:tc>
        <w:tc>
          <w:tcPr>
            <w:tcW w:w="4253" w:type="dxa"/>
          </w:tcPr>
          <w:p w:rsidR="00EB3300" w:rsidRPr="005F142B" w:rsidRDefault="00EB3300" w:rsidP="00BD0FED">
            <w:pPr>
              <w:spacing w:before="120" w:after="120"/>
              <w:rPr>
                <w:sz w:val="20"/>
              </w:rPr>
            </w:pPr>
            <w:r w:rsidRPr="005F142B">
              <w:rPr>
                <w:sz w:val="20"/>
              </w:rPr>
              <w:t>to consider identification of frequency bands for the future development of International Mobile Telecommunications (IMT), including possible additional allocations to the mobile service on a primary basis, in accordance with Resolution </w:t>
            </w:r>
            <w:r w:rsidRPr="005F142B">
              <w:rPr>
                <w:b/>
                <w:sz w:val="20"/>
              </w:rPr>
              <w:t>238 </w:t>
            </w:r>
            <w:r w:rsidRPr="005F142B">
              <w:rPr>
                <w:rFonts w:eastAsia="SimSun"/>
                <w:b/>
                <w:sz w:val="20"/>
              </w:rPr>
              <w:t>(WRC</w:t>
            </w:r>
            <w:r w:rsidRPr="005F142B">
              <w:rPr>
                <w:rFonts w:eastAsia="SimSun"/>
                <w:b/>
                <w:sz w:val="20"/>
              </w:rPr>
              <w:noBreakHyphen/>
              <w:t>15)</w:t>
            </w:r>
          </w:p>
        </w:tc>
        <w:tc>
          <w:tcPr>
            <w:tcW w:w="9526" w:type="dxa"/>
          </w:tcPr>
          <w:p w:rsidR="00EB3300" w:rsidRPr="005F142B" w:rsidRDefault="00EB3300" w:rsidP="00BD0FED">
            <w:pPr>
              <w:spacing w:before="120" w:after="120"/>
              <w:rPr>
                <w:sz w:val="20"/>
              </w:rPr>
            </w:pPr>
            <w:r w:rsidRPr="005F142B">
              <w:rPr>
                <w:sz w:val="20"/>
              </w:rPr>
              <w:t xml:space="preserve">CEPT supports the results of the ITU-R studies  on IMT spectrum needs in the range 24.25-86 GHz. CEPT supports sharing and compatibility studies for the bands listed in Resolves 2 of Resolution 238 (24.25-27.5 GHz, 31.8-33.4 GHz, 37-43.5 GHz, 45.5-50.2 GHz, 50.4-52.6 GHz, 66-76 GHz and 81-86 GHz), with the focus on the frequency bands 24.25-27.5 GHz, 40.5-43.5 GHz and 66-71 GHz. </w:t>
            </w:r>
          </w:p>
          <w:p w:rsidR="00EB3300" w:rsidRPr="005F142B" w:rsidRDefault="00EB3300" w:rsidP="00BD0FED">
            <w:pPr>
              <w:spacing w:before="120" w:after="120"/>
              <w:rPr>
                <w:sz w:val="20"/>
              </w:rPr>
            </w:pPr>
            <w:r w:rsidRPr="005F142B">
              <w:rPr>
                <w:sz w:val="20"/>
              </w:rPr>
              <w:t xml:space="preserve">CEPT supports the identification of global bands for IMT among the bands listed in resolves to invite ITU R 2 of Resolution 238, taking into account the results of sharing and compatibility studies with existing services. Bands outside those listed in resolves to invite ITU-R 2 of Resolution 238 are not supported for consideration under this Agenda item. </w:t>
            </w:r>
          </w:p>
          <w:p w:rsidR="00EB3300" w:rsidRPr="005F142B" w:rsidRDefault="00EB3300" w:rsidP="00BD0FED">
            <w:pPr>
              <w:spacing w:before="120" w:after="120"/>
              <w:rPr>
                <w:sz w:val="20"/>
              </w:rPr>
            </w:pPr>
            <w:r w:rsidRPr="005F142B">
              <w:rPr>
                <w:sz w:val="20"/>
              </w:rPr>
              <w:t xml:space="preserve">CEPT intends to harmonise the 24.25-27.5 GHz band for Europe for 5G before WRC-19 through the adoption of a harmonisation decision and to promote it for worldwide harmonisation by an IMT identification. Hence the 24.25-27.5 GHz is a clear priority for immediate study within CEPT and these studies are assuming an individual authorisation regime. Studies need to take into account the compatibility with and protection of all existing services, including their future deployments, in the same and adjacent frequency bands; in particular the protection of current and future EESS/SRS earth stations should be addressed. </w:t>
            </w:r>
          </w:p>
          <w:p w:rsidR="00EB3300" w:rsidRPr="005F142B" w:rsidRDefault="00EB3300" w:rsidP="00BD0FED">
            <w:pPr>
              <w:spacing w:before="120" w:after="120"/>
              <w:rPr>
                <w:sz w:val="20"/>
              </w:rPr>
            </w:pPr>
          </w:p>
          <w:p w:rsidR="00EB3300" w:rsidRPr="005F142B" w:rsidRDefault="00EB3300" w:rsidP="00BD0FED">
            <w:pPr>
              <w:spacing w:before="120" w:after="120"/>
              <w:rPr>
                <w:i/>
                <w:sz w:val="20"/>
              </w:rPr>
            </w:pPr>
            <w:r w:rsidRPr="005F142B">
              <w:rPr>
                <w:i/>
                <w:sz w:val="20"/>
              </w:rPr>
              <w:t>Note: CEPT has developed a Roadmap on 5G (http://cept.org/ecc/topics/spectrum-for-wireless-broadband-5g#roadmap). In this respect it is noted that “Europe has harmonised the 27.5-29.5 GHz band for broadband satellite and is supportive of the worldwide use of this band for ESIM. This band is therefore not available for 5G”.</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t>1.14</w:t>
            </w:r>
          </w:p>
          <w:p w:rsidR="00EB3300" w:rsidRPr="005F142B" w:rsidRDefault="00EB3300" w:rsidP="00BD0FED">
            <w:pPr>
              <w:spacing w:before="120" w:after="120"/>
              <w:jc w:val="center"/>
              <w:rPr>
                <w:sz w:val="20"/>
              </w:rPr>
            </w:pPr>
          </w:p>
          <w:p w:rsidR="00EB3300" w:rsidRPr="005F142B" w:rsidRDefault="00EB3300" w:rsidP="00BD0FED">
            <w:pPr>
              <w:spacing w:before="120" w:after="120"/>
              <w:jc w:val="center"/>
              <w:rPr>
                <w:color w:val="000000"/>
                <w:sz w:val="20"/>
              </w:rPr>
            </w:pPr>
          </w:p>
        </w:tc>
        <w:tc>
          <w:tcPr>
            <w:tcW w:w="4253" w:type="dxa"/>
          </w:tcPr>
          <w:p w:rsidR="00EB3300" w:rsidRPr="005F142B" w:rsidRDefault="00EB3300" w:rsidP="00BD0FED">
            <w:pPr>
              <w:tabs>
                <w:tab w:val="left" w:pos="1755"/>
              </w:tabs>
              <w:spacing w:before="120" w:after="120"/>
              <w:rPr>
                <w:sz w:val="20"/>
              </w:rPr>
            </w:pPr>
            <w:r w:rsidRPr="005F142B">
              <w:rPr>
                <w:sz w:val="20"/>
              </w:rPr>
              <w:t>to consider, on the basis of ITU</w:t>
            </w:r>
            <w:r w:rsidRPr="005F142B">
              <w:rPr>
                <w:sz w:val="20"/>
              </w:rPr>
              <w:noBreakHyphen/>
              <w:t>R studies in accordance with Resolution </w:t>
            </w:r>
            <w:r w:rsidRPr="005F142B">
              <w:rPr>
                <w:b/>
                <w:sz w:val="20"/>
              </w:rPr>
              <w:t>160 (WRC</w:t>
            </w:r>
            <w:r w:rsidRPr="005F142B">
              <w:rPr>
                <w:b/>
                <w:sz w:val="20"/>
              </w:rPr>
              <w:noBreakHyphen/>
              <w:t>15)</w:t>
            </w:r>
            <w:r w:rsidRPr="005F142B">
              <w:rPr>
                <w:sz w:val="20"/>
              </w:rPr>
              <w:t>, appropriate regulatory actions for high-altitude platform stations (HAPS), within existing fixed-service allocations</w:t>
            </w:r>
          </w:p>
        </w:tc>
        <w:tc>
          <w:tcPr>
            <w:tcW w:w="9526" w:type="dxa"/>
          </w:tcPr>
          <w:p w:rsidR="00EB3300" w:rsidRPr="005F142B" w:rsidRDefault="00EB3300" w:rsidP="00BD0FED">
            <w:pPr>
              <w:pStyle w:val="ECCBulletsLv1"/>
              <w:numPr>
                <w:ilvl w:val="0"/>
                <w:numId w:val="0"/>
              </w:numPr>
              <w:spacing w:before="120" w:after="120"/>
              <w:rPr>
                <w:rFonts w:ascii="Times New Roman" w:hAnsi="Times New Roman"/>
                <w:sz w:val="20"/>
                <w:szCs w:val="20"/>
              </w:rPr>
            </w:pPr>
            <w:r w:rsidRPr="005F142B">
              <w:rPr>
                <w:rFonts w:ascii="Times New Roman" w:hAnsi="Times New Roman"/>
                <w:sz w:val="20"/>
                <w:szCs w:val="20"/>
              </w:rPr>
              <w:t>CEPT supports studies under this Agenda item in accordance with Resolution 160 (WRC-15) while taking into account in particular:</w:t>
            </w:r>
          </w:p>
          <w:p w:rsidR="00EB3300" w:rsidRPr="005F142B" w:rsidRDefault="00EB3300" w:rsidP="00EB3300">
            <w:pPr>
              <w:pStyle w:val="ECCBulletsLv1"/>
              <w:numPr>
                <w:ilvl w:val="0"/>
                <w:numId w:val="11"/>
              </w:numPr>
              <w:spacing w:before="120" w:after="120"/>
              <w:rPr>
                <w:rFonts w:ascii="Times New Roman" w:hAnsi="Times New Roman"/>
                <w:sz w:val="20"/>
                <w:szCs w:val="20"/>
              </w:rPr>
            </w:pPr>
            <w:r w:rsidRPr="005F142B">
              <w:rPr>
                <w:rFonts w:ascii="Times New Roman" w:hAnsi="Times New Roman"/>
                <w:sz w:val="20"/>
                <w:szCs w:val="20"/>
              </w:rPr>
              <w:t>the developments and requirements in HAPS in the fixed service and the associated spectrum sharing aspects</w:t>
            </w:r>
          </w:p>
          <w:p w:rsidR="00EB3300" w:rsidRPr="005F142B" w:rsidRDefault="00EB3300" w:rsidP="00EB3300">
            <w:pPr>
              <w:pStyle w:val="ECCBulletsLv1"/>
              <w:numPr>
                <w:ilvl w:val="0"/>
                <w:numId w:val="11"/>
              </w:numPr>
              <w:spacing w:before="120" w:after="120"/>
              <w:rPr>
                <w:rFonts w:ascii="Times New Roman" w:hAnsi="Times New Roman"/>
                <w:sz w:val="20"/>
                <w:szCs w:val="20"/>
              </w:rPr>
            </w:pPr>
            <w:r w:rsidRPr="005F142B">
              <w:rPr>
                <w:rFonts w:ascii="Times New Roman" w:hAnsi="Times New Roman"/>
                <w:sz w:val="20"/>
                <w:szCs w:val="20"/>
              </w:rPr>
              <w:t>the need to ensure there is protection in place in order not to limit the possibility to use and develop existing services including other applications of the fixed service in the frequency bands identified and, as appropriate, in the adjacent bands.</w:t>
            </w:r>
          </w:p>
          <w:p w:rsidR="00EB3300" w:rsidRPr="005F142B" w:rsidRDefault="00EB3300" w:rsidP="00EB3300">
            <w:pPr>
              <w:pStyle w:val="ECCBulletsLv1"/>
              <w:numPr>
                <w:ilvl w:val="0"/>
                <w:numId w:val="11"/>
              </w:numPr>
              <w:spacing w:before="120" w:after="120"/>
              <w:rPr>
                <w:rFonts w:ascii="Times New Roman" w:hAnsi="Times New Roman"/>
                <w:sz w:val="20"/>
                <w:szCs w:val="20"/>
              </w:rPr>
            </w:pPr>
            <w:r w:rsidRPr="005F142B">
              <w:rPr>
                <w:rFonts w:ascii="Times New Roman" w:hAnsi="Times New Roman"/>
                <w:sz w:val="20"/>
                <w:szCs w:val="20"/>
              </w:rPr>
              <w:t>the need to ensure that new sharing and compatibility studies are taking into account the outcome of studies already performed in ITU-R, where relevant, to support HAPS identification, in particular when considering the possible modifications of country footnotes HAPS identification into general HAPS identification.</w:t>
            </w:r>
          </w:p>
          <w:p w:rsidR="00EB3300" w:rsidRPr="005F142B" w:rsidRDefault="00EB3300" w:rsidP="00BD0FED">
            <w:pPr>
              <w:pStyle w:val="ECCBulletsLv1"/>
              <w:numPr>
                <w:ilvl w:val="0"/>
                <w:numId w:val="0"/>
              </w:numPr>
              <w:spacing w:before="120" w:after="120"/>
              <w:rPr>
                <w:rFonts w:ascii="Times New Roman" w:hAnsi="Times New Roman"/>
                <w:sz w:val="20"/>
                <w:szCs w:val="20"/>
              </w:rPr>
            </w:pPr>
            <w:r w:rsidRPr="005F142B">
              <w:rPr>
                <w:rFonts w:ascii="Times New Roman" w:hAnsi="Times New Roman"/>
                <w:sz w:val="20"/>
                <w:szCs w:val="20"/>
              </w:rPr>
              <w:t xml:space="preserve">CEPT is finalising studies on spectrum needs for broadband connectivity HAPS applications and results so far show that current HAPS identifications would not satisfy the overall spectrum requirements for HAPS connectivity applications. </w:t>
            </w:r>
          </w:p>
          <w:p w:rsidR="00EB3300" w:rsidRPr="005F142B" w:rsidRDefault="00EB3300" w:rsidP="00BD0FED">
            <w:pPr>
              <w:pStyle w:val="ECCBulletsLv1"/>
              <w:numPr>
                <w:ilvl w:val="0"/>
                <w:numId w:val="0"/>
              </w:numPr>
              <w:spacing w:before="120" w:after="120"/>
              <w:ind w:hanging="23"/>
              <w:rPr>
                <w:rFonts w:ascii="Times New Roman" w:hAnsi="Times New Roman"/>
                <w:sz w:val="20"/>
                <w:szCs w:val="20"/>
              </w:rPr>
            </w:pPr>
            <w:r w:rsidRPr="005F142B">
              <w:rPr>
                <w:rFonts w:ascii="Times New Roman" w:hAnsi="Times New Roman"/>
                <w:sz w:val="20"/>
                <w:szCs w:val="20"/>
              </w:rPr>
              <w:t>CEPT is of the view that any consideration of the frequency band 24.25-27.5 GHz in Region 2 under this Agenda item should not limit the possibility to identify the band for IMT on a global level under Agenda item 1.13.</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t>1.15</w:t>
            </w:r>
          </w:p>
          <w:p w:rsidR="00EB3300" w:rsidRPr="005F142B" w:rsidRDefault="00EB3300" w:rsidP="00BD0FED">
            <w:pPr>
              <w:spacing w:before="120" w:after="120"/>
              <w:jc w:val="center"/>
              <w:rPr>
                <w:sz w:val="20"/>
              </w:rPr>
            </w:pPr>
          </w:p>
          <w:p w:rsidR="00EB3300" w:rsidRPr="005F142B" w:rsidRDefault="00EB3300" w:rsidP="00BD0FED">
            <w:pPr>
              <w:spacing w:before="120" w:after="120"/>
              <w:jc w:val="center"/>
              <w:rPr>
                <w:color w:val="000000"/>
                <w:sz w:val="20"/>
              </w:rPr>
            </w:pPr>
          </w:p>
        </w:tc>
        <w:tc>
          <w:tcPr>
            <w:tcW w:w="4253" w:type="dxa"/>
          </w:tcPr>
          <w:p w:rsidR="00EB3300" w:rsidRPr="005F142B" w:rsidRDefault="00EB3300" w:rsidP="00BD0FED">
            <w:pPr>
              <w:tabs>
                <w:tab w:val="left" w:pos="1755"/>
              </w:tabs>
              <w:spacing w:before="120" w:after="120"/>
              <w:rPr>
                <w:sz w:val="20"/>
              </w:rPr>
            </w:pPr>
            <w:r w:rsidRPr="005F142B">
              <w:rPr>
                <w:rStyle w:val="BRNormal"/>
                <w:rFonts w:eastAsia="SimSun"/>
                <w:sz w:val="20"/>
              </w:rPr>
              <w:t xml:space="preserve">to consider identification of frequency bands for use by administrations for the land-mobile and fixed services applications operating in the frequency range 275-450 GHz, </w:t>
            </w:r>
            <w:r w:rsidRPr="005F142B">
              <w:rPr>
                <w:sz w:val="20"/>
              </w:rPr>
              <w:t>in accordance with Resolution</w:t>
            </w:r>
            <w:r w:rsidRPr="005F142B">
              <w:rPr>
                <w:rStyle w:val="Artdef"/>
                <w:sz w:val="20"/>
              </w:rPr>
              <w:t> </w:t>
            </w:r>
            <w:r w:rsidRPr="005F142B">
              <w:rPr>
                <w:b/>
                <w:sz w:val="20"/>
              </w:rPr>
              <w:t>767 (WRC</w:t>
            </w:r>
            <w:r w:rsidRPr="005F142B">
              <w:rPr>
                <w:b/>
                <w:sz w:val="20"/>
              </w:rPr>
              <w:noBreakHyphen/>
              <w:t>15)</w:t>
            </w:r>
          </w:p>
        </w:tc>
        <w:tc>
          <w:tcPr>
            <w:tcW w:w="9526" w:type="dxa"/>
          </w:tcPr>
          <w:p w:rsidR="00EB3300" w:rsidRPr="005F142B" w:rsidRDefault="00EB3300" w:rsidP="00BD0FED">
            <w:pPr>
              <w:pStyle w:val="ECCParagraph"/>
              <w:spacing w:before="120" w:after="120"/>
              <w:rPr>
                <w:rFonts w:ascii="Times New Roman" w:eastAsia="Calibri" w:hAnsi="Times New Roman"/>
                <w:sz w:val="20"/>
                <w:szCs w:val="20"/>
                <w:lang w:val="en-US"/>
              </w:rPr>
            </w:pPr>
            <w:r w:rsidRPr="005F142B">
              <w:rPr>
                <w:rFonts w:ascii="Times New Roman" w:eastAsia="Calibri" w:hAnsi="Times New Roman"/>
                <w:sz w:val="20"/>
                <w:szCs w:val="20"/>
                <w:lang w:val="en-US"/>
              </w:rPr>
              <w:t>CEPT supports the identification of frequency bands for land-mobile and fixed services applications in this frequency range notwithstanding the continued protection of the passive services in the frequency range 275-450 GHz as identified in No 5.565.</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t>1.16</w:t>
            </w:r>
          </w:p>
          <w:p w:rsidR="00EB3300" w:rsidRPr="005F142B" w:rsidRDefault="00EB3300" w:rsidP="00BD0FED">
            <w:pPr>
              <w:spacing w:before="120" w:after="120"/>
              <w:jc w:val="center"/>
              <w:rPr>
                <w:sz w:val="20"/>
              </w:rPr>
            </w:pPr>
          </w:p>
          <w:p w:rsidR="00EB3300" w:rsidRPr="005F142B" w:rsidRDefault="00EB3300" w:rsidP="00BD0FED">
            <w:pPr>
              <w:spacing w:before="120" w:after="120"/>
              <w:jc w:val="center"/>
              <w:rPr>
                <w:color w:val="000000"/>
                <w:sz w:val="20"/>
              </w:rPr>
            </w:pPr>
          </w:p>
        </w:tc>
        <w:tc>
          <w:tcPr>
            <w:tcW w:w="4253" w:type="dxa"/>
          </w:tcPr>
          <w:p w:rsidR="00EB3300" w:rsidRPr="005F142B" w:rsidRDefault="00EB3300" w:rsidP="00BD0FED">
            <w:pPr>
              <w:tabs>
                <w:tab w:val="left" w:pos="1755"/>
              </w:tabs>
              <w:spacing w:before="120" w:after="120"/>
              <w:rPr>
                <w:sz w:val="20"/>
              </w:rPr>
            </w:pPr>
            <w:r w:rsidRPr="005F142B">
              <w:rPr>
                <w:sz w:val="20"/>
              </w:rPr>
              <w:t>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w:t>
            </w:r>
            <w:r w:rsidRPr="005F142B">
              <w:rPr>
                <w:b/>
                <w:sz w:val="20"/>
              </w:rPr>
              <w:t>239 (WRC</w:t>
            </w:r>
            <w:r w:rsidRPr="005F142B">
              <w:rPr>
                <w:b/>
                <w:sz w:val="20"/>
              </w:rPr>
              <w:noBreakHyphen/>
              <w:t>15)</w:t>
            </w:r>
          </w:p>
        </w:tc>
        <w:tc>
          <w:tcPr>
            <w:tcW w:w="9526" w:type="dxa"/>
          </w:tcPr>
          <w:p w:rsidR="00EB3300" w:rsidRPr="005F142B" w:rsidRDefault="00EB3300" w:rsidP="00BD0FED">
            <w:pPr>
              <w:spacing w:before="120" w:after="120"/>
              <w:rPr>
                <w:sz w:val="20"/>
              </w:rPr>
            </w:pPr>
            <w:r w:rsidRPr="005F142B">
              <w:rPr>
                <w:sz w:val="20"/>
              </w:rPr>
              <w:t xml:space="preserve">In the 5 150-5 250 MHz band, CEPT would support relaxing the access conditions applicable to WAS/RLANs, if results of studies show that sharing and compatibility can be achieved with, MSS feeder links, aeronautical </w:t>
            </w:r>
            <w:proofErr w:type="spellStart"/>
            <w:r w:rsidRPr="005F142B">
              <w:rPr>
                <w:sz w:val="20"/>
              </w:rPr>
              <w:t>radionavigation</w:t>
            </w:r>
            <w:proofErr w:type="spellEnd"/>
            <w:r w:rsidRPr="005F142B">
              <w:rPr>
                <w:sz w:val="20"/>
              </w:rPr>
              <w:t xml:space="preserve"> and aeronautical telemetry (see No 5.446C). However, CEPT noted that the current studies have shown difficulties in achieving co-existence with some incumbent services.</w:t>
            </w:r>
          </w:p>
          <w:p w:rsidR="00EB3300" w:rsidRPr="005F142B" w:rsidRDefault="00EB3300" w:rsidP="00BD0FED">
            <w:pPr>
              <w:spacing w:before="120" w:after="120"/>
              <w:rPr>
                <w:sz w:val="20"/>
              </w:rPr>
            </w:pPr>
            <w:r w:rsidRPr="005F142B">
              <w:rPr>
                <w:sz w:val="20"/>
              </w:rPr>
              <w:t>In the 5 250-5 350 MHz band, CEPT would support relaxing the access conditions applicable to WAS/RLANs, if results of studies show that sharing and compatibility can be achieved with EESS (active) systems and radars. However, CEPT noted that the current studies have shown difficulties in achieving co-existence with incumbent services.</w:t>
            </w:r>
          </w:p>
          <w:p w:rsidR="00EB3300" w:rsidRPr="005F142B" w:rsidRDefault="00EB3300" w:rsidP="00BD0FED">
            <w:pPr>
              <w:spacing w:before="120" w:after="120"/>
              <w:rPr>
                <w:sz w:val="20"/>
              </w:rPr>
            </w:pPr>
            <w:r w:rsidRPr="005F142B">
              <w:rPr>
                <w:sz w:val="20"/>
              </w:rPr>
              <w:t xml:space="preserve">In the 5 350-5 470 MHz band, CEPT supports no change to the RR in this band. </w:t>
            </w:r>
          </w:p>
          <w:p w:rsidR="00EB3300" w:rsidRPr="005F142B" w:rsidRDefault="00EB3300" w:rsidP="00BD0FED">
            <w:pPr>
              <w:spacing w:before="120" w:after="120"/>
              <w:rPr>
                <w:sz w:val="20"/>
              </w:rPr>
            </w:pPr>
            <w:r w:rsidRPr="005F142B">
              <w:rPr>
                <w:sz w:val="20"/>
              </w:rPr>
              <w:t xml:space="preserve">In the 5 725-5 850 MHz band, CEPT would support a new mobile allocation to accommodate WAS/RLANs use if sharing and compatibility studies can demonstrate the effectiveness of any new proposed interference mitigation techniques to ensure the protection of radars, fixed service (see No 5.455) and FSS space station receivers. It is to be noted that CEPT will take into account compatibility studies between RLAN and specific applications within CEPT (e.g. road tolling systems). </w:t>
            </w:r>
          </w:p>
          <w:p w:rsidR="00EB3300" w:rsidRPr="005F142B" w:rsidRDefault="00EB3300" w:rsidP="00BD0FED">
            <w:pPr>
              <w:pStyle w:val="ECCParagraph"/>
              <w:spacing w:before="120" w:after="120"/>
              <w:rPr>
                <w:rFonts w:ascii="Times New Roman" w:eastAsia="Calibri" w:hAnsi="Times New Roman"/>
                <w:sz w:val="20"/>
                <w:szCs w:val="20"/>
                <w:lang w:val="en-US"/>
              </w:rPr>
            </w:pPr>
            <w:r w:rsidRPr="005F142B">
              <w:rPr>
                <w:rFonts w:ascii="Times New Roman" w:hAnsi="Times New Roman"/>
                <w:sz w:val="20"/>
                <w:szCs w:val="20"/>
              </w:rPr>
              <w:t>In the 5 850-5 925 MHz band, CEPT notes that the current studies have shown difficulties in achieving co-existence with other incumbent services without imposing any additional constraints on existing services such as FSS (space station receivers) and existing applications under the mobile service such as ITS (including urban rail). Therefore supports no change to the RR in this band.</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t>9.1.5</w:t>
            </w:r>
          </w:p>
          <w:p w:rsidR="00EB3300" w:rsidRPr="005F142B" w:rsidRDefault="00EB3300" w:rsidP="00BD0FED">
            <w:pPr>
              <w:spacing w:before="120" w:after="120"/>
              <w:jc w:val="center"/>
              <w:rPr>
                <w:sz w:val="20"/>
              </w:rPr>
            </w:pPr>
          </w:p>
          <w:p w:rsidR="00EB3300" w:rsidRPr="005F142B" w:rsidRDefault="00EB3300" w:rsidP="00BD0FED">
            <w:pPr>
              <w:spacing w:before="120" w:after="120"/>
              <w:jc w:val="center"/>
              <w:rPr>
                <w:color w:val="000000"/>
                <w:sz w:val="20"/>
              </w:rPr>
            </w:pPr>
          </w:p>
        </w:tc>
        <w:tc>
          <w:tcPr>
            <w:tcW w:w="4253" w:type="dxa"/>
          </w:tcPr>
          <w:p w:rsidR="00EB3300" w:rsidRPr="005F142B" w:rsidRDefault="00EB3300" w:rsidP="00BD0FED">
            <w:pPr>
              <w:spacing w:before="120" w:after="120"/>
              <w:rPr>
                <w:bCs/>
                <w:sz w:val="20"/>
              </w:rPr>
            </w:pPr>
            <w:r w:rsidRPr="005F142B">
              <w:rPr>
                <w:sz w:val="20"/>
              </w:rPr>
              <w:t>Consideration of the technical and regulatory impacts of referencing Recommendations ITU</w:t>
            </w:r>
            <w:r w:rsidRPr="005F142B">
              <w:rPr>
                <w:sz w:val="20"/>
              </w:rPr>
              <w:noBreakHyphen/>
              <w:t>R M.1638</w:t>
            </w:r>
            <w:r w:rsidRPr="005F142B">
              <w:rPr>
                <w:sz w:val="20"/>
              </w:rPr>
              <w:noBreakHyphen/>
              <w:t>1 and ITU</w:t>
            </w:r>
            <w:r w:rsidRPr="005F142B">
              <w:rPr>
                <w:sz w:val="20"/>
              </w:rPr>
              <w:noBreakHyphen/>
              <w:t>R M.1849</w:t>
            </w:r>
            <w:r w:rsidRPr="005F142B">
              <w:rPr>
                <w:sz w:val="20"/>
              </w:rPr>
              <w:noBreakHyphen/>
              <w:t>1</w:t>
            </w:r>
            <w:r w:rsidRPr="005F142B">
              <w:rPr>
                <w:sz w:val="20"/>
              </w:rPr>
              <w:br/>
              <w:t xml:space="preserve">in </w:t>
            </w:r>
            <w:r w:rsidRPr="005F142B">
              <w:rPr>
                <w:sz w:val="20"/>
                <w:lang w:eastAsia="ja-JP"/>
              </w:rPr>
              <w:t>Nos. </w:t>
            </w:r>
            <w:r w:rsidRPr="005F142B">
              <w:rPr>
                <w:sz w:val="20"/>
              </w:rPr>
              <w:t>5.447F and 5.</w:t>
            </w:r>
            <w:r w:rsidRPr="005F142B">
              <w:rPr>
                <w:sz w:val="20"/>
                <w:lang w:eastAsia="ja-JP"/>
              </w:rPr>
              <w:t>45</w:t>
            </w:r>
            <w:r w:rsidRPr="005F142B">
              <w:rPr>
                <w:sz w:val="20"/>
              </w:rPr>
              <w:t xml:space="preserve">0A of the Radio Regulations (Resolution </w:t>
            </w:r>
            <w:r w:rsidRPr="005F142B">
              <w:rPr>
                <w:b/>
                <w:sz w:val="20"/>
              </w:rPr>
              <w:t>764(WRC-2015)</w:t>
            </w:r>
            <w:r w:rsidRPr="005F142B">
              <w:rPr>
                <w:sz w:val="20"/>
              </w:rPr>
              <w:t>)</w:t>
            </w:r>
          </w:p>
        </w:tc>
        <w:tc>
          <w:tcPr>
            <w:tcW w:w="9526" w:type="dxa"/>
          </w:tcPr>
          <w:p w:rsidR="00EB3300" w:rsidRPr="005F142B" w:rsidRDefault="00EB3300" w:rsidP="00BD0FED">
            <w:pPr>
              <w:pStyle w:val="ECCParagraph"/>
              <w:spacing w:before="120" w:after="120"/>
              <w:rPr>
                <w:rFonts w:ascii="Times New Roman" w:hAnsi="Times New Roman"/>
                <w:sz w:val="20"/>
                <w:szCs w:val="20"/>
              </w:rPr>
            </w:pPr>
            <w:r w:rsidRPr="005F142B">
              <w:rPr>
                <w:rFonts w:ascii="Times New Roman" w:hAnsi="Times New Roman"/>
                <w:sz w:val="20"/>
                <w:szCs w:val="20"/>
              </w:rPr>
              <w:t xml:space="preserve">CEPT is of the view that Recommendation ITU-R M.1849-1 (on ground based Meteorological radars) can be referenced in No 5.450A without changes to the allocation conditions of the frequency band 5 470-5 725 MHz for the incumbent radio services. </w:t>
            </w:r>
          </w:p>
          <w:p w:rsidR="00EB3300" w:rsidRPr="005F142B" w:rsidRDefault="00EB3300" w:rsidP="00BD0FED">
            <w:pPr>
              <w:pStyle w:val="ECCParagraph"/>
              <w:spacing w:before="120" w:after="120"/>
              <w:rPr>
                <w:rFonts w:ascii="Times New Roman" w:hAnsi="Times New Roman"/>
                <w:sz w:val="20"/>
                <w:szCs w:val="20"/>
              </w:rPr>
            </w:pPr>
            <w:r w:rsidRPr="005F142B">
              <w:rPr>
                <w:rFonts w:ascii="Times New Roman" w:hAnsi="Times New Roman"/>
                <w:sz w:val="20"/>
                <w:szCs w:val="20"/>
              </w:rPr>
              <w:t xml:space="preserve">CEPT opposes referencing Recommendation ITU-R M.1849-1 in Nos 5.447F since it will result in undue constraints placed on the mobile (except aeronautical mobile) service in the frequency band 5 250-5 350 </w:t>
            </w:r>
            <w:proofErr w:type="spellStart"/>
            <w:r w:rsidRPr="005F142B">
              <w:rPr>
                <w:rFonts w:ascii="Times New Roman" w:hAnsi="Times New Roman"/>
                <w:sz w:val="20"/>
                <w:szCs w:val="20"/>
              </w:rPr>
              <w:t>MHz.</w:t>
            </w:r>
            <w:proofErr w:type="spellEnd"/>
          </w:p>
          <w:p w:rsidR="00EB3300" w:rsidRPr="005F142B" w:rsidRDefault="00EB3300" w:rsidP="00BD0FED">
            <w:pPr>
              <w:pStyle w:val="ECCParagraph"/>
              <w:spacing w:before="120" w:after="120"/>
              <w:rPr>
                <w:rFonts w:ascii="Times New Roman" w:eastAsia="Calibri" w:hAnsi="Times New Roman"/>
                <w:sz w:val="20"/>
                <w:szCs w:val="20"/>
                <w:lang w:val="en-US"/>
              </w:rPr>
            </w:pPr>
            <w:r w:rsidRPr="005F142B">
              <w:rPr>
                <w:rFonts w:ascii="Times New Roman" w:hAnsi="Times New Roman"/>
                <w:sz w:val="20"/>
                <w:szCs w:val="20"/>
              </w:rPr>
              <w:t>With the results of current technical studies, CEPT would support keeping reference to Recommendation ITU-R M.1638-0 in Nos 5.447F and 5.450A. CEPT is further investigating the potential technical and regulatory impacts of referencing Recommendation ITU-R M.1638-1 (on radars except ground based Meteorological radars).</w:t>
            </w:r>
          </w:p>
        </w:tc>
      </w:tr>
      <w:tr w:rsidR="00EB3300" w:rsidRPr="005F142B" w:rsidTr="00BD0FED">
        <w:tc>
          <w:tcPr>
            <w:tcW w:w="817" w:type="dxa"/>
          </w:tcPr>
          <w:p w:rsidR="00EB3300" w:rsidRPr="005F142B" w:rsidRDefault="00EB3300" w:rsidP="00BD0FED">
            <w:pPr>
              <w:spacing w:before="120" w:after="120"/>
              <w:jc w:val="center"/>
              <w:rPr>
                <w:sz w:val="20"/>
              </w:rPr>
            </w:pPr>
            <w:r w:rsidRPr="005F142B">
              <w:rPr>
                <w:sz w:val="20"/>
              </w:rPr>
              <w:t>9.1.6</w:t>
            </w:r>
          </w:p>
        </w:tc>
        <w:tc>
          <w:tcPr>
            <w:tcW w:w="4253" w:type="dxa"/>
          </w:tcPr>
          <w:p w:rsidR="00EB3300" w:rsidRPr="005F142B" w:rsidRDefault="00EB3300" w:rsidP="00BD0FED">
            <w:pPr>
              <w:spacing w:before="120" w:after="120"/>
              <w:rPr>
                <w:sz w:val="20"/>
              </w:rPr>
            </w:pPr>
            <w:r w:rsidRPr="005F142B">
              <w:rPr>
                <w:sz w:val="20"/>
              </w:rPr>
              <w:t xml:space="preserve">Wireless Power Transmission (Resolution </w:t>
            </w:r>
            <w:r w:rsidRPr="005F142B">
              <w:rPr>
                <w:b/>
                <w:sz w:val="20"/>
              </w:rPr>
              <w:t>958 (WRC-2015)</w:t>
            </w:r>
            <w:r w:rsidRPr="005F142B">
              <w:rPr>
                <w:sz w:val="20"/>
              </w:rPr>
              <w:t>)</w:t>
            </w:r>
          </w:p>
        </w:tc>
        <w:tc>
          <w:tcPr>
            <w:tcW w:w="9526" w:type="dxa"/>
          </w:tcPr>
          <w:p w:rsidR="00EB3300" w:rsidRPr="005F142B" w:rsidRDefault="00EB3300" w:rsidP="00BD0FED">
            <w:pPr>
              <w:pStyle w:val="ECCParagraph"/>
              <w:spacing w:before="120" w:after="120"/>
              <w:rPr>
                <w:rFonts w:ascii="Times New Roman" w:hAnsi="Times New Roman"/>
                <w:sz w:val="20"/>
                <w:szCs w:val="20"/>
              </w:rPr>
            </w:pPr>
            <w:r w:rsidRPr="005F142B">
              <w:rPr>
                <w:rFonts w:ascii="Times New Roman" w:hAnsi="Times New Roman"/>
                <w:sz w:val="20"/>
                <w:szCs w:val="20"/>
              </w:rPr>
              <w:t xml:space="preserve">CEPT supports studies concerning Wireless Power Transmission (WPT) for electric vehicles (EV) to assess the impact of WPT for EV on radiocommunication services. </w:t>
            </w:r>
          </w:p>
          <w:p w:rsidR="00EB3300" w:rsidRPr="005F142B" w:rsidRDefault="00EB3300" w:rsidP="00BD0FED">
            <w:pPr>
              <w:pStyle w:val="ECCParagraph"/>
              <w:spacing w:before="120" w:after="120"/>
              <w:rPr>
                <w:rFonts w:ascii="Times New Roman" w:hAnsi="Times New Roman"/>
                <w:sz w:val="20"/>
                <w:szCs w:val="20"/>
              </w:rPr>
            </w:pPr>
            <w:r w:rsidRPr="005F142B">
              <w:rPr>
                <w:rFonts w:ascii="Times New Roman" w:hAnsi="Times New Roman"/>
                <w:sz w:val="20"/>
                <w:szCs w:val="20"/>
              </w:rPr>
              <w:t xml:space="preserve">CEPT will consider only those potential candidate band(s) as suitable for WPT for EV, which minimise the impact of WPT for EV on radiocommunication services. </w:t>
            </w:r>
          </w:p>
          <w:p w:rsidR="00EB3300" w:rsidRPr="005F142B" w:rsidRDefault="00EB3300" w:rsidP="00BD0FED">
            <w:pPr>
              <w:pStyle w:val="ECCParagraph"/>
              <w:spacing w:before="120" w:after="120"/>
              <w:rPr>
                <w:rFonts w:ascii="Times New Roman" w:eastAsia="Calibri" w:hAnsi="Times New Roman"/>
                <w:sz w:val="20"/>
                <w:szCs w:val="20"/>
                <w:lang w:val="en-US"/>
              </w:rPr>
            </w:pPr>
            <w:r w:rsidRPr="005F142B">
              <w:rPr>
                <w:rFonts w:ascii="Times New Roman" w:hAnsi="Times New Roman"/>
                <w:sz w:val="20"/>
                <w:szCs w:val="20"/>
              </w:rPr>
              <w:t>CEPT is of the view that no further regulatory action to the RR will be required.</w:t>
            </w:r>
          </w:p>
        </w:tc>
      </w:tr>
      <w:tr w:rsidR="00EB3300" w:rsidRPr="005F142B" w:rsidTr="00BD0FED">
        <w:tc>
          <w:tcPr>
            <w:tcW w:w="817" w:type="dxa"/>
            <w:tcBorders>
              <w:top w:val="single" w:sz="4" w:space="0" w:color="auto"/>
              <w:left w:val="single" w:sz="4" w:space="0" w:color="auto"/>
              <w:bottom w:val="single" w:sz="4" w:space="0" w:color="auto"/>
              <w:right w:val="single" w:sz="4" w:space="0" w:color="auto"/>
            </w:tcBorders>
          </w:tcPr>
          <w:p w:rsidR="00EB3300" w:rsidRPr="005F142B" w:rsidRDefault="00EB3300" w:rsidP="00BD0FED">
            <w:pPr>
              <w:spacing w:before="120" w:after="120"/>
              <w:jc w:val="center"/>
              <w:rPr>
                <w:sz w:val="20"/>
              </w:rPr>
            </w:pPr>
            <w:r w:rsidRPr="005F142B">
              <w:rPr>
                <w:sz w:val="20"/>
              </w:rPr>
              <w:t>9.1.9</w:t>
            </w:r>
          </w:p>
        </w:tc>
        <w:tc>
          <w:tcPr>
            <w:tcW w:w="4253" w:type="dxa"/>
            <w:tcBorders>
              <w:top w:val="single" w:sz="4" w:space="0" w:color="auto"/>
              <w:left w:val="single" w:sz="4" w:space="0" w:color="auto"/>
              <w:bottom w:val="single" w:sz="4" w:space="0" w:color="auto"/>
              <w:right w:val="single" w:sz="4" w:space="0" w:color="auto"/>
            </w:tcBorders>
          </w:tcPr>
          <w:p w:rsidR="00EB3300" w:rsidRPr="005F142B" w:rsidRDefault="00EB3300" w:rsidP="00BD0FED">
            <w:pPr>
              <w:spacing w:before="120" w:after="120"/>
              <w:rPr>
                <w:sz w:val="20"/>
              </w:rPr>
            </w:pPr>
            <w:r w:rsidRPr="005F142B">
              <w:rPr>
                <w:sz w:val="20"/>
              </w:rPr>
              <w:t>Studies relating to spectrum needs and possible allocation of the band 51.4-52.4 GHz to the FSS (Earth-to-space) (see Resolution</w:t>
            </w:r>
            <w:r w:rsidRPr="005F142B">
              <w:rPr>
                <w:b/>
                <w:sz w:val="20"/>
              </w:rPr>
              <w:t xml:space="preserve"> 162 (WRC-15)</w:t>
            </w:r>
            <w:r w:rsidRPr="005F142B">
              <w:rPr>
                <w:sz w:val="20"/>
              </w:rPr>
              <w:t>)</w:t>
            </w:r>
          </w:p>
        </w:tc>
        <w:tc>
          <w:tcPr>
            <w:tcW w:w="9526" w:type="dxa"/>
            <w:tcBorders>
              <w:top w:val="single" w:sz="4" w:space="0" w:color="auto"/>
              <w:left w:val="single" w:sz="4" w:space="0" w:color="auto"/>
              <w:bottom w:val="single" w:sz="4" w:space="0" w:color="auto"/>
              <w:right w:val="single" w:sz="4" w:space="0" w:color="auto"/>
            </w:tcBorders>
          </w:tcPr>
          <w:p w:rsidR="00EB3300" w:rsidRPr="005F142B" w:rsidRDefault="00EB3300" w:rsidP="00BD0FED">
            <w:pPr>
              <w:pStyle w:val="ECCParagraph"/>
              <w:spacing w:before="120" w:after="120"/>
              <w:rPr>
                <w:rFonts w:ascii="Times New Roman" w:hAnsi="Times New Roman"/>
                <w:sz w:val="20"/>
                <w:szCs w:val="20"/>
                <w:lang w:val="en-US"/>
              </w:rPr>
            </w:pPr>
            <w:r w:rsidRPr="005F142B">
              <w:rPr>
                <w:rFonts w:ascii="Times New Roman" w:hAnsi="Times New Roman"/>
                <w:sz w:val="20"/>
                <w:szCs w:val="20"/>
                <w:lang w:val="en-US"/>
              </w:rPr>
              <w:t xml:space="preserve">Based on the results of studies on additional spectrum needs for development of the fixed-satellite service, in accordance with resolves to invite ITU-R 1 of Resolution 162 (WRC-15), CEPT supports the additional allocation of 1 GHz spectrum in 51.4 – 52.4 GHz band for the uplink GSO FSS feeder links, which allows to increase the throughput of these networks. </w:t>
            </w:r>
          </w:p>
          <w:p w:rsidR="00EB3300" w:rsidRPr="005F142B" w:rsidRDefault="00EB3300" w:rsidP="00BD0FED">
            <w:pPr>
              <w:pStyle w:val="ECCParagraph"/>
              <w:spacing w:before="120" w:after="120"/>
              <w:rPr>
                <w:rFonts w:ascii="Times New Roman" w:hAnsi="Times New Roman"/>
                <w:sz w:val="20"/>
                <w:szCs w:val="20"/>
                <w:lang w:val="en-US"/>
              </w:rPr>
            </w:pPr>
            <w:r w:rsidRPr="005F142B">
              <w:rPr>
                <w:rFonts w:ascii="Times New Roman" w:hAnsi="Times New Roman"/>
                <w:sz w:val="20"/>
                <w:szCs w:val="20"/>
                <w:lang w:val="en-US"/>
              </w:rPr>
              <w:t>CEPT supports the sharing and compatibility studies with existing services for consideration of new primary allocation to the FSS in the frequency band 51.4-52.4 GHz (Earth-to-space) limited to FSS feeder links for geostationary orbit use.</w:t>
            </w:r>
          </w:p>
          <w:p w:rsidR="00EB3300" w:rsidRPr="005F142B" w:rsidRDefault="00EB3300" w:rsidP="00BD0FED">
            <w:pPr>
              <w:pStyle w:val="ECCParagraph"/>
              <w:spacing w:before="120" w:after="120"/>
              <w:rPr>
                <w:rFonts w:ascii="Times New Roman" w:hAnsi="Times New Roman"/>
                <w:sz w:val="20"/>
                <w:szCs w:val="20"/>
                <w:lang w:val="en-US"/>
              </w:rPr>
            </w:pPr>
            <w:r w:rsidRPr="005F142B">
              <w:rPr>
                <w:rFonts w:ascii="Times New Roman" w:hAnsi="Times New Roman"/>
                <w:sz w:val="20"/>
                <w:szCs w:val="20"/>
                <w:lang w:val="en-US"/>
              </w:rPr>
              <w:t>To ensure the protection of the EESS (passive) operating in the band 52.6-54.25 GHz CEPT is actively working to establish the unwanted emission power limits for FSS Earth stations that would operate in the 51.4 - 52.4 GHz. In addition, CEPT supports the approach to assume a 3 dB apportionment of the EESS (passive) protection criterion to take into account the aggregate interference from all the active services allocated in the 51.4-52.4 GHz band. CEPT supports studies regarding the impact on radio astronomy observations in the band 51.4-54.25 GHz.</w:t>
            </w:r>
          </w:p>
        </w:tc>
      </w:tr>
      <w:tr w:rsidR="00EB3300" w:rsidRPr="005F142B" w:rsidTr="00BD0FED">
        <w:tc>
          <w:tcPr>
            <w:tcW w:w="817" w:type="dxa"/>
            <w:tcBorders>
              <w:top w:val="single" w:sz="4" w:space="0" w:color="auto"/>
              <w:left w:val="single" w:sz="4" w:space="0" w:color="auto"/>
              <w:bottom w:val="single" w:sz="4" w:space="0" w:color="auto"/>
              <w:right w:val="single" w:sz="4" w:space="0" w:color="auto"/>
            </w:tcBorders>
          </w:tcPr>
          <w:p w:rsidR="00EB3300" w:rsidRPr="005F142B" w:rsidRDefault="00EB3300" w:rsidP="00BD0FED">
            <w:pPr>
              <w:spacing w:before="120" w:after="120"/>
              <w:jc w:val="center"/>
              <w:rPr>
                <w:sz w:val="20"/>
              </w:rPr>
            </w:pPr>
            <w:r w:rsidRPr="005F142B">
              <w:rPr>
                <w:sz w:val="20"/>
              </w:rPr>
              <w:t>10</w:t>
            </w:r>
          </w:p>
        </w:tc>
        <w:tc>
          <w:tcPr>
            <w:tcW w:w="4253" w:type="dxa"/>
            <w:tcBorders>
              <w:top w:val="single" w:sz="4" w:space="0" w:color="auto"/>
              <w:left w:val="single" w:sz="4" w:space="0" w:color="auto"/>
              <w:bottom w:val="single" w:sz="4" w:space="0" w:color="auto"/>
              <w:right w:val="single" w:sz="4" w:space="0" w:color="auto"/>
            </w:tcBorders>
          </w:tcPr>
          <w:p w:rsidR="00EB3300" w:rsidRPr="005F142B" w:rsidRDefault="00EB3300" w:rsidP="00BD0FED">
            <w:pPr>
              <w:spacing w:before="120" w:after="120"/>
              <w:rPr>
                <w:sz w:val="20"/>
              </w:rPr>
            </w:pPr>
            <w:r w:rsidRPr="005F142B">
              <w:rPr>
                <w:sz w:val="20"/>
              </w:rPr>
              <w:t>to recommend to the Council items for inclusion in the agenda for the next WRC, and to give its views on the preliminary agenda for the subsequent conference and on possible agenda items for future conferences, in accordance with Article 7 of the Convention</w:t>
            </w:r>
          </w:p>
        </w:tc>
        <w:tc>
          <w:tcPr>
            <w:tcW w:w="9526" w:type="dxa"/>
            <w:tcBorders>
              <w:top w:val="single" w:sz="4" w:space="0" w:color="auto"/>
              <w:left w:val="single" w:sz="4" w:space="0" w:color="auto"/>
              <w:bottom w:val="single" w:sz="4" w:space="0" w:color="auto"/>
              <w:right w:val="single" w:sz="4" w:space="0" w:color="auto"/>
            </w:tcBorders>
          </w:tcPr>
          <w:p w:rsidR="00EB3300" w:rsidRPr="005F142B" w:rsidRDefault="00EB3300" w:rsidP="00BD0FED">
            <w:pPr>
              <w:pStyle w:val="ECCParagraph"/>
              <w:spacing w:before="120" w:after="120"/>
              <w:rPr>
                <w:rFonts w:ascii="Times New Roman" w:eastAsia="Calibri" w:hAnsi="Times New Roman"/>
                <w:sz w:val="20"/>
                <w:szCs w:val="20"/>
                <w:lang w:val="en-US"/>
              </w:rPr>
            </w:pPr>
            <w:r w:rsidRPr="005F142B">
              <w:rPr>
                <w:rFonts w:ascii="Times New Roman" w:hAnsi="Times New Roman"/>
                <w:sz w:val="20"/>
                <w:szCs w:val="20"/>
              </w:rPr>
              <w:t>No position at this stage</w:t>
            </w:r>
          </w:p>
        </w:tc>
      </w:tr>
    </w:tbl>
    <w:p w:rsidR="00EB3300" w:rsidRDefault="00EB3300" w:rsidP="00EB3300">
      <w:pPr>
        <w:pStyle w:val="BodyText"/>
      </w:pPr>
    </w:p>
    <w:p w:rsidR="0082457C" w:rsidRPr="00FF65B9" w:rsidRDefault="0082457C" w:rsidP="00550CB1">
      <w:pPr>
        <w:pStyle w:val="BodyText"/>
        <w:jc w:val="center"/>
      </w:pPr>
      <w:r w:rsidRPr="00FF65B9">
        <w:t>_______</w:t>
      </w:r>
      <w:r w:rsidR="00FA7F9D">
        <w:t>______</w:t>
      </w:r>
    </w:p>
    <w:p w:rsidR="00F35F35" w:rsidRPr="00FF65B9" w:rsidRDefault="00F35F35" w:rsidP="00413EDA"/>
    <w:p w:rsidR="008A71EB" w:rsidRPr="00FF65B9" w:rsidRDefault="008A71EB" w:rsidP="00B97253"/>
    <w:sectPr w:rsidR="008A71EB" w:rsidRPr="00FF65B9" w:rsidSect="00EB3300">
      <w:pgSz w:w="16840" w:h="11907" w:orient="landscape"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195" w:rsidRDefault="00942195">
      <w:r>
        <w:separator/>
      </w:r>
    </w:p>
    <w:p w:rsidR="00942195" w:rsidRDefault="00942195"/>
  </w:endnote>
  <w:endnote w:type="continuationSeparator" w:id="0">
    <w:p w:rsidR="00942195" w:rsidRDefault="00942195">
      <w:r>
        <w:continuationSeparator/>
      </w:r>
    </w:p>
    <w:p w:rsidR="00942195" w:rsidRDefault="009421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195" w:rsidRDefault="00942195">
      <w:r>
        <w:separator/>
      </w:r>
    </w:p>
    <w:p w:rsidR="00942195" w:rsidRDefault="00942195"/>
  </w:footnote>
  <w:footnote w:type="continuationSeparator" w:id="0">
    <w:p w:rsidR="00942195" w:rsidRDefault="00942195">
      <w:r>
        <w:continuationSeparator/>
      </w:r>
    </w:p>
    <w:p w:rsidR="00942195" w:rsidRDefault="009421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2D" w:rsidRPr="00C10690" w:rsidRDefault="00C8482D" w:rsidP="00EE4A91">
    <w:pPr>
      <w:pStyle w:val="Header"/>
      <w:pBdr>
        <w:bottom w:val="single" w:sz="4" w:space="1" w:color="auto"/>
      </w:pBdr>
      <w:rPr>
        <w:rStyle w:val="PageNumber"/>
        <w:lang w:val="en-GB"/>
      </w:rPr>
    </w:pPr>
    <w:r>
      <w:rPr>
        <w:bCs/>
        <w:lang w:val="fr-CH" w:eastAsia="zh-CN"/>
      </w:rPr>
      <w:t xml:space="preserve">SG-RFC-2018/Doc </w:t>
    </w:r>
    <w:r w:rsidR="00EE4A91">
      <w:rPr>
        <w:bCs/>
        <w:lang w:val="fr-CH" w:eastAsia="zh-CN"/>
      </w:rPr>
      <w:t>5.2</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4B3DD2">
      <w:rPr>
        <w:rStyle w:val="PageNumber"/>
        <w:noProof/>
        <w:lang w:val="en-GB"/>
      </w:rPr>
      <w:t>6</w:t>
    </w:r>
    <w:r>
      <w:rPr>
        <w:rStyle w:val="PageNumber"/>
      </w:rPr>
      <w:fldChar w:fldCharType="end"/>
    </w:r>
  </w:p>
  <w:p w:rsidR="00C8482D" w:rsidRDefault="00C848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E0BDE"/>
    <w:multiLevelType w:val="hybridMultilevel"/>
    <w:tmpl w:val="08223AC0"/>
    <w:lvl w:ilvl="0" w:tplc="A5A4122E">
      <w:numFmt w:val="bullet"/>
      <w:lvlText w:val="-"/>
      <w:lvlJc w:val="left"/>
      <w:pPr>
        <w:ind w:left="720" w:hanging="360"/>
      </w:pPr>
      <w:rPr>
        <w:rFonts w:ascii="Verdana" w:eastAsia="Arial" w:hAnsi="Verdan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162D7F03"/>
    <w:multiLevelType w:val="hybridMultilevel"/>
    <w:tmpl w:val="1B469442"/>
    <w:lvl w:ilvl="0" w:tplc="02B07E70">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0A87A02"/>
    <w:multiLevelType w:val="hybridMultilevel"/>
    <w:tmpl w:val="F3C8E714"/>
    <w:lvl w:ilvl="0" w:tplc="7AEC2072">
      <w:start w:val="1"/>
      <w:numFmt w:val="bullet"/>
      <w:pStyle w:val="ECCBulletsLv1"/>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5">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45A04B7"/>
    <w:multiLevelType w:val="hybridMultilevel"/>
    <w:tmpl w:val="3AFEA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8">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9"/>
  </w:num>
  <w:num w:numId="2">
    <w:abstractNumId w:val="1"/>
  </w:num>
  <w:num w:numId="3">
    <w:abstractNumId w:val="8"/>
  </w:num>
  <w:num w:numId="4">
    <w:abstractNumId w:val="10"/>
  </w:num>
  <w:num w:numId="5">
    <w:abstractNumId w:val="4"/>
  </w:num>
  <w:num w:numId="6">
    <w:abstractNumId w:val="7"/>
  </w:num>
  <w:num w:numId="7">
    <w:abstractNumId w:val="5"/>
  </w:num>
  <w:num w:numId="8">
    <w:abstractNumId w:val="0"/>
  </w:num>
  <w:num w:numId="9">
    <w:abstractNumId w:val="6"/>
  </w:num>
  <w:num w:numId="10">
    <w:abstractNumId w:val="3"/>
  </w:num>
  <w:num w:numId="1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8"/>
    <w:rsid w:val="00002465"/>
    <w:rsid w:val="000048B5"/>
    <w:rsid w:val="000104BD"/>
    <w:rsid w:val="0001212F"/>
    <w:rsid w:val="000135F6"/>
    <w:rsid w:val="00015F07"/>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459C3"/>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D5B38"/>
    <w:rsid w:val="001F0174"/>
    <w:rsid w:val="001F317B"/>
    <w:rsid w:val="001F5A1F"/>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2F451C"/>
    <w:rsid w:val="002F76D3"/>
    <w:rsid w:val="00310DDF"/>
    <w:rsid w:val="00313A41"/>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B3DD2"/>
    <w:rsid w:val="004C1599"/>
    <w:rsid w:val="004D3BAA"/>
    <w:rsid w:val="004D77E1"/>
    <w:rsid w:val="004E577D"/>
    <w:rsid w:val="004F3BA0"/>
    <w:rsid w:val="004F6651"/>
    <w:rsid w:val="004F7C80"/>
    <w:rsid w:val="005013FD"/>
    <w:rsid w:val="00525FDE"/>
    <w:rsid w:val="00526C7D"/>
    <w:rsid w:val="005359E9"/>
    <w:rsid w:val="00540C17"/>
    <w:rsid w:val="00550CB1"/>
    <w:rsid w:val="00550D38"/>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2B0"/>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96C5D"/>
    <w:rsid w:val="007A3F4B"/>
    <w:rsid w:val="007B3E28"/>
    <w:rsid w:val="007C2038"/>
    <w:rsid w:val="007C49CE"/>
    <w:rsid w:val="007C595D"/>
    <w:rsid w:val="007F4C01"/>
    <w:rsid w:val="007F6329"/>
    <w:rsid w:val="00801715"/>
    <w:rsid w:val="00802B20"/>
    <w:rsid w:val="00810373"/>
    <w:rsid w:val="0082457C"/>
    <w:rsid w:val="008269A2"/>
    <w:rsid w:val="00827511"/>
    <w:rsid w:val="008414B4"/>
    <w:rsid w:val="00843A1D"/>
    <w:rsid w:val="00846779"/>
    <w:rsid w:val="00854846"/>
    <w:rsid w:val="0085547C"/>
    <w:rsid w:val="008621B3"/>
    <w:rsid w:val="008639CA"/>
    <w:rsid w:val="00865E4E"/>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D1145"/>
    <w:rsid w:val="008E274F"/>
    <w:rsid w:val="008E4F71"/>
    <w:rsid w:val="008E7CF0"/>
    <w:rsid w:val="008F53F7"/>
    <w:rsid w:val="008F5569"/>
    <w:rsid w:val="0090477D"/>
    <w:rsid w:val="00910FF6"/>
    <w:rsid w:val="00911591"/>
    <w:rsid w:val="00913A35"/>
    <w:rsid w:val="00920086"/>
    <w:rsid w:val="00920223"/>
    <w:rsid w:val="00921B88"/>
    <w:rsid w:val="00923438"/>
    <w:rsid w:val="0093348E"/>
    <w:rsid w:val="00934D30"/>
    <w:rsid w:val="00937052"/>
    <w:rsid w:val="00942195"/>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063AA"/>
    <w:rsid w:val="00A12112"/>
    <w:rsid w:val="00A32CDD"/>
    <w:rsid w:val="00A414EB"/>
    <w:rsid w:val="00A45F94"/>
    <w:rsid w:val="00A55596"/>
    <w:rsid w:val="00A65A51"/>
    <w:rsid w:val="00A7189B"/>
    <w:rsid w:val="00A71E92"/>
    <w:rsid w:val="00A74081"/>
    <w:rsid w:val="00A83967"/>
    <w:rsid w:val="00AA52BD"/>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4CD5"/>
    <w:rsid w:val="00B60D86"/>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47ED"/>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482D"/>
    <w:rsid w:val="00C8640B"/>
    <w:rsid w:val="00C86575"/>
    <w:rsid w:val="00C96AE6"/>
    <w:rsid w:val="00C974A5"/>
    <w:rsid w:val="00CA0423"/>
    <w:rsid w:val="00CB6DF9"/>
    <w:rsid w:val="00CC23C9"/>
    <w:rsid w:val="00CD47BE"/>
    <w:rsid w:val="00D01387"/>
    <w:rsid w:val="00D02FA8"/>
    <w:rsid w:val="00D17948"/>
    <w:rsid w:val="00D22E8A"/>
    <w:rsid w:val="00D24A54"/>
    <w:rsid w:val="00D33322"/>
    <w:rsid w:val="00D35ABB"/>
    <w:rsid w:val="00D37E35"/>
    <w:rsid w:val="00D70B08"/>
    <w:rsid w:val="00D733B4"/>
    <w:rsid w:val="00D9579B"/>
    <w:rsid w:val="00DB1BA5"/>
    <w:rsid w:val="00DB3060"/>
    <w:rsid w:val="00DD070B"/>
    <w:rsid w:val="00DD1C37"/>
    <w:rsid w:val="00DD4013"/>
    <w:rsid w:val="00DF04C7"/>
    <w:rsid w:val="00E106FE"/>
    <w:rsid w:val="00E22E5C"/>
    <w:rsid w:val="00E40C83"/>
    <w:rsid w:val="00E43CAF"/>
    <w:rsid w:val="00E6623A"/>
    <w:rsid w:val="00E91474"/>
    <w:rsid w:val="00E91F0F"/>
    <w:rsid w:val="00E95AB2"/>
    <w:rsid w:val="00EA3D1A"/>
    <w:rsid w:val="00EA4F1E"/>
    <w:rsid w:val="00EA5587"/>
    <w:rsid w:val="00EB02BD"/>
    <w:rsid w:val="00EB3300"/>
    <w:rsid w:val="00EB6634"/>
    <w:rsid w:val="00EC0AE6"/>
    <w:rsid w:val="00EC16B2"/>
    <w:rsid w:val="00EC3B28"/>
    <w:rsid w:val="00EC7711"/>
    <w:rsid w:val="00EE0CEC"/>
    <w:rsid w:val="00EE1757"/>
    <w:rsid w:val="00EE4A91"/>
    <w:rsid w:val="00EE6F0B"/>
    <w:rsid w:val="00EF7DF7"/>
    <w:rsid w:val="00F11C19"/>
    <w:rsid w:val="00F345D8"/>
    <w:rsid w:val="00F35F35"/>
    <w:rsid w:val="00F448DD"/>
    <w:rsid w:val="00F617E1"/>
    <w:rsid w:val="00F62267"/>
    <w:rsid w:val="00F6362C"/>
    <w:rsid w:val="00FA7F9D"/>
    <w:rsid w:val="00FC2F19"/>
    <w:rsid w:val="00FC3318"/>
    <w:rsid w:val="00FD4CC6"/>
    <w:rsid w:val="00FE66AB"/>
    <w:rsid w:val="00FF3261"/>
    <w:rsid w:val="00FF65B9"/>
    <w:rsid w:val="00FF6C0E"/>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ighlight">
    <w:name w:val="highlight"/>
    <w:basedOn w:val="DefaultParagraphFont"/>
    <w:rsid w:val="00B60D86"/>
  </w:style>
  <w:style w:type="paragraph" w:customStyle="1" w:styleId="ECCParagraph">
    <w:name w:val="ECC Paragraph"/>
    <w:basedOn w:val="Normal"/>
    <w:rsid w:val="00EB3300"/>
    <w:pPr>
      <w:spacing w:after="240"/>
      <w:jc w:val="both"/>
    </w:pPr>
    <w:rPr>
      <w:rFonts w:cs="Times New Roman"/>
      <w:szCs w:val="22"/>
    </w:rPr>
  </w:style>
  <w:style w:type="paragraph" w:customStyle="1" w:styleId="ECCBulletsLv1">
    <w:name w:val="ECC Bullets Lv1"/>
    <w:basedOn w:val="Normal"/>
    <w:qFormat/>
    <w:rsid w:val="00EB3300"/>
    <w:pPr>
      <w:numPr>
        <w:numId w:val="10"/>
      </w:numPr>
      <w:jc w:val="both"/>
    </w:pPr>
    <w:rPr>
      <w:rFonts w:cs="Times New Roman"/>
      <w:szCs w:val="22"/>
    </w:rPr>
  </w:style>
  <w:style w:type="character" w:customStyle="1" w:styleId="BRNormal">
    <w:name w:val="BR_Normal"/>
    <w:basedOn w:val="DefaultParagraphFont"/>
    <w:uiPriority w:val="1"/>
    <w:qFormat/>
    <w:rsid w:val="00EB3300"/>
  </w:style>
  <w:style w:type="character" w:customStyle="1" w:styleId="Artdef">
    <w:name w:val="Art_def"/>
    <w:basedOn w:val="DefaultParagraphFont"/>
    <w:rsid w:val="00EB3300"/>
    <w:rPr>
      <w:rFonts w:ascii="Times New Roman" w:hAnsi="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ighlight">
    <w:name w:val="highlight"/>
    <w:basedOn w:val="DefaultParagraphFont"/>
    <w:rsid w:val="00B60D86"/>
  </w:style>
  <w:style w:type="paragraph" w:customStyle="1" w:styleId="ECCParagraph">
    <w:name w:val="ECC Paragraph"/>
    <w:basedOn w:val="Normal"/>
    <w:rsid w:val="00EB3300"/>
    <w:pPr>
      <w:spacing w:after="240"/>
      <w:jc w:val="both"/>
    </w:pPr>
    <w:rPr>
      <w:rFonts w:cs="Times New Roman"/>
      <w:szCs w:val="22"/>
    </w:rPr>
  </w:style>
  <w:style w:type="paragraph" w:customStyle="1" w:styleId="ECCBulletsLv1">
    <w:name w:val="ECC Bullets Lv1"/>
    <w:basedOn w:val="Normal"/>
    <w:qFormat/>
    <w:rsid w:val="00EB3300"/>
    <w:pPr>
      <w:numPr>
        <w:numId w:val="10"/>
      </w:numPr>
      <w:jc w:val="both"/>
    </w:pPr>
    <w:rPr>
      <w:rFonts w:cs="Times New Roman"/>
      <w:szCs w:val="22"/>
    </w:rPr>
  </w:style>
  <w:style w:type="character" w:customStyle="1" w:styleId="BRNormal">
    <w:name w:val="BR_Normal"/>
    <w:basedOn w:val="DefaultParagraphFont"/>
    <w:uiPriority w:val="1"/>
    <w:qFormat/>
    <w:rsid w:val="00EB3300"/>
  </w:style>
  <w:style w:type="character" w:customStyle="1" w:styleId="Artdef">
    <w:name w:val="Art_def"/>
    <w:basedOn w:val="DefaultParagraphFont"/>
    <w:rsid w:val="00EB3300"/>
    <w:rPr>
      <w:rFonts w:ascii="Times New Roman" w:hAnsi="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30783">
      <w:bodyDiv w:val="1"/>
      <w:marLeft w:val="0"/>
      <w:marRight w:val="0"/>
      <w:marTop w:val="0"/>
      <w:marBottom w:val="0"/>
      <w:divBdr>
        <w:top w:val="none" w:sz="0" w:space="0" w:color="auto"/>
        <w:left w:val="none" w:sz="0" w:space="0" w:color="auto"/>
        <w:bottom w:val="none" w:sz="0" w:space="0" w:color="auto"/>
        <w:right w:val="none" w:sz="0" w:space="0" w:color="auto"/>
      </w:divBdr>
      <w:divsChild>
        <w:div w:id="1202399684">
          <w:marLeft w:val="0"/>
          <w:marRight w:val="0"/>
          <w:marTop w:val="0"/>
          <w:marBottom w:val="0"/>
          <w:divBdr>
            <w:top w:val="none" w:sz="0" w:space="0" w:color="auto"/>
            <w:left w:val="none" w:sz="0" w:space="0" w:color="auto"/>
            <w:bottom w:val="none" w:sz="0" w:space="0" w:color="auto"/>
            <w:right w:val="none" w:sz="0" w:space="0" w:color="auto"/>
          </w:divBdr>
        </w:div>
        <w:div w:id="1690373836">
          <w:marLeft w:val="0"/>
          <w:marRight w:val="0"/>
          <w:marTop w:val="0"/>
          <w:marBottom w:val="0"/>
          <w:divBdr>
            <w:top w:val="none" w:sz="0" w:space="0" w:color="auto"/>
            <w:left w:val="none" w:sz="0" w:space="0" w:color="auto"/>
            <w:bottom w:val="none" w:sz="0" w:space="0" w:color="auto"/>
            <w:right w:val="none" w:sz="0" w:space="0" w:color="auto"/>
          </w:divBdr>
        </w:div>
        <w:div w:id="1103191181">
          <w:marLeft w:val="0"/>
          <w:marRight w:val="0"/>
          <w:marTop w:val="0"/>
          <w:marBottom w:val="0"/>
          <w:divBdr>
            <w:top w:val="none" w:sz="0" w:space="0" w:color="auto"/>
            <w:left w:val="none" w:sz="0" w:space="0" w:color="auto"/>
            <w:bottom w:val="none" w:sz="0" w:space="0" w:color="auto"/>
            <w:right w:val="none" w:sz="0" w:space="0" w:color="auto"/>
          </w:divBdr>
        </w:div>
        <w:div w:id="713845705">
          <w:marLeft w:val="0"/>
          <w:marRight w:val="0"/>
          <w:marTop w:val="0"/>
          <w:marBottom w:val="0"/>
          <w:divBdr>
            <w:top w:val="none" w:sz="0" w:space="0" w:color="auto"/>
            <w:left w:val="none" w:sz="0" w:space="0" w:color="auto"/>
            <w:bottom w:val="none" w:sz="0" w:space="0" w:color="auto"/>
            <w:right w:val="none" w:sz="0" w:space="0" w:color="auto"/>
          </w:divBdr>
        </w:div>
        <w:div w:id="783773294">
          <w:marLeft w:val="0"/>
          <w:marRight w:val="0"/>
          <w:marTop w:val="0"/>
          <w:marBottom w:val="0"/>
          <w:divBdr>
            <w:top w:val="none" w:sz="0" w:space="0" w:color="auto"/>
            <w:left w:val="none" w:sz="0" w:space="0" w:color="auto"/>
            <w:bottom w:val="none" w:sz="0" w:space="0" w:color="auto"/>
            <w:right w:val="none" w:sz="0" w:space="0" w:color="auto"/>
          </w:divBdr>
        </w:div>
      </w:divsChild>
    </w:div>
    <w:div w:id="766802854">
      <w:bodyDiv w:val="1"/>
      <w:marLeft w:val="0"/>
      <w:marRight w:val="0"/>
      <w:marTop w:val="0"/>
      <w:marBottom w:val="0"/>
      <w:divBdr>
        <w:top w:val="none" w:sz="0" w:space="0" w:color="auto"/>
        <w:left w:val="none" w:sz="0" w:space="0" w:color="auto"/>
        <w:bottom w:val="none" w:sz="0" w:space="0" w:color="auto"/>
        <w:right w:val="none" w:sz="0" w:space="0" w:color="auto"/>
      </w:divBdr>
      <w:divsChild>
        <w:div w:id="2142914659">
          <w:marLeft w:val="0"/>
          <w:marRight w:val="0"/>
          <w:marTop w:val="0"/>
          <w:marBottom w:val="0"/>
          <w:divBdr>
            <w:top w:val="none" w:sz="0" w:space="0" w:color="auto"/>
            <w:left w:val="none" w:sz="0" w:space="0" w:color="auto"/>
            <w:bottom w:val="none" w:sz="0" w:space="0" w:color="auto"/>
            <w:right w:val="none" w:sz="0" w:space="0" w:color="auto"/>
          </w:divBdr>
        </w:div>
        <w:div w:id="660043483">
          <w:marLeft w:val="0"/>
          <w:marRight w:val="0"/>
          <w:marTop w:val="0"/>
          <w:marBottom w:val="0"/>
          <w:divBdr>
            <w:top w:val="none" w:sz="0" w:space="0" w:color="auto"/>
            <w:left w:val="none" w:sz="0" w:space="0" w:color="auto"/>
            <w:bottom w:val="none" w:sz="0" w:space="0" w:color="auto"/>
            <w:right w:val="none" w:sz="0" w:space="0" w:color="auto"/>
          </w:divBdr>
        </w:div>
        <w:div w:id="1492673200">
          <w:marLeft w:val="0"/>
          <w:marRight w:val="0"/>
          <w:marTop w:val="0"/>
          <w:marBottom w:val="0"/>
          <w:divBdr>
            <w:top w:val="none" w:sz="0" w:space="0" w:color="auto"/>
            <w:left w:val="none" w:sz="0" w:space="0" w:color="auto"/>
            <w:bottom w:val="none" w:sz="0" w:space="0" w:color="auto"/>
            <w:right w:val="none" w:sz="0" w:space="0" w:color="auto"/>
          </w:divBdr>
        </w:div>
        <w:div w:id="780224858">
          <w:marLeft w:val="0"/>
          <w:marRight w:val="0"/>
          <w:marTop w:val="0"/>
          <w:marBottom w:val="0"/>
          <w:divBdr>
            <w:top w:val="none" w:sz="0" w:space="0" w:color="auto"/>
            <w:left w:val="none" w:sz="0" w:space="0" w:color="auto"/>
            <w:bottom w:val="none" w:sz="0" w:space="0" w:color="auto"/>
            <w:right w:val="none" w:sz="0" w:space="0" w:color="auto"/>
          </w:divBdr>
        </w:div>
      </w:divsChild>
    </w:div>
    <w:div w:id="1718625307">
      <w:bodyDiv w:val="1"/>
      <w:marLeft w:val="0"/>
      <w:marRight w:val="0"/>
      <w:marTop w:val="0"/>
      <w:marBottom w:val="0"/>
      <w:divBdr>
        <w:top w:val="none" w:sz="0" w:space="0" w:color="auto"/>
        <w:left w:val="none" w:sz="0" w:space="0" w:color="auto"/>
        <w:bottom w:val="none" w:sz="0" w:space="0" w:color="auto"/>
        <w:right w:val="none" w:sz="0" w:space="0" w:color="auto"/>
      </w:divBdr>
      <w:divsChild>
        <w:div w:id="2093702698">
          <w:marLeft w:val="0"/>
          <w:marRight w:val="0"/>
          <w:marTop w:val="0"/>
          <w:marBottom w:val="0"/>
          <w:divBdr>
            <w:top w:val="none" w:sz="0" w:space="0" w:color="auto"/>
            <w:left w:val="none" w:sz="0" w:space="0" w:color="auto"/>
            <w:bottom w:val="none" w:sz="0" w:space="0" w:color="auto"/>
            <w:right w:val="none" w:sz="0" w:space="0" w:color="auto"/>
          </w:divBdr>
        </w:div>
        <w:div w:id="106390043">
          <w:marLeft w:val="0"/>
          <w:marRight w:val="0"/>
          <w:marTop w:val="0"/>
          <w:marBottom w:val="0"/>
          <w:divBdr>
            <w:top w:val="none" w:sz="0" w:space="0" w:color="auto"/>
            <w:left w:val="none" w:sz="0" w:space="0" w:color="auto"/>
            <w:bottom w:val="none" w:sz="0" w:space="0" w:color="auto"/>
            <w:right w:val="none" w:sz="0" w:space="0" w:color="auto"/>
          </w:divBdr>
        </w:div>
        <w:div w:id="1241646050">
          <w:marLeft w:val="0"/>
          <w:marRight w:val="0"/>
          <w:marTop w:val="0"/>
          <w:marBottom w:val="0"/>
          <w:divBdr>
            <w:top w:val="none" w:sz="0" w:space="0" w:color="auto"/>
            <w:left w:val="none" w:sz="0" w:space="0" w:color="auto"/>
            <w:bottom w:val="none" w:sz="0" w:space="0" w:color="auto"/>
            <w:right w:val="none" w:sz="0" w:space="0" w:color="auto"/>
          </w:divBdr>
        </w:div>
        <w:div w:id="2075814872">
          <w:marLeft w:val="0"/>
          <w:marRight w:val="0"/>
          <w:marTop w:val="0"/>
          <w:marBottom w:val="0"/>
          <w:divBdr>
            <w:top w:val="none" w:sz="0" w:space="0" w:color="auto"/>
            <w:left w:val="none" w:sz="0" w:space="0" w:color="auto"/>
            <w:bottom w:val="none" w:sz="0" w:space="0" w:color="auto"/>
            <w:right w:val="none" w:sz="0" w:space="0" w:color="auto"/>
          </w:divBdr>
        </w:div>
      </w:divsChild>
    </w:div>
    <w:div w:id="1767076237">
      <w:bodyDiv w:val="1"/>
      <w:marLeft w:val="0"/>
      <w:marRight w:val="0"/>
      <w:marTop w:val="0"/>
      <w:marBottom w:val="0"/>
      <w:divBdr>
        <w:top w:val="none" w:sz="0" w:space="0" w:color="auto"/>
        <w:left w:val="none" w:sz="0" w:space="0" w:color="auto"/>
        <w:bottom w:val="none" w:sz="0" w:space="0" w:color="auto"/>
        <w:right w:val="none" w:sz="0" w:space="0" w:color="auto"/>
      </w:divBdr>
      <w:divsChild>
        <w:div w:id="1776368917">
          <w:marLeft w:val="0"/>
          <w:marRight w:val="0"/>
          <w:marTop w:val="0"/>
          <w:marBottom w:val="0"/>
          <w:divBdr>
            <w:top w:val="none" w:sz="0" w:space="0" w:color="auto"/>
            <w:left w:val="none" w:sz="0" w:space="0" w:color="auto"/>
            <w:bottom w:val="none" w:sz="0" w:space="0" w:color="auto"/>
            <w:right w:val="none" w:sz="0" w:space="0" w:color="auto"/>
          </w:divBdr>
        </w:div>
        <w:div w:id="1820805350">
          <w:marLeft w:val="0"/>
          <w:marRight w:val="0"/>
          <w:marTop w:val="0"/>
          <w:marBottom w:val="0"/>
          <w:divBdr>
            <w:top w:val="none" w:sz="0" w:space="0" w:color="auto"/>
            <w:left w:val="none" w:sz="0" w:space="0" w:color="auto"/>
            <w:bottom w:val="none" w:sz="0" w:space="0" w:color="auto"/>
            <w:right w:val="none" w:sz="0" w:space="0" w:color="auto"/>
          </w:divBdr>
        </w:div>
        <w:div w:id="1238400765">
          <w:marLeft w:val="0"/>
          <w:marRight w:val="0"/>
          <w:marTop w:val="0"/>
          <w:marBottom w:val="0"/>
          <w:divBdr>
            <w:top w:val="none" w:sz="0" w:space="0" w:color="auto"/>
            <w:left w:val="none" w:sz="0" w:space="0" w:color="auto"/>
            <w:bottom w:val="none" w:sz="0" w:space="0" w:color="auto"/>
            <w:right w:val="none" w:sz="0" w:space="0" w:color="auto"/>
          </w:divBdr>
        </w:div>
        <w:div w:id="1419592540">
          <w:marLeft w:val="0"/>
          <w:marRight w:val="0"/>
          <w:marTop w:val="0"/>
          <w:marBottom w:val="0"/>
          <w:divBdr>
            <w:top w:val="none" w:sz="0" w:space="0" w:color="auto"/>
            <w:left w:val="none" w:sz="0" w:space="0" w:color="auto"/>
            <w:bottom w:val="none" w:sz="0" w:space="0" w:color="auto"/>
            <w:right w:val="none" w:sz="0" w:space="0" w:color="auto"/>
          </w:divBdr>
        </w:div>
        <w:div w:id="1230533061">
          <w:marLeft w:val="0"/>
          <w:marRight w:val="0"/>
          <w:marTop w:val="0"/>
          <w:marBottom w:val="0"/>
          <w:divBdr>
            <w:top w:val="none" w:sz="0" w:space="0" w:color="auto"/>
            <w:left w:val="none" w:sz="0" w:space="0" w:color="auto"/>
            <w:bottom w:val="none" w:sz="0" w:space="0" w:color="auto"/>
            <w:right w:val="none" w:sz="0" w:space="0" w:color="auto"/>
          </w:divBdr>
        </w:div>
        <w:div w:id="900482328">
          <w:marLeft w:val="0"/>
          <w:marRight w:val="0"/>
          <w:marTop w:val="0"/>
          <w:marBottom w:val="0"/>
          <w:divBdr>
            <w:top w:val="none" w:sz="0" w:space="0" w:color="auto"/>
            <w:left w:val="none" w:sz="0" w:space="0" w:color="auto"/>
            <w:bottom w:val="none" w:sz="0" w:space="0" w:color="auto"/>
            <w:right w:val="none" w:sz="0" w:space="0" w:color="auto"/>
          </w:divBdr>
        </w:div>
        <w:div w:id="1109157863">
          <w:marLeft w:val="0"/>
          <w:marRight w:val="0"/>
          <w:marTop w:val="0"/>
          <w:marBottom w:val="0"/>
          <w:divBdr>
            <w:top w:val="none" w:sz="0" w:space="0" w:color="auto"/>
            <w:left w:val="none" w:sz="0" w:space="0" w:color="auto"/>
            <w:bottom w:val="none" w:sz="0" w:space="0" w:color="auto"/>
            <w:right w:val="none" w:sz="0" w:space="0" w:color="auto"/>
          </w:divBdr>
        </w:div>
        <w:div w:id="713113844">
          <w:marLeft w:val="0"/>
          <w:marRight w:val="0"/>
          <w:marTop w:val="0"/>
          <w:marBottom w:val="0"/>
          <w:divBdr>
            <w:top w:val="none" w:sz="0" w:space="0" w:color="auto"/>
            <w:left w:val="none" w:sz="0" w:space="0" w:color="auto"/>
            <w:bottom w:val="none" w:sz="0" w:space="0" w:color="auto"/>
            <w:right w:val="none" w:sz="0" w:space="0" w:color="auto"/>
          </w:divBdr>
        </w:div>
        <w:div w:id="1627201274">
          <w:marLeft w:val="0"/>
          <w:marRight w:val="0"/>
          <w:marTop w:val="0"/>
          <w:marBottom w:val="0"/>
          <w:divBdr>
            <w:top w:val="none" w:sz="0" w:space="0" w:color="auto"/>
            <w:left w:val="none" w:sz="0" w:space="0" w:color="auto"/>
            <w:bottom w:val="none" w:sz="0" w:space="0" w:color="auto"/>
            <w:right w:val="none" w:sz="0" w:space="0" w:color="auto"/>
          </w:divBdr>
        </w:div>
        <w:div w:id="1595899037">
          <w:marLeft w:val="0"/>
          <w:marRight w:val="0"/>
          <w:marTop w:val="0"/>
          <w:marBottom w:val="0"/>
          <w:divBdr>
            <w:top w:val="none" w:sz="0" w:space="0" w:color="auto"/>
            <w:left w:val="none" w:sz="0" w:space="0" w:color="auto"/>
            <w:bottom w:val="none" w:sz="0" w:space="0" w:color="auto"/>
            <w:right w:val="none" w:sz="0" w:space="0" w:color="auto"/>
          </w:divBdr>
        </w:div>
        <w:div w:id="1298343576">
          <w:marLeft w:val="0"/>
          <w:marRight w:val="0"/>
          <w:marTop w:val="0"/>
          <w:marBottom w:val="0"/>
          <w:divBdr>
            <w:top w:val="none" w:sz="0" w:space="0" w:color="auto"/>
            <w:left w:val="none" w:sz="0" w:space="0" w:color="auto"/>
            <w:bottom w:val="none" w:sz="0" w:space="0" w:color="auto"/>
            <w:right w:val="none" w:sz="0" w:space="0" w:color="auto"/>
          </w:divBdr>
        </w:div>
        <w:div w:id="881861639">
          <w:marLeft w:val="0"/>
          <w:marRight w:val="0"/>
          <w:marTop w:val="0"/>
          <w:marBottom w:val="0"/>
          <w:divBdr>
            <w:top w:val="none" w:sz="0" w:space="0" w:color="auto"/>
            <w:left w:val="none" w:sz="0" w:space="0" w:color="auto"/>
            <w:bottom w:val="none" w:sz="0" w:space="0" w:color="auto"/>
            <w:right w:val="none" w:sz="0" w:space="0" w:color="auto"/>
          </w:divBdr>
        </w:div>
        <w:div w:id="593905026">
          <w:marLeft w:val="0"/>
          <w:marRight w:val="0"/>
          <w:marTop w:val="0"/>
          <w:marBottom w:val="0"/>
          <w:divBdr>
            <w:top w:val="none" w:sz="0" w:space="0" w:color="auto"/>
            <w:left w:val="none" w:sz="0" w:space="0" w:color="auto"/>
            <w:bottom w:val="none" w:sz="0" w:space="0" w:color="auto"/>
            <w:right w:val="none" w:sz="0" w:space="0" w:color="auto"/>
          </w:divBdr>
        </w:div>
        <w:div w:id="430590041">
          <w:marLeft w:val="0"/>
          <w:marRight w:val="0"/>
          <w:marTop w:val="0"/>
          <w:marBottom w:val="0"/>
          <w:divBdr>
            <w:top w:val="none" w:sz="0" w:space="0" w:color="auto"/>
            <w:left w:val="none" w:sz="0" w:space="0" w:color="auto"/>
            <w:bottom w:val="none" w:sz="0" w:space="0" w:color="auto"/>
            <w:right w:val="none" w:sz="0" w:space="0" w:color="auto"/>
          </w:divBdr>
        </w:div>
        <w:div w:id="559437890">
          <w:marLeft w:val="0"/>
          <w:marRight w:val="0"/>
          <w:marTop w:val="0"/>
          <w:marBottom w:val="0"/>
          <w:divBdr>
            <w:top w:val="none" w:sz="0" w:space="0" w:color="auto"/>
            <w:left w:val="none" w:sz="0" w:space="0" w:color="auto"/>
            <w:bottom w:val="none" w:sz="0" w:space="0" w:color="auto"/>
            <w:right w:val="none" w:sz="0" w:space="0" w:color="auto"/>
          </w:divBdr>
        </w:div>
        <w:div w:id="1951086267">
          <w:marLeft w:val="0"/>
          <w:marRight w:val="0"/>
          <w:marTop w:val="0"/>
          <w:marBottom w:val="0"/>
          <w:divBdr>
            <w:top w:val="none" w:sz="0" w:space="0" w:color="auto"/>
            <w:left w:val="none" w:sz="0" w:space="0" w:color="auto"/>
            <w:bottom w:val="none" w:sz="0" w:space="0" w:color="auto"/>
            <w:right w:val="none" w:sz="0" w:space="0" w:color="auto"/>
          </w:divBdr>
        </w:div>
        <w:div w:id="770705078">
          <w:marLeft w:val="0"/>
          <w:marRight w:val="0"/>
          <w:marTop w:val="0"/>
          <w:marBottom w:val="0"/>
          <w:divBdr>
            <w:top w:val="none" w:sz="0" w:space="0" w:color="auto"/>
            <w:left w:val="none" w:sz="0" w:space="0" w:color="auto"/>
            <w:bottom w:val="none" w:sz="0" w:space="0" w:color="auto"/>
            <w:right w:val="none" w:sz="0" w:space="0" w:color="auto"/>
          </w:divBdr>
        </w:div>
        <w:div w:id="10189437">
          <w:marLeft w:val="0"/>
          <w:marRight w:val="0"/>
          <w:marTop w:val="0"/>
          <w:marBottom w:val="0"/>
          <w:divBdr>
            <w:top w:val="none" w:sz="0" w:space="0" w:color="auto"/>
            <w:left w:val="none" w:sz="0" w:space="0" w:color="auto"/>
            <w:bottom w:val="none" w:sz="0" w:space="0" w:color="auto"/>
            <w:right w:val="none" w:sz="0" w:space="0" w:color="auto"/>
          </w:divBdr>
        </w:div>
        <w:div w:id="809401840">
          <w:marLeft w:val="0"/>
          <w:marRight w:val="0"/>
          <w:marTop w:val="0"/>
          <w:marBottom w:val="0"/>
          <w:divBdr>
            <w:top w:val="none" w:sz="0" w:space="0" w:color="auto"/>
            <w:left w:val="none" w:sz="0" w:space="0" w:color="auto"/>
            <w:bottom w:val="none" w:sz="0" w:space="0" w:color="auto"/>
            <w:right w:val="none" w:sz="0" w:space="0" w:color="auto"/>
          </w:divBdr>
        </w:div>
        <w:div w:id="22442858">
          <w:marLeft w:val="0"/>
          <w:marRight w:val="0"/>
          <w:marTop w:val="0"/>
          <w:marBottom w:val="0"/>
          <w:divBdr>
            <w:top w:val="none" w:sz="0" w:space="0" w:color="auto"/>
            <w:left w:val="none" w:sz="0" w:space="0" w:color="auto"/>
            <w:bottom w:val="none" w:sz="0" w:space="0" w:color="auto"/>
            <w:right w:val="none" w:sz="0" w:space="0" w:color="auto"/>
          </w:divBdr>
        </w:div>
        <w:div w:id="1712605260">
          <w:marLeft w:val="0"/>
          <w:marRight w:val="0"/>
          <w:marTop w:val="0"/>
          <w:marBottom w:val="0"/>
          <w:divBdr>
            <w:top w:val="none" w:sz="0" w:space="0" w:color="auto"/>
            <w:left w:val="none" w:sz="0" w:space="0" w:color="auto"/>
            <w:bottom w:val="none" w:sz="0" w:space="0" w:color="auto"/>
            <w:right w:val="none" w:sz="0" w:space="0" w:color="auto"/>
          </w:divBdr>
        </w:div>
        <w:div w:id="538125481">
          <w:marLeft w:val="0"/>
          <w:marRight w:val="0"/>
          <w:marTop w:val="0"/>
          <w:marBottom w:val="0"/>
          <w:divBdr>
            <w:top w:val="none" w:sz="0" w:space="0" w:color="auto"/>
            <w:left w:val="none" w:sz="0" w:space="0" w:color="auto"/>
            <w:bottom w:val="none" w:sz="0" w:space="0" w:color="auto"/>
            <w:right w:val="none" w:sz="0" w:space="0" w:color="auto"/>
          </w:divBdr>
        </w:div>
        <w:div w:id="2036736881">
          <w:marLeft w:val="0"/>
          <w:marRight w:val="0"/>
          <w:marTop w:val="0"/>
          <w:marBottom w:val="0"/>
          <w:divBdr>
            <w:top w:val="none" w:sz="0" w:space="0" w:color="auto"/>
            <w:left w:val="none" w:sz="0" w:space="0" w:color="auto"/>
            <w:bottom w:val="none" w:sz="0" w:space="0" w:color="auto"/>
            <w:right w:val="none" w:sz="0" w:space="0" w:color="auto"/>
          </w:divBdr>
        </w:div>
        <w:div w:id="640813332">
          <w:marLeft w:val="0"/>
          <w:marRight w:val="0"/>
          <w:marTop w:val="0"/>
          <w:marBottom w:val="0"/>
          <w:divBdr>
            <w:top w:val="none" w:sz="0" w:space="0" w:color="auto"/>
            <w:left w:val="none" w:sz="0" w:space="0" w:color="auto"/>
            <w:bottom w:val="none" w:sz="0" w:space="0" w:color="auto"/>
            <w:right w:val="none" w:sz="0" w:space="0" w:color="auto"/>
          </w:divBdr>
        </w:div>
        <w:div w:id="1595935236">
          <w:marLeft w:val="0"/>
          <w:marRight w:val="0"/>
          <w:marTop w:val="0"/>
          <w:marBottom w:val="0"/>
          <w:divBdr>
            <w:top w:val="none" w:sz="0" w:space="0" w:color="auto"/>
            <w:left w:val="none" w:sz="0" w:space="0" w:color="auto"/>
            <w:bottom w:val="none" w:sz="0" w:space="0" w:color="auto"/>
            <w:right w:val="none" w:sz="0" w:space="0" w:color="auto"/>
          </w:divBdr>
        </w:div>
        <w:div w:id="1278563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8EF63-DA65-44C6-A67B-7C7D7049E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11</TotalTime>
  <Pages>6</Pages>
  <Words>2408</Words>
  <Characters>13729</Characters>
  <Application>Microsoft Office Word</Application>
  <DocSecurity>0</DocSecurity>
  <Lines>114</Lines>
  <Paragraphs>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Do 05.2 CEPT positions</vt:lpstr>
      <vt:lpstr/>
    </vt:vector>
  </TitlesOfParts>
  <Company>wmo</Company>
  <LinksUpToDate>false</LinksUpToDate>
  <CharactersWithSpaces>16105</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05.2 CEPT positions</dc:title>
  <dc:subject>SG-RFC-2018</dc:subject>
  <dc:creator>Steve Foreman</dc:creator>
  <dc:description>CEPT PRELIMINARY POSITIONS ON WRC-19 AGENDA ITEMS OF WMO PRIME INTEREST</dc:description>
  <cp:lastModifiedBy>Steve Foreman</cp:lastModifiedBy>
  <cp:revision>6</cp:revision>
  <cp:lastPrinted>2012-03-15T15:21:00Z</cp:lastPrinted>
  <dcterms:created xsi:type="dcterms:W3CDTF">2018-02-02T08:24:00Z</dcterms:created>
  <dcterms:modified xsi:type="dcterms:W3CDTF">2018-02-02T09:04:00Z</dcterms:modified>
</cp:coreProperties>
</file>