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Borders>
          <w:bottom w:val="single" w:sz="4" w:space="0" w:color="auto"/>
        </w:tblBorders>
        <w:tblLook w:val="01E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it-IT" w:eastAsia="it-IT"/>
              </w:rPr>
              <w:drawing>
                <wp:anchor distT="0" distB="0" distL="114300" distR="114300" simplePos="0" relativeHeight="251659264"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613410" cy="673100"/>
                          </a:xfrm>
                          <a:prstGeom prst="rect">
                            <a:avLst/>
                          </a:prstGeom>
                          <a:noFill/>
                          <a:ln>
                            <a:noFill/>
                          </a:ln>
                        </pic:spPr>
                      </pic:pic>
                    </a:graphicData>
                  </a:graphic>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D666D" w:rsidRDefault="00C5424D" w:rsidP="00C5424D">
            <w:pPr>
              <w:tabs>
                <w:tab w:val="left" w:pos="6946"/>
              </w:tabs>
              <w:suppressAutoHyphens/>
              <w:spacing w:after="120" w:line="252" w:lineRule="auto"/>
              <w:ind w:left="1134"/>
              <w:rPr>
                <w:rFonts w:cs="Tahoma"/>
                <w:b/>
                <w:bCs/>
                <w:color w:val="365F91" w:themeColor="accent1" w:themeShade="BF"/>
                <w:szCs w:val="22"/>
              </w:rPr>
            </w:pPr>
            <w:r w:rsidRPr="00C5424D">
              <w:rPr>
                <w:rFonts w:cstheme="minorBidi"/>
                <w:b/>
                <w:snapToGrid w:val="0"/>
                <w:color w:val="365F91" w:themeColor="accent1" w:themeShade="BF"/>
                <w:szCs w:val="22"/>
              </w:rPr>
              <w:t>WMO Workshop on Information Management</w:t>
            </w:r>
            <w:r w:rsidR="00B74B70" w:rsidRPr="00B74B70">
              <w:rPr>
                <w:rFonts w:cstheme="minorBidi"/>
                <w:b/>
                <w:snapToGrid w:val="0"/>
                <w:color w:val="365F91" w:themeColor="accent1" w:themeShade="BF"/>
                <w:szCs w:val="22"/>
                <w:highlight w:val="yellow"/>
              </w:rPr>
              <w:br/>
            </w:r>
            <w:r>
              <w:rPr>
                <w:snapToGrid w:val="0"/>
                <w:color w:val="365F91" w:themeColor="accent1" w:themeShade="BF"/>
                <w:szCs w:val="22"/>
              </w:rPr>
              <w:t>Geneva, 2-4 October 2017</w:t>
            </w:r>
          </w:p>
        </w:tc>
        <w:tc>
          <w:tcPr>
            <w:tcW w:w="2977" w:type="dxa"/>
          </w:tcPr>
          <w:p w:rsidR="00B74B70" w:rsidRPr="00F61675" w:rsidRDefault="00C5424D" w:rsidP="00B74B70">
            <w:pPr>
              <w:spacing w:after="60"/>
              <w:ind w:right="-108"/>
              <w:jc w:val="right"/>
              <w:rPr>
                <w:rFonts w:cs="Tahoma"/>
                <w:b/>
                <w:bCs/>
                <w:color w:val="365F91" w:themeColor="accent1" w:themeShade="BF"/>
                <w:szCs w:val="22"/>
                <w:lang w:val="fr-CH"/>
              </w:rPr>
            </w:pPr>
            <w:proofErr w:type="spellStart"/>
            <w:r>
              <w:rPr>
                <w:rFonts w:cs="Tahoma"/>
                <w:b/>
                <w:bCs/>
                <w:color w:val="365F91" w:themeColor="accent1" w:themeShade="BF"/>
                <w:szCs w:val="22"/>
                <w:lang w:val="fr-CH"/>
              </w:rPr>
              <w:t>Presentation</w:t>
            </w:r>
            <w:proofErr w:type="spellEnd"/>
            <w:r>
              <w:rPr>
                <w:rFonts w:cs="Tahoma"/>
                <w:b/>
                <w:bCs/>
                <w:color w:val="365F91" w:themeColor="accent1" w:themeShade="BF"/>
                <w:szCs w:val="22"/>
                <w:lang w:val="fr-CH"/>
              </w:rPr>
              <w:t> :</w:t>
            </w:r>
          </w:p>
        </w:tc>
      </w:tr>
      <w:tr w:rsidR="00B74B70" w:rsidRPr="00265321"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265321" w:rsidRDefault="00C5424D" w:rsidP="00313D16">
            <w:pPr>
              <w:spacing w:after="60"/>
              <w:ind w:right="-108"/>
              <w:jc w:val="right"/>
              <w:rPr>
                <w:rFonts w:cs="Tahoma"/>
                <w:color w:val="365F91" w:themeColor="accent1" w:themeShade="BF"/>
                <w:szCs w:val="22"/>
                <w:lang w:val="it-IT"/>
              </w:rPr>
            </w:pPr>
            <w:proofErr w:type="spellStart"/>
            <w:r w:rsidRPr="00265321">
              <w:rPr>
                <w:rFonts w:cs="Tahoma"/>
                <w:color w:val="365F91" w:themeColor="accent1" w:themeShade="BF"/>
                <w:szCs w:val="22"/>
                <w:lang w:val="it-IT"/>
              </w:rPr>
              <w:t>Presenter</w:t>
            </w:r>
            <w:proofErr w:type="spellEnd"/>
            <w:r w:rsidR="00B74B70" w:rsidRPr="00265321">
              <w:rPr>
                <w:rFonts w:cs="Tahoma"/>
                <w:color w:val="365F91" w:themeColor="accent1" w:themeShade="BF"/>
                <w:szCs w:val="22"/>
                <w:lang w:val="it-IT"/>
              </w:rPr>
              <w:t>:</w:t>
            </w:r>
            <w:r w:rsidR="00B74B70" w:rsidRPr="00265321">
              <w:rPr>
                <w:rFonts w:cs="Tahoma"/>
                <w:color w:val="365F91" w:themeColor="accent1" w:themeShade="BF"/>
                <w:szCs w:val="22"/>
                <w:lang w:val="it-IT"/>
              </w:rPr>
              <w:br/>
            </w:r>
            <w:r w:rsidR="00265321" w:rsidRPr="00265321">
              <w:rPr>
                <w:rFonts w:cs="Tahoma"/>
                <w:color w:val="365F91" w:themeColor="accent1" w:themeShade="BF"/>
                <w:szCs w:val="22"/>
                <w:lang w:val="it-IT"/>
              </w:rPr>
              <w:t>Silvano Pecora</w:t>
            </w:r>
            <w:r w:rsidR="00B74B70" w:rsidRPr="00265321">
              <w:rPr>
                <w:rFonts w:cs="Tahoma"/>
                <w:color w:val="365F91" w:themeColor="accent1" w:themeShade="BF"/>
                <w:szCs w:val="22"/>
                <w:lang w:val="it-IT"/>
              </w:rPr>
              <w:t xml:space="preserve"> </w:t>
            </w:r>
          </w:p>
          <w:p w:rsidR="00B74B70" w:rsidRPr="00265321" w:rsidRDefault="00265321" w:rsidP="00313D16">
            <w:pPr>
              <w:spacing w:after="60"/>
              <w:ind w:right="-108"/>
              <w:jc w:val="right"/>
              <w:rPr>
                <w:rFonts w:cs="Tahoma"/>
                <w:color w:val="365F91" w:themeColor="accent1" w:themeShade="BF"/>
                <w:szCs w:val="22"/>
                <w:lang w:val="it-IT"/>
              </w:rPr>
            </w:pPr>
            <w:r w:rsidRPr="00265321">
              <w:rPr>
                <w:rFonts w:cs="Tahoma"/>
                <w:color w:val="365F91" w:themeColor="accent1" w:themeShade="BF"/>
                <w:szCs w:val="22"/>
                <w:lang w:val="it-IT"/>
              </w:rPr>
              <w:t>28</w:t>
            </w:r>
            <w:r w:rsidR="00B74B70" w:rsidRPr="00265321">
              <w:rPr>
                <w:rFonts w:cs="Tahoma"/>
                <w:color w:val="365F91" w:themeColor="accent1" w:themeShade="BF"/>
                <w:szCs w:val="22"/>
                <w:lang w:val="it-IT"/>
              </w:rPr>
              <w:t>.</w:t>
            </w:r>
            <w:r>
              <w:rPr>
                <w:rFonts w:cs="Tahoma"/>
                <w:color w:val="365F91" w:themeColor="accent1" w:themeShade="BF"/>
                <w:szCs w:val="22"/>
                <w:lang w:val="it-IT"/>
              </w:rPr>
              <w:t>SEP</w:t>
            </w:r>
            <w:r w:rsidR="00B74B70" w:rsidRPr="00265321">
              <w:rPr>
                <w:rFonts w:cs="Tahoma"/>
                <w:color w:val="365F91" w:themeColor="accent1" w:themeShade="BF"/>
                <w:szCs w:val="22"/>
                <w:lang w:val="it-IT"/>
              </w:rPr>
              <w:t>.</w:t>
            </w:r>
            <w:r>
              <w:rPr>
                <w:rFonts w:cs="Tahoma"/>
                <w:color w:val="365F91" w:themeColor="accent1" w:themeShade="BF"/>
                <w:szCs w:val="22"/>
                <w:lang w:val="it-IT"/>
              </w:rPr>
              <w:t>2017</w:t>
            </w:r>
          </w:p>
          <w:p w:rsidR="00B74B70" w:rsidRPr="00265321" w:rsidRDefault="00B74B70" w:rsidP="00313D16">
            <w:pPr>
              <w:spacing w:after="60"/>
              <w:ind w:right="-108"/>
              <w:jc w:val="right"/>
              <w:rPr>
                <w:rFonts w:cs="Tahoma"/>
                <w:b/>
                <w:bCs/>
                <w:color w:val="365F91" w:themeColor="accent1" w:themeShade="BF"/>
                <w:szCs w:val="22"/>
                <w:lang w:val="it-IT"/>
              </w:rPr>
            </w:pPr>
          </w:p>
        </w:tc>
      </w:tr>
    </w:tbl>
    <w:p w:rsidR="00D22E8A" w:rsidRPr="00265321" w:rsidRDefault="00D22E8A" w:rsidP="00415F4C">
      <w:pPr>
        <w:rPr>
          <w:lang w:val="it-IT"/>
        </w:rPr>
      </w:pPr>
    </w:p>
    <w:p w:rsidR="00265321" w:rsidRPr="00265321" w:rsidRDefault="00AC1F95" w:rsidP="00AC1F95">
      <w:pPr>
        <w:pStyle w:val="Titolo1"/>
        <w:jc w:val="center"/>
        <w:rPr>
          <w:lang w:val="en-US"/>
        </w:rPr>
      </w:pPr>
      <w:r w:rsidRPr="00AC1F95">
        <w:rPr>
          <w:lang w:val="en-US"/>
        </w:rPr>
        <w:t>HYDROHUB</w:t>
      </w:r>
      <w:r>
        <w:rPr>
          <w:lang w:val="en-US"/>
        </w:rPr>
        <w:t xml:space="preserve"> - </w:t>
      </w:r>
      <w:r w:rsidRPr="00AC1F95">
        <w:rPr>
          <w:lang w:val="en-US"/>
        </w:rPr>
        <w:t>providing access to dispersed hydrological information</w:t>
      </w:r>
    </w:p>
    <w:p w:rsidR="00F35F35" w:rsidRDefault="00C5424D" w:rsidP="000E3612">
      <w:pPr>
        <w:pStyle w:val="Titolo1"/>
        <w:jc w:val="center"/>
      </w:pPr>
      <w:r>
        <w:t>Recommendations from presentation</w:t>
      </w:r>
    </w:p>
    <w:p w:rsidR="00C5424D" w:rsidRDefault="00C5424D" w:rsidP="00C5424D"/>
    <w:p w:rsidR="00C5424D" w:rsidRDefault="00BD4519" w:rsidP="00F210F9">
      <w:pPr>
        <w:pStyle w:val="Paragrafoelenco"/>
        <w:numPr>
          <w:ilvl w:val="0"/>
          <w:numId w:val="45"/>
        </w:numPr>
        <w:jc w:val="both"/>
      </w:pPr>
      <w:r w:rsidRPr="00BD4519">
        <w:t>The scope of WHOS is defined as a multi-scale (local, national, regional and global) registry of hydrological data and information services catalogued using the standards and procedures of the Open Geospatial Consortium and the World Meteorological Organization.</w:t>
      </w:r>
    </w:p>
    <w:p w:rsidR="00C5424D" w:rsidRDefault="00BD4519" w:rsidP="00F210F9">
      <w:pPr>
        <w:pStyle w:val="Paragrafoelenco"/>
        <w:numPr>
          <w:ilvl w:val="0"/>
          <w:numId w:val="45"/>
        </w:numPr>
        <w:jc w:val="both"/>
      </w:pPr>
      <w:r>
        <w:t>When sharing information across scientiﬁc communities, it becomes important to deﬁne a standard framework through which large quantities of multidisciplinary information can be shared, discovered and accessed.</w:t>
      </w:r>
    </w:p>
    <w:p w:rsidR="00C5424D" w:rsidRDefault="00BD4519" w:rsidP="00F210F9">
      <w:pPr>
        <w:pStyle w:val="Paragrafoelenco"/>
        <w:numPr>
          <w:ilvl w:val="0"/>
          <w:numId w:val="45"/>
        </w:numPr>
        <w:jc w:val="both"/>
      </w:pPr>
      <w:r>
        <w:t xml:space="preserve">While other interoperability studies have focused on implementing custom data streams (e.g. bridges, adaptors, etc.) between clients and server interfaces, </w:t>
      </w:r>
      <w:r>
        <w:rPr>
          <w:rFonts w:cs="Arial"/>
          <w:color w:val="000000"/>
          <w:szCs w:val="21"/>
        </w:rPr>
        <w:t>WHOS</w:t>
      </w:r>
      <w:r>
        <w:t xml:space="preserve"> focuses on a common data and metadata management model that leverages a suite of WMO and OGC standard Web services which can be applied to multiple scientiﬁc communities – in particular hydrologic and atmospheric sciences.</w:t>
      </w:r>
    </w:p>
    <w:p w:rsidR="00BD4519" w:rsidRDefault="00BD4519" w:rsidP="00F210F9">
      <w:pPr>
        <w:pStyle w:val="Paragrafoelenco"/>
        <w:numPr>
          <w:ilvl w:val="0"/>
          <w:numId w:val="45"/>
        </w:numPr>
        <w:jc w:val="both"/>
      </w:pPr>
      <w:r>
        <w:rPr>
          <w:rFonts w:cs="Arial"/>
          <w:color w:val="000000"/>
          <w:szCs w:val="21"/>
        </w:rPr>
        <w:t>WHOS</w:t>
      </w:r>
      <w:r>
        <w:t xml:space="preserve"> can be integrated within existing data discovery frameworks (e.g. portals, gateways, etc.) by leveraging mediation and brokering services.</w:t>
      </w:r>
    </w:p>
    <w:p w:rsidR="00BD4519" w:rsidRDefault="00BD4519" w:rsidP="00F210F9">
      <w:pPr>
        <w:pStyle w:val="Paragrafoelenco"/>
        <w:numPr>
          <w:ilvl w:val="0"/>
          <w:numId w:val="45"/>
        </w:numPr>
        <w:jc w:val="both"/>
      </w:pPr>
      <w:r>
        <w:t>Data publishers can register their data on the registry and provide brief descriptions of the datasets they want to share. This is an important aspect of WHOS because it allows for data to be organized and discovered in an efficient, structured and methodical process.</w:t>
      </w:r>
    </w:p>
    <w:p w:rsidR="00BD4519" w:rsidRDefault="00BD4519" w:rsidP="00F210F9">
      <w:pPr>
        <w:pStyle w:val="Paragrafoelenco"/>
        <w:numPr>
          <w:ilvl w:val="0"/>
          <w:numId w:val="45"/>
        </w:numPr>
        <w:jc w:val="both"/>
      </w:pPr>
      <w:r>
        <w:t xml:space="preserve">In hydrology, the large number of activities and different applications have led to a tremendous heterogeneity of resources and procedures, which hinders cooperation among the different actors and stakeholders. </w:t>
      </w:r>
      <w:r w:rsidRPr="000938BB">
        <w:t>This problem can be tackled through the mediated approach, that is identifying the existing heterogeneity boundaries and implementing suitable adaptation logic by means of specialized, lightweight components</w:t>
      </w:r>
      <w:r>
        <w:t xml:space="preserve">. More generally, the mediated approach relies on the </w:t>
      </w:r>
      <w:proofErr w:type="spellStart"/>
      <w:r>
        <w:t>identiﬁcation</w:t>
      </w:r>
      <w:proofErr w:type="spellEnd"/>
      <w:r>
        <w:t xml:space="preserve"> of articulation points around a particular heterogeneity  boundary  and  the  implementation  of  adaptation  logic, whose execution is delegated to a specialized, lightweight component: the mediator.</w:t>
      </w:r>
    </w:p>
    <w:p w:rsidR="00BD4519" w:rsidRDefault="00BD4519" w:rsidP="00F210F9">
      <w:pPr>
        <w:pStyle w:val="Paragrafoelenco"/>
        <w:numPr>
          <w:ilvl w:val="0"/>
          <w:numId w:val="45"/>
        </w:numPr>
        <w:jc w:val="both"/>
      </w:pPr>
      <w:r>
        <w:t xml:space="preserve">The  traditional  approach  for  connecting  diverse  information systems based on commonly agreed  standards does not scale up when addressing wide-ranging data interoperability. Interconnecting existing data systems has traditionally introduced limitations to their autonomy and scope, because different data providers may have different approaches to data and modeling and different vocabularies and even different interface protocols, bridging across providers is a more complex challenge. The brokering approach is formulated to handle such differences without limiting the autonomy and without putting a </w:t>
      </w:r>
      <w:proofErr w:type="spellStart"/>
      <w:r>
        <w:t>signiﬁcant</w:t>
      </w:r>
      <w:proofErr w:type="spellEnd"/>
      <w:r>
        <w:t xml:space="preserve"> investment burden on existing data systems. In particular, the brokering approach introduces a new middleware layer of service offerings.</w:t>
      </w:r>
    </w:p>
    <w:p w:rsidR="00BD4519" w:rsidRDefault="00BD4519" w:rsidP="00F210F9">
      <w:pPr>
        <w:pStyle w:val="Paragrafoelenco"/>
        <w:numPr>
          <w:ilvl w:val="0"/>
          <w:numId w:val="45"/>
        </w:numPr>
        <w:jc w:val="both"/>
      </w:pPr>
      <w:r>
        <w:t>The WMO Hydrological Ontology is a formal naming and definition of the types, properties, and interrelationships of entities that really or fundamentally exist in the domain of hydrology; in particular, it compartmentalizes the variables needed in hydrology and establishes the relationships between them. The adopted development approach takes into account not only semantics, but a more general perspective in order to address possible future needs. The conceptual challenge concerns the enablement of new ways of searching and the adopted methodology is essentially supported by the approach of enriching the searchable information that is associated with hydrological data and information.</w:t>
      </w:r>
    </w:p>
    <w:p w:rsidR="00BD4519" w:rsidRDefault="00BD4519" w:rsidP="00F210F9">
      <w:pPr>
        <w:pStyle w:val="Paragrafoelenco"/>
        <w:numPr>
          <w:ilvl w:val="0"/>
          <w:numId w:val="45"/>
        </w:numPr>
        <w:jc w:val="both"/>
      </w:pPr>
      <w:r>
        <w:t xml:space="preserve">The WHOS architecture is implemented by the combination of its components as a services stack framework providing a system in which data consumers can readily discover and access hydrological data, including  time series, using spatial, temporal and semantic </w:t>
      </w:r>
      <w:proofErr w:type="spellStart"/>
      <w:r>
        <w:t>ﬁlters</w:t>
      </w:r>
      <w:proofErr w:type="spellEnd"/>
      <w:r>
        <w:t xml:space="preserve">. At the core of the services stack framework lie the metadata services which act as middleware between the catalog services and data services. Data services ultimately provide </w:t>
      </w:r>
      <w:r>
        <w:lastRenderedPageBreak/>
        <w:t>the user with the data they are searching for, whereas catalog services allow users to perform federated searches across multiple data providers. Metadata services link both these layers together by being registered at the catalog level and providing all the information needed to access information at the data level.</w:t>
      </w:r>
    </w:p>
    <w:p w:rsidR="00BD4519" w:rsidRDefault="00F210F9" w:rsidP="00F210F9">
      <w:pPr>
        <w:pStyle w:val="Paragrafoelenco"/>
        <w:numPr>
          <w:ilvl w:val="0"/>
          <w:numId w:val="45"/>
        </w:numPr>
        <w:jc w:val="both"/>
      </w:pPr>
      <w:r>
        <w:t xml:space="preserve">The architecture of WHOS is also designed to offer advanced functionalities to all the global data </w:t>
      </w:r>
      <w:proofErr w:type="spellStart"/>
      <w:r>
        <w:t>centres</w:t>
      </w:r>
      <w:proofErr w:type="spellEnd"/>
      <w:r>
        <w:t xml:space="preserve">, facilitating collaboration between NHSs and the </w:t>
      </w:r>
      <w:proofErr w:type="spellStart"/>
      <w:r>
        <w:t>centres</w:t>
      </w:r>
      <w:proofErr w:type="spellEnd"/>
      <w:r>
        <w:t xml:space="preserve"> themselves. A common benefit is the improvement of data discovery and access for both hydrological observations and products, available from Member States and the global </w:t>
      </w:r>
      <w:proofErr w:type="spellStart"/>
      <w:r>
        <w:t>centres</w:t>
      </w:r>
      <w:proofErr w:type="spellEnd"/>
      <w:r>
        <w:t xml:space="preserve"> as well. Furthermore, the published interfaces of WHOS  offer a valuable technological evolution  to global </w:t>
      </w:r>
      <w:proofErr w:type="spellStart"/>
      <w:r>
        <w:t>centres</w:t>
      </w:r>
      <w:proofErr w:type="spellEnd"/>
      <w:r>
        <w:t>, fostering their operational activities in support of the Commission for Hydrology.</w:t>
      </w:r>
    </w:p>
    <w:p w:rsidR="00F210F9" w:rsidRDefault="00F210F9" w:rsidP="00C5424D">
      <w:pPr>
        <w:pStyle w:val="Titolo1"/>
        <w:jc w:val="center"/>
      </w:pPr>
    </w:p>
    <w:p w:rsidR="00F210F9" w:rsidRPr="00F210F9" w:rsidRDefault="00F210F9" w:rsidP="00F210F9"/>
    <w:p w:rsidR="00C5424D" w:rsidRDefault="00C5424D" w:rsidP="00C5424D">
      <w:pPr>
        <w:pStyle w:val="Titolo1"/>
        <w:jc w:val="center"/>
      </w:pPr>
      <w:r>
        <w:t>Recommended references</w:t>
      </w:r>
    </w:p>
    <w:p w:rsidR="00C5424D" w:rsidRDefault="00950D67" w:rsidP="00F210F9">
      <w:pPr>
        <w:pStyle w:val="Paragrafoelenco"/>
        <w:numPr>
          <w:ilvl w:val="0"/>
          <w:numId w:val="49"/>
        </w:numPr>
        <w:jc w:val="both"/>
      </w:pPr>
      <w:r w:rsidRPr="00950D67">
        <w:t>The Guide to Hydrological Practices</w:t>
      </w:r>
      <w:r w:rsidR="00A15704">
        <w:t xml:space="preserve"> – WMO 2008 </w:t>
      </w:r>
      <w:r w:rsidRPr="00950D67">
        <w:t xml:space="preserve"> (WMO No.168)</w:t>
      </w:r>
    </w:p>
    <w:p w:rsidR="00887C89" w:rsidRDefault="00887C89" w:rsidP="00F210F9">
      <w:pPr>
        <w:pStyle w:val="Paragrafoelenco"/>
        <w:numPr>
          <w:ilvl w:val="0"/>
          <w:numId w:val="49"/>
        </w:numPr>
        <w:jc w:val="both"/>
      </w:pPr>
      <w:r>
        <w:t>Climate and Meteorological information requirements for water management, Technical Report Series No.1 - WMO 2012 (WMO, No. 1094)</w:t>
      </w:r>
    </w:p>
    <w:p w:rsidR="00887C89" w:rsidRDefault="00887C89" w:rsidP="00F210F9">
      <w:pPr>
        <w:pStyle w:val="Paragrafoelenco"/>
        <w:numPr>
          <w:ilvl w:val="0"/>
          <w:numId w:val="49"/>
        </w:numPr>
        <w:jc w:val="both"/>
      </w:pPr>
      <w:r>
        <w:t xml:space="preserve">Technical Material for Water Resources Assessment - Technical Report Series No.2 </w:t>
      </w:r>
      <w:r w:rsidR="00300E4D">
        <w:t>–</w:t>
      </w:r>
      <w:r>
        <w:t xml:space="preserve"> WMO 2012 (WMO, No. 1095)</w:t>
      </w:r>
    </w:p>
    <w:p w:rsidR="00887C89" w:rsidRDefault="00887C89" w:rsidP="00F210F9">
      <w:pPr>
        <w:pStyle w:val="Paragrafoelenco"/>
        <w:numPr>
          <w:ilvl w:val="0"/>
          <w:numId w:val="49"/>
        </w:numPr>
        <w:jc w:val="both"/>
      </w:pPr>
      <w:r>
        <w:t xml:space="preserve">Planning of Water Quality monitoring systems - Technical Report Series No.3 </w:t>
      </w:r>
      <w:r w:rsidR="00300E4D">
        <w:t>–</w:t>
      </w:r>
      <w:r>
        <w:t xml:space="preserve"> WMO 2013 (WMO, No. 1113)</w:t>
      </w:r>
    </w:p>
    <w:p w:rsidR="00887C89" w:rsidRDefault="00887C89" w:rsidP="00F210F9">
      <w:pPr>
        <w:pStyle w:val="Paragrafoelenco"/>
        <w:numPr>
          <w:ilvl w:val="0"/>
          <w:numId w:val="49"/>
        </w:numPr>
        <w:jc w:val="both"/>
      </w:pPr>
      <w:r>
        <w:t>Guidelines for Hydrological Data Rescue, World Meteorological Organization - WMO 2014 (WMO, No. 1146)</w:t>
      </w:r>
    </w:p>
    <w:p w:rsidR="008E6007" w:rsidRDefault="008E6007" w:rsidP="00F210F9">
      <w:pPr>
        <w:pStyle w:val="Paragrafoelenco"/>
        <w:numPr>
          <w:ilvl w:val="0"/>
          <w:numId w:val="49"/>
        </w:numPr>
        <w:jc w:val="both"/>
      </w:pPr>
      <w:r>
        <w:t>Manual on flood forecasting and warning - World Meteorological Organization - WMO 2011 (WMO, No. 1072 )</w:t>
      </w:r>
    </w:p>
    <w:p w:rsidR="008E6007" w:rsidRDefault="008E6007" w:rsidP="00F210F9">
      <w:pPr>
        <w:pStyle w:val="Paragrafoelenco"/>
        <w:numPr>
          <w:ilvl w:val="0"/>
          <w:numId w:val="49"/>
        </w:numPr>
        <w:jc w:val="both"/>
      </w:pPr>
      <w:r>
        <w:t>Manual on Stream Gauging, Vol. II: Computation of discharge - World Meteorological Organization - WMO 2010 (WMO, No. 1044 )</w:t>
      </w:r>
    </w:p>
    <w:p w:rsidR="00C5424D" w:rsidRDefault="00AC09AB" w:rsidP="00F210F9">
      <w:pPr>
        <w:pStyle w:val="Paragrafoelenco"/>
        <w:numPr>
          <w:ilvl w:val="0"/>
          <w:numId w:val="49"/>
        </w:numPr>
        <w:jc w:val="both"/>
      </w:pPr>
      <w:r w:rsidRPr="00AC09AB">
        <w:t xml:space="preserve">Hydrological Data Management: present state and trends </w:t>
      </w:r>
      <w:r>
        <w:t xml:space="preserve">- </w:t>
      </w:r>
      <w:r w:rsidRPr="00AC09AB">
        <w:t xml:space="preserve">Operational hydrology report, 48 </w:t>
      </w:r>
      <w:r>
        <w:t>-</w:t>
      </w:r>
      <w:r w:rsidRPr="00AC09AB">
        <w:t xml:space="preserve"> WMO 2003 (WMO, 964</w:t>
      </w:r>
      <w:bookmarkStart w:id="0" w:name="_GoBack"/>
      <w:bookmarkEnd w:id="0"/>
      <w:r>
        <w:t>)</w:t>
      </w:r>
    </w:p>
    <w:p w:rsidR="00300E4D" w:rsidRDefault="00300E4D" w:rsidP="00F210F9">
      <w:pPr>
        <w:pStyle w:val="Paragrafoelenco"/>
        <w:numPr>
          <w:ilvl w:val="0"/>
          <w:numId w:val="49"/>
        </w:numPr>
        <w:jc w:val="both"/>
      </w:pPr>
      <w:r>
        <w:t>Meteorological systems for hydrological purposes - Operational hydrology report, 42 – WMO 2003 (WMO, 813)</w:t>
      </w:r>
    </w:p>
    <w:p w:rsidR="00AC1F95" w:rsidRPr="00C5424D" w:rsidRDefault="00AC1F95" w:rsidP="00F210F9">
      <w:pPr>
        <w:pStyle w:val="Paragrafoelenco"/>
        <w:numPr>
          <w:ilvl w:val="0"/>
          <w:numId w:val="49"/>
        </w:numPr>
        <w:jc w:val="both"/>
      </w:pPr>
      <w:r>
        <w:t>WHOS – WMO Hydrological Observing System – Architecture and Implementation – WMO Commission for Hydrology - coming on December 2017</w:t>
      </w:r>
    </w:p>
    <w:sectPr w:rsidR="00AC1F95" w:rsidRPr="00C5424D" w:rsidSect="00C5424D">
      <w:headerReference w:type="first" r:id="rId9"/>
      <w:pgSz w:w="11907" w:h="16840" w:code="9"/>
      <w:pgMar w:top="1134" w:right="1134" w:bottom="1134" w:left="1134" w:header="1134" w:footer="1134"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3EA7" w:rsidRDefault="000E3EA7">
      <w:r>
        <w:separator/>
      </w:r>
    </w:p>
    <w:p w:rsidR="000E3EA7" w:rsidRDefault="000E3EA7"/>
  </w:endnote>
  <w:endnote w:type="continuationSeparator" w:id="0">
    <w:p w:rsidR="000E3EA7" w:rsidRDefault="000E3EA7">
      <w:r>
        <w:continuationSeparator/>
      </w:r>
    </w:p>
    <w:p w:rsidR="000E3EA7" w:rsidRDefault="000E3EA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20000287" w:usb1="00000000" w:usb2="00000000" w:usb3="00000000" w:csb0="0000019F" w:csb1="00000000"/>
  </w:font>
  <w:font w:name="Arial Bold">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3EA7" w:rsidRDefault="000E3EA7">
      <w:r>
        <w:separator/>
      </w:r>
    </w:p>
    <w:p w:rsidR="000E3EA7" w:rsidRDefault="000E3EA7"/>
  </w:footnote>
  <w:footnote w:type="continuationSeparator" w:id="0">
    <w:p w:rsidR="000E3EA7" w:rsidRDefault="000E3EA7">
      <w:r>
        <w:continuationSeparator/>
      </w:r>
    </w:p>
    <w:p w:rsidR="000E3EA7" w:rsidRDefault="000E3EA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9E9" w:rsidRPr="00C10690" w:rsidRDefault="006125D7" w:rsidP="00251C3F">
    <w:pPr>
      <w:pStyle w:val="Intestazione"/>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Intestazione"/>
      <w:rPr>
        <w:lang w:val="en-GB"/>
      </w:rPr>
    </w:pPr>
  </w:p>
  <w:p w:rsidR="005359E9" w:rsidRPr="00C10690" w:rsidRDefault="005359E9" w:rsidP="00251C3F">
    <w:pPr>
      <w:pStyle w:val="Intestazione"/>
      <w:rPr>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746ADEE"/>
    <w:lvl w:ilvl="0">
      <w:start w:val="1"/>
      <w:numFmt w:val="decimal"/>
      <w:lvlText w:val="%1."/>
      <w:lvlJc w:val="left"/>
      <w:pPr>
        <w:tabs>
          <w:tab w:val="num" w:pos="1492"/>
        </w:tabs>
        <w:ind w:left="1492" w:hanging="360"/>
      </w:pPr>
    </w:lvl>
  </w:abstractNum>
  <w:abstractNum w:abstractNumId="1">
    <w:nsid w:val="FFFFFF7D"/>
    <w:multiLevelType w:val="singleLevel"/>
    <w:tmpl w:val="76DC378C"/>
    <w:lvl w:ilvl="0">
      <w:start w:val="1"/>
      <w:numFmt w:val="decimal"/>
      <w:lvlText w:val="%1."/>
      <w:lvlJc w:val="left"/>
      <w:pPr>
        <w:tabs>
          <w:tab w:val="num" w:pos="1209"/>
        </w:tabs>
        <w:ind w:left="1209" w:hanging="360"/>
      </w:pPr>
    </w:lvl>
  </w:abstractNum>
  <w:abstractNum w:abstractNumId="2">
    <w:nsid w:val="FFFFFF7E"/>
    <w:multiLevelType w:val="singleLevel"/>
    <w:tmpl w:val="C2862F06"/>
    <w:lvl w:ilvl="0">
      <w:start w:val="1"/>
      <w:numFmt w:val="decimal"/>
      <w:lvlText w:val="%1."/>
      <w:lvlJc w:val="left"/>
      <w:pPr>
        <w:tabs>
          <w:tab w:val="num" w:pos="926"/>
        </w:tabs>
        <w:ind w:left="926" w:hanging="360"/>
      </w:pPr>
    </w:lvl>
  </w:abstractNum>
  <w:abstractNum w:abstractNumId="3">
    <w:nsid w:val="FFFFFF7F"/>
    <w:multiLevelType w:val="singleLevel"/>
    <w:tmpl w:val="F2648592"/>
    <w:lvl w:ilvl="0">
      <w:start w:val="1"/>
      <w:numFmt w:val="decimal"/>
      <w:lvlText w:val="%1."/>
      <w:lvlJc w:val="left"/>
      <w:pPr>
        <w:tabs>
          <w:tab w:val="num" w:pos="643"/>
        </w:tabs>
        <w:ind w:left="643" w:hanging="360"/>
      </w:pPr>
    </w:lvl>
  </w:abstractNum>
  <w:abstractNum w:abstractNumId="4">
    <w:nsid w:val="FFFFFF80"/>
    <w:multiLevelType w:val="singleLevel"/>
    <w:tmpl w:val="ADA06BC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ADA0D1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4A41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96747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82689DA"/>
    <w:lvl w:ilvl="0">
      <w:start w:val="1"/>
      <w:numFmt w:val="decimal"/>
      <w:lvlText w:val="%1."/>
      <w:lvlJc w:val="left"/>
      <w:pPr>
        <w:tabs>
          <w:tab w:val="num" w:pos="360"/>
        </w:tabs>
        <w:ind w:left="360" w:hanging="360"/>
      </w:pPr>
    </w:lvl>
  </w:abstractNum>
  <w:abstractNum w:abstractNumId="9">
    <w:nsid w:val="FFFFFF89"/>
    <w:multiLevelType w:val="singleLevel"/>
    <w:tmpl w:val="E594FDC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14873D56"/>
    <w:multiLevelType w:val="hybridMultilevel"/>
    <w:tmpl w:val="7428A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ED0357"/>
    <w:multiLevelType w:val="hybridMultilevel"/>
    <w:tmpl w:val="C108D38A"/>
    <w:lvl w:ilvl="0" w:tplc="18A4CE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9">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538B462A"/>
    <w:multiLevelType w:val="hybridMultilevel"/>
    <w:tmpl w:val="0226B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3">
    <w:nsid w:val="596B35D3"/>
    <w:multiLevelType w:val="hybridMultilevel"/>
    <w:tmpl w:val="2FE4C4CC"/>
    <w:lvl w:ilvl="0" w:tplc="18A4CE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7">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8">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nsid w:val="7B6B7888"/>
    <w:multiLevelType w:val="hybridMultilevel"/>
    <w:tmpl w:val="0226B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2">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42"/>
  </w:num>
  <w:num w:numId="3">
    <w:abstractNumId w:val="24"/>
  </w:num>
  <w:num w:numId="4">
    <w:abstractNumId w:val="34"/>
  </w:num>
  <w:num w:numId="5">
    <w:abstractNumId w:val="15"/>
  </w:num>
  <w:num w:numId="6">
    <w:abstractNumId w:val="22"/>
  </w:num>
  <w:num w:numId="7">
    <w:abstractNumId w:val="16"/>
  </w:num>
  <w:num w:numId="8">
    <w:abstractNumId w:val="26"/>
  </w:num>
  <w:num w:numId="9">
    <w:abstractNumId w:val="20"/>
  </w:num>
  <w:num w:numId="10">
    <w:abstractNumId w:val="18"/>
  </w:num>
  <w:num w:numId="11">
    <w:abstractNumId w:val="32"/>
  </w:num>
  <w:num w:numId="12">
    <w:abstractNumId w:val="10"/>
  </w:num>
  <w:num w:numId="13">
    <w:abstractNumId w:val="23"/>
  </w:num>
  <w:num w:numId="14">
    <w:abstractNumId w:val="38"/>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1"/>
  </w:num>
  <w:num w:numId="28">
    <w:abstractNumId w:val="11"/>
  </w:num>
  <w:num w:numId="29">
    <w:abstractNumId w:val="37"/>
  </w:num>
  <w:num w:numId="30">
    <w:abstractNumId w:val="36"/>
  </w:num>
  <w:num w:numId="31">
    <w:abstractNumId w:val="12"/>
  </w:num>
  <w:num w:numId="32">
    <w:abstractNumId w:val="35"/>
  </w:num>
  <w:num w:numId="33">
    <w:abstractNumId w:val="41"/>
  </w:num>
  <w:num w:numId="34">
    <w:abstractNumId w:val="14"/>
  </w:num>
  <w:num w:numId="35">
    <w:abstractNumId w:val="28"/>
  </w:num>
  <w:num w:numId="36">
    <w:abstractNumId w:val="29"/>
  </w:num>
  <w:num w:numId="37">
    <w:abstractNumId w:val="39"/>
  </w:num>
  <w:num w:numId="38">
    <w:abstractNumId w:val="19"/>
  </w:num>
  <w:num w:numId="39">
    <w:abstractNumId w:val="12"/>
  </w:num>
  <w:num w:numId="40">
    <w:abstractNumId w:val="35"/>
  </w:num>
  <w:num w:numId="41">
    <w:abstractNumId w:val="41"/>
  </w:num>
  <w:num w:numId="42">
    <w:abstractNumId w:val="14"/>
  </w:num>
  <w:num w:numId="43">
    <w:abstractNumId w:val="28"/>
  </w:num>
  <w:num w:numId="44">
    <w:abstractNumId w:val="19"/>
  </w:num>
  <w:num w:numId="45">
    <w:abstractNumId w:val="30"/>
  </w:num>
  <w:num w:numId="46">
    <w:abstractNumId w:val="13"/>
  </w:num>
  <w:num w:numId="47">
    <w:abstractNumId w:val="27"/>
  </w:num>
  <w:num w:numId="48">
    <w:abstractNumId w:val="33"/>
  </w:num>
  <w:num w:numId="49">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0004"/>
  <w:defaultTabStop w:val="720"/>
  <w:hyphenationZone w:val="283"/>
  <w:drawingGridHorizontalSpacing w:val="120"/>
  <w:displayHorizontalDrawingGridEvery w:val="2"/>
  <w:displayVerticalDrawingGridEvery w:val="2"/>
  <w:characterSpacingControl w:val="doNotCompress"/>
  <w:hdrShapeDefaults>
    <o:shapedefaults v:ext="edit" spidmax="11266"/>
  </w:hdrShapeDefaults>
  <w:footnotePr>
    <w:footnote w:id="-1"/>
    <w:footnote w:id="0"/>
  </w:footnotePr>
  <w:endnotePr>
    <w:endnote w:id="-1"/>
    <w:endnote w:id="0"/>
  </w:endnotePr>
  <w:compat>
    <w:useFELayout/>
  </w:compat>
  <w:rsids>
    <w:rsidRoot w:val="00D56B1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0E3EA7"/>
    <w:rsid w:val="0010269C"/>
    <w:rsid w:val="001112B8"/>
    <w:rsid w:val="001350C6"/>
    <w:rsid w:val="00141491"/>
    <w:rsid w:val="001446A7"/>
    <w:rsid w:val="001575A8"/>
    <w:rsid w:val="001638D5"/>
    <w:rsid w:val="00163C9F"/>
    <w:rsid w:val="00183776"/>
    <w:rsid w:val="00187554"/>
    <w:rsid w:val="0019137E"/>
    <w:rsid w:val="001A084F"/>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65321"/>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00E4D"/>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815A9"/>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87C89"/>
    <w:rsid w:val="00897AFA"/>
    <w:rsid w:val="008A2780"/>
    <w:rsid w:val="008A5CA7"/>
    <w:rsid w:val="008A71EB"/>
    <w:rsid w:val="008B534D"/>
    <w:rsid w:val="008B798C"/>
    <w:rsid w:val="008C03D1"/>
    <w:rsid w:val="008C255B"/>
    <w:rsid w:val="008C3634"/>
    <w:rsid w:val="008C4B31"/>
    <w:rsid w:val="008C5169"/>
    <w:rsid w:val="008E274F"/>
    <w:rsid w:val="008E4F71"/>
    <w:rsid w:val="008E6007"/>
    <w:rsid w:val="008E7CF0"/>
    <w:rsid w:val="008F53F7"/>
    <w:rsid w:val="0090477D"/>
    <w:rsid w:val="00910FF6"/>
    <w:rsid w:val="00911591"/>
    <w:rsid w:val="00913A35"/>
    <w:rsid w:val="00920086"/>
    <w:rsid w:val="00920223"/>
    <w:rsid w:val="00921B88"/>
    <w:rsid w:val="00923438"/>
    <w:rsid w:val="009328BE"/>
    <w:rsid w:val="0093348E"/>
    <w:rsid w:val="00934D30"/>
    <w:rsid w:val="00937052"/>
    <w:rsid w:val="00943D07"/>
    <w:rsid w:val="00945DA1"/>
    <w:rsid w:val="00950D67"/>
    <w:rsid w:val="00953DE3"/>
    <w:rsid w:val="00982B27"/>
    <w:rsid w:val="009A3F73"/>
    <w:rsid w:val="009A4470"/>
    <w:rsid w:val="009A52D6"/>
    <w:rsid w:val="009B0CA5"/>
    <w:rsid w:val="009B2952"/>
    <w:rsid w:val="009B3463"/>
    <w:rsid w:val="009B58CC"/>
    <w:rsid w:val="009C2528"/>
    <w:rsid w:val="009D6338"/>
    <w:rsid w:val="009E6D65"/>
    <w:rsid w:val="009E7EA6"/>
    <w:rsid w:val="009F10F4"/>
    <w:rsid w:val="009F332A"/>
    <w:rsid w:val="00A00183"/>
    <w:rsid w:val="00A12112"/>
    <w:rsid w:val="00A15704"/>
    <w:rsid w:val="00A414EB"/>
    <w:rsid w:val="00A45F94"/>
    <w:rsid w:val="00A55596"/>
    <w:rsid w:val="00A65A51"/>
    <w:rsid w:val="00A7189B"/>
    <w:rsid w:val="00A71E92"/>
    <w:rsid w:val="00A74081"/>
    <w:rsid w:val="00A83967"/>
    <w:rsid w:val="00AB119C"/>
    <w:rsid w:val="00AB564C"/>
    <w:rsid w:val="00AB7157"/>
    <w:rsid w:val="00AC09AB"/>
    <w:rsid w:val="00AC1F95"/>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D4519"/>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5424D"/>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CE50F9"/>
    <w:rsid w:val="00D01387"/>
    <w:rsid w:val="00D02FA8"/>
    <w:rsid w:val="00D17948"/>
    <w:rsid w:val="00D22E8A"/>
    <w:rsid w:val="00D35ABB"/>
    <w:rsid w:val="00D37E35"/>
    <w:rsid w:val="00D56B18"/>
    <w:rsid w:val="00D70B08"/>
    <w:rsid w:val="00D733B4"/>
    <w:rsid w:val="00D9579B"/>
    <w:rsid w:val="00DB1BA5"/>
    <w:rsid w:val="00DB3060"/>
    <w:rsid w:val="00DD1C37"/>
    <w:rsid w:val="00DD4013"/>
    <w:rsid w:val="00DF04C7"/>
    <w:rsid w:val="00E106FE"/>
    <w:rsid w:val="00E16EE4"/>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210F9"/>
    <w:rsid w:val="00F345D8"/>
    <w:rsid w:val="00F35F35"/>
    <w:rsid w:val="00F448DD"/>
    <w:rsid w:val="00F47862"/>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C5424D"/>
    <w:rPr>
      <w:rFonts w:ascii="Verdana" w:eastAsia="Times New Roman" w:hAnsi="Verdana" w:cs="Arial"/>
      <w:lang w:eastAsia="en-US"/>
    </w:rPr>
  </w:style>
  <w:style w:type="paragraph" w:styleId="Titolo1">
    <w:name w:val="heading 1"/>
    <w:basedOn w:val="Normale"/>
    <w:next w:val="Normale"/>
    <w:qFormat/>
    <w:rsid w:val="001C16A8"/>
    <w:pPr>
      <w:keepNext/>
      <w:keepLines/>
      <w:spacing w:before="240" w:after="60"/>
      <w:outlineLvl w:val="0"/>
    </w:pPr>
    <w:rPr>
      <w:rFonts w:ascii="Arial Bold" w:hAnsi="Arial Bold"/>
      <w:b/>
      <w:bCs/>
      <w:caps/>
      <w:kern w:val="32"/>
      <w:sz w:val="28"/>
      <w:szCs w:val="32"/>
    </w:rPr>
  </w:style>
  <w:style w:type="paragraph" w:styleId="Titolo2">
    <w:name w:val="heading 2"/>
    <w:basedOn w:val="Normale"/>
    <w:next w:val="Normale"/>
    <w:link w:val="Titolo2Carattere"/>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Titolo3">
    <w:name w:val="heading 3"/>
    <w:basedOn w:val="Normale"/>
    <w:next w:val="Normale"/>
    <w:qFormat/>
    <w:rsid w:val="00413EDA"/>
    <w:pPr>
      <w:keepNext/>
      <w:keepLines/>
      <w:tabs>
        <w:tab w:val="left" w:pos="1080"/>
      </w:tabs>
      <w:spacing w:before="240"/>
      <w:outlineLvl w:val="2"/>
    </w:pPr>
    <w:rPr>
      <w:b/>
      <w:bCs/>
      <w:szCs w:val="22"/>
    </w:rPr>
  </w:style>
  <w:style w:type="paragraph" w:styleId="Titolo4">
    <w:name w:val="heading 4"/>
    <w:basedOn w:val="Normale"/>
    <w:next w:val="Normale"/>
    <w:qFormat/>
    <w:rsid w:val="00413EDA"/>
    <w:pPr>
      <w:keepNext/>
      <w:keepLines/>
      <w:tabs>
        <w:tab w:val="left" w:pos="1080"/>
      </w:tabs>
      <w:spacing w:before="240"/>
      <w:outlineLvl w:val="3"/>
    </w:pPr>
    <w:rPr>
      <w:b/>
      <w:i/>
    </w:rPr>
  </w:style>
  <w:style w:type="paragraph" w:styleId="Titolo5">
    <w:name w:val="heading 5"/>
    <w:basedOn w:val="Normale"/>
    <w:next w:val="Normale"/>
    <w:qFormat/>
    <w:rsid w:val="00413EDA"/>
    <w:pPr>
      <w:tabs>
        <w:tab w:val="left" w:pos="1080"/>
      </w:tabs>
      <w:spacing w:before="240"/>
      <w:outlineLvl w:val="4"/>
    </w:pPr>
    <w:rPr>
      <w:bCs/>
      <w:i/>
      <w:iCs/>
      <w:szCs w:val="22"/>
    </w:rPr>
  </w:style>
  <w:style w:type="paragraph" w:styleId="Titolo6">
    <w:name w:val="heading 6"/>
    <w:basedOn w:val="Normale"/>
    <w:next w:val="Normale"/>
    <w:qFormat/>
    <w:rsid w:val="00413EDA"/>
    <w:pPr>
      <w:keepNext/>
      <w:widowControl w:val="0"/>
      <w:tabs>
        <w:tab w:val="center" w:pos="4513"/>
      </w:tabs>
      <w:suppressAutoHyphens/>
      <w:jc w:val="center"/>
      <w:outlineLvl w:val="5"/>
    </w:pPr>
    <w:rPr>
      <w:b/>
      <w:snapToGrid w:val="0"/>
      <w:spacing w:val="-2"/>
      <w:szCs w:val="24"/>
    </w:rPr>
  </w:style>
  <w:style w:type="paragraph" w:styleId="Titolo7">
    <w:name w:val="heading 7"/>
    <w:basedOn w:val="Normale"/>
    <w:next w:val="Normale"/>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Titolo8">
    <w:name w:val="heading 8"/>
    <w:basedOn w:val="Normale"/>
    <w:next w:val="Normale"/>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Titolo9">
    <w:name w:val="heading 9"/>
    <w:basedOn w:val="Normale"/>
    <w:next w:val="Normale"/>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251C3F"/>
    <w:pPr>
      <w:tabs>
        <w:tab w:val="center" w:pos="4153"/>
        <w:tab w:val="right" w:pos="8306"/>
      </w:tabs>
      <w:jc w:val="center"/>
    </w:pPr>
    <w:rPr>
      <w:lang w:val="fr-FR"/>
    </w:rPr>
  </w:style>
  <w:style w:type="paragraph" w:styleId="Testodelblocco">
    <w:name w:val="Block Text"/>
    <w:basedOn w:val="Normale"/>
    <w:rsid w:val="008A71EB"/>
    <w:pPr>
      <w:ind w:left="567" w:right="566"/>
    </w:pPr>
    <w:rPr>
      <w:rFonts w:ascii="Univers" w:hAnsi="Univers"/>
      <w:sz w:val="21"/>
    </w:rPr>
  </w:style>
  <w:style w:type="paragraph" w:customStyle="1" w:styleId="Action">
    <w:name w:val="_Action"/>
    <w:basedOn w:val="Normale"/>
    <w:next w:val="BodyText"/>
    <w:rsid w:val="00B74B70"/>
    <w:pPr>
      <w:numPr>
        <w:numId w:val="39"/>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Collegamentoipertestuale">
    <w:name w:val="Hyperlink"/>
    <w:rsid w:val="008A71EB"/>
    <w:rPr>
      <w:color w:val="0000FF"/>
      <w:u w:val="single"/>
    </w:rPr>
  </w:style>
  <w:style w:type="character" w:styleId="Numeropagina">
    <w:name w:val="page number"/>
    <w:basedOn w:val="Carpredefinitoparagrafo"/>
    <w:rsid w:val="008A71EB"/>
  </w:style>
  <w:style w:type="paragraph" w:styleId="Sommario4">
    <w:name w:val="toc 4"/>
    <w:basedOn w:val="Normale"/>
    <w:next w:val="Normale"/>
    <w:autoRedefine/>
    <w:semiHidden/>
    <w:rsid w:val="006A5514"/>
    <w:pPr>
      <w:ind w:left="660"/>
    </w:pPr>
  </w:style>
  <w:style w:type="character" w:customStyle="1" w:styleId="Addedtext">
    <w:name w:val="_Added text"/>
    <w:rsid w:val="00B74B70"/>
    <w:rPr>
      <w:color w:val="008000"/>
      <w:u w:val="dash"/>
    </w:rPr>
  </w:style>
  <w:style w:type="character" w:customStyle="1" w:styleId="Titolo2Carattere">
    <w:name w:val="Titolo 2 Carattere"/>
    <w:link w:val="Titolo2"/>
    <w:locked/>
    <w:rsid w:val="0062450A"/>
    <w:rPr>
      <w:rFonts w:ascii="Arial Bold" w:eastAsia="SimSun" w:hAnsi="Arial Bold" w:cs="Arial"/>
      <w:b/>
      <w:bCs/>
      <w:iCs/>
      <w:caps/>
      <w:sz w:val="24"/>
      <w:szCs w:val="24"/>
      <w:lang w:val="en-GB" w:eastAsia="zh-CN" w:bidi="ar-SA"/>
    </w:rPr>
  </w:style>
  <w:style w:type="paragraph" w:styleId="Pidipagina">
    <w:name w:val="footer"/>
    <w:basedOn w:val="Normale"/>
    <w:rsid w:val="008A71EB"/>
    <w:pPr>
      <w:tabs>
        <w:tab w:val="center" w:pos="4320"/>
        <w:tab w:val="right" w:pos="8640"/>
      </w:tabs>
    </w:pPr>
  </w:style>
  <w:style w:type="paragraph" w:styleId="Testofumetto">
    <w:name w:val="Balloon Text"/>
    <w:basedOn w:val="Normale"/>
    <w:semiHidden/>
    <w:rsid w:val="005A6BCE"/>
    <w:rPr>
      <w:rFonts w:ascii="Tahoma" w:hAnsi="Tahoma" w:cs="Tahoma"/>
      <w:sz w:val="16"/>
      <w:szCs w:val="16"/>
    </w:rPr>
  </w:style>
  <w:style w:type="paragraph" w:styleId="Mappadocumento">
    <w:name w:val="Document Map"/>
    <w:basedOn w:val="Normale"/>
    <w:semiHidden/>
    <w:rsid w:val="002A7FA1"/>
    <w:pPr>
      <w:shd w:val="clear" w:color="auto" w:fill="000080"/>
    </w:pPr>
    <w:rPr>
      <w:rFonts w:ascii="Tahoma" w:hAnsi="Tahoma" w:cs="Tahoma"/>
    </w:rPr>
  </w:style>
  <w:style w:type="paragraph" w:styleId="Sommario3">
    <w:name w:val="toc 3"/>
    <w:basedOn w:val="BodyText"/>
    <w:next w:val="BodyText"/>
    <w:autoRedefine/>
    <w:semiHidden/>
    <w:rsid w:val="00E91F0F"/>
    <w:pPr>
      <w:ind w:left="400"/>
    </w:pPr>
  </w:style>
  <w:style w:type="paragraph" w:styleId="Sommario1">
    <w:name w:val="toc 1"/>
    <w:basedOn w:val="BodyText"/>
    <w:next w:val="BodyText"/>
    <w:autoRedefine/>
    <w:uiPriority w:val="39"/>
    <w:rsid w:val="00E91F0F"/>
  </w:style>
  <w:style w:type="paragraph" w:styleId="Sommario2">
    <w:name w:val="toc 2"/>
    <w:basedOn w:val="BodyText"/>
    <w:next w:val="BodyText"/>
    <w:autoRedefine/>
    <w:semiHidden/>
    <w:rsid w:val="00E91F0F"/>
    <w:pPr>
      <w:ind w:left="200"/>
    </w:pPr>
  </w:style>
  <w:style w:type="character" w:styleId="Collegamentovisitato">
    <w:name w:val="FollowedHyperlink"/>
    <w:rsid w:val="00631715"/>
    <w:rPr>
      <w:color w:val="606420"/>
      <w:u w:val="single"/>
    </w:rPr>
  </w:style>
  <w:style w:type="paragraph" w:styleId="Corpodeltesto3">
    <w:name w:val="Body Text 3"/>
    <w:basedOn w:val="Normale"/>
    <w:rsid w:val="00F35F35"/>
    <w:pPr>
      <w:spacing w:after="120"/>
    </w:pPr>
    <w:rPr>
      <w:sz w:val="16"/>
      <w:szCs w:val="16"/>
    </w:rPr>
  </w:style>
  <w:style w:type="paragraph" w:customStyle="1" w:styleId="Comment">
    <w:name w:val="Comment"/>
    <w:basedOn w:val="Normale"/>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e"/>
    <w:rsid w:val="00C47922"/>
    <w:pPr>
      <w:tabs>
        <w:tab w:val="left" w:pos="1080"/>
      </w:tabs>
      <w:spacing w:before="240"/>
    </w:pPr>
    <w:rPr>
      <w:szCs w:val="22"/>
    </w:rPr>
  </w:style>
  <w:style w:type="numbering" w:styleId="111111">
    <w:name w:val="Outline List 2"/>
    <w:basedOn w:val="Nessunelenco"/>
    <w:rsid w:val="00413EDA"/>
    <w:pPr>
      <w:numPr>
        <w:numId w:val="37"/>
      </w:numPr>
    </w:pPr>
  </w:style>
  <w:style w:type="character" w:customStyle="1" w:styleId="CorpodeltestoCarattere">
    <w:name w:val="Corpo del testo Carattere"/>
    <w:link w:val="Corpodeltesto"/>
    <w:rsid w:val="00C10690"/>
    <w:rPr>
      <w:rFonts w:ascii="Arial" w:eastAsia="SimSun" w:hAnsi="Arial" w:cs="Arial"/>
      <w:bCs/>
      <w:sz w:val="22"/>
      <w:szCs w:val="24"/>
      <w:lang w:eastAsia="zh-CN"/>
    </w:rPr>
  </w:style>
  <w:style w:type="paragraph" w:styleId="Corpodeltesto">
    <w:name w:val="Body Text"/>
    <w:basedOn w:val="Normale"/>
    <w:link w:val="CorpodeltestoCarattere"/>
    <w:rsid w:val="00413EDA"/>
    <w:pPr>
      <w:tabs>
        <w:tab w:val="left" w:pos="1140"/>
      </w:tabs>
      <w:spacing w:after="120"/>
    </w:pPr>
    <w:rPr>
      <w:rFonts w:eastAsia="SimSun"/>
      <w:bCs/>
      <w:szCs w:val="24"/>
      <w:lang w:eastAsia="zh-CN"/>
    </w:rPr>
  </w:style>
  <w:style w:type="character" w:styleId="Rimandonotaapidipagina">
    <w:name w:val="footnote reference"/>
    <w:semiHidden/>
    <w:rsid w:val="003B7252"/>
    <w:rPr>
      <w:vertAlign w:val="superscript"/>
    </w:rPr>
  </w:style>
  <w:style w:type="paragraph" w:styleId="Testonotaapidipagina">
    <w:name w:val="footnote text"/>
    <w:basedOn w:val="Normale"/>
    <w:semiHidden/>
    <w:rsid w:val="00A45F94"/>
  </w:style>
  <w:style w:type="paragraph" w:styleId="Paragrafoelenco">
    <w:name w:val="List Paragraph"/>
    <w:basedOn w:val="Normale"/>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e"/>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e"/>
    <w:next w:val="BodyText"/>
    <w:rsid w:val="00B74B70"/>
    <w:pPr>
      <w:numPr>
        <w:numId w:val="42"/>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e"/>
    <w:next w:val="Normale"/>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e"/>
    <w:qFormat/>
    <w:rsid w:val="00B74B70"/>
    <w:pPr>
      <w:numPr>
        <w:numId w:val="44"/>
      </w:numPr>
    </w:pPr>
    <w:rPr>
      <w:color w:val="E36C0A" w:themeColor="accent6" w:themeShade="BF"/>
    </w:rPr>
  </w:style>
  <w:style w:type="paragraph" w:styleId="Didascalia">
    <w:name w:val="caption"/>
    <w:basedOn w:val="Normale"/>
    <w:next w:val="Normale"/>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Carpredefinitoparagrafo"/>
    <w:uiPriority w:val="1"/>
    <w:qFormat/>
    <w:rsid w:val="00C458CF"/>
  </w:style>
  <w:style w:type="paragraph" w:customStyle="1" w:styleId="WMOBodyText">
    <w:name w:val="WMO_BodyText"/>
    <w:basedOn w:val="Normale"/>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Carpredefinitoparagrafo"/>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e"/>
    <w:rsid w:val="00C458CF"/>
    <w:pPr>
      <w:tabs>
        <w:tab w:val="left" w:pos="1134"/>
      </w:tabs>
      <w:spacing w:before="240"/>
      <w:ind w:left="1134" w:hanging="1134"/>
    </w:pPr>
    <w:rPr>
      <w:rFonts w:eastAsia="Arial"/>
      <w:szCs w:val="22"/>
      <w:lang w:eastAsia="zh-TW"/>
    </w:rPr>
  </w:style>
  <w:style w:type="paragraph" w:customStyle="1" w:styleId="WMOList2">
    <w:name w:val="WMO_List2"/>
    <w:basedOn w:val="Normale"/>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Titolo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Titolo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Sommario1"/>
    <w:next w:val="Normale"/>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Sommario2"/>
    <w:next w:val="Normale"/>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Sommario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r="http://schemas.openxmlformats.org/officeDocument/2006/relationships" xmlns:w="http://schemas.openxmlformats.org/wordprocessingml/2006/main">
  <w:divs>
    <w:div w:id="107362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0E782-CB17-4597-BC77-856A1E7F7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138</TotalTime>
  <Pages>2</Pages>
  <Words>911</Words>
  <Characters>5197</Characters>
  <Application>Microsoft Office Word</Application>
  <DocSecurity>0</DocSecurity>
  <Lines>43</Lines>
  <Paragraphs>12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6096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Your User Name</cp:lastModifiedBy>
  <cp:revision>12</cp:revision>
  <cp:lastPrinted>2012-03-15T15:21:00Z</cp:lastPrinted>
  <dcterms:created xsi:type="dcterms:W3CDTF">2017-08-23T09:49:00Z</dcterms:created>
  <dcterms:modified xsi:type="dcterms:W3CDTF">2017-09-29T18:06:00Z</dcterms:modified>
</cp:coreProperties>
</file>