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B74B70" w:rsidRPr="00636B90" w:rsidTr="00313D16">
        <w:trPr>
          <w:trHeight w:val="282"/>
        </w:trPr>
        <w:tc>
          <w:tcPr>
            <w:tcW w:w="6912" w:type="dxa"/>
            <w:vMerge w:val="restart"/>
          </w:tcPr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eastAsia="zh-CN"/>
              </w:rPr>
              <w:drawing>
                <wp:anchor distT="0" distB="0" distL="114300" distR="114300" simplePos="0" relativeHeight="251659264" behindDoc="1" locked="1" layoutInCell="1" allowOverlap="1" wp14:anchorId="13C0F637" wp14:editId="6CB24C4F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B74B70" w:rsidRPr="005D666D" w:rsidRDefault="00C5424D" w:rsidP="00C5424D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C5424D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WMO Workshop on Information Management</w:t>
            </w:r>
            <w:r w:rsidR="00B74B70" w:rsidRPr="00B74B70">
              <w:rPr>
                <w:rFonts w:cstheme="minorBidi"/>
                <w:b/>
                <w:snapToGrid w:val="0"/>
                <w:color w:val="365F91" w:themeColor="accent1" w:themeShade="BF"/>
                <w:szCs w:val="22"/>
                <w:highlight w:val="yellow"/>
              </w:rPr>
              <w:br/>
            </w:r>
            <w:r>
              <w:rPr>
                <w:snapToGrid w:val="0"/>
                <w:color w:val="365F91" w:themeColor="accent1" w:themeShade="BF"/>
                <w:szCs w:val="22"/>
              </w:rPr>
              <w:t>Geneva, 2-4 October 2017</w:t>
            </w:r>
          </w:p>
        </w:tc>
        <w:tc>
          <w:tcPr>
            <w:tcW w:w="2977" w:type="dxa"/>
          </w:tcPr>
          <w:p w:rsidR="00B74B70" w:rsidRPr="00DA34E9" w:rsidRDefault="00C5424D" w:rsidP="00D40403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DA34E9">
              <w:rPr>
                <w:rFonts w:cs="Tahoma"/>
                <w:b/>
                <w:bCs/>
                <w:color w:val="365F91" w:themeColor="accent1" w:themeShade="BF"/>
                <w:szCs w:val="22"/>
              </w:rPr>
              <w:t>Presentation</w:t>
            </w:r>
            <w:r w:rsidR="00D40403">
              <w:rPr>
                <w:rFonts w:cs="Tahoma"/>
                <w:b/>
                <w:bCs/>
                <w:color w:val="365F91" w:themeColor="accent1" w:themeShade="BF"/>
                <w:szCs w:val="22"/>
              </w:rPr>
              <w:t>: 5.2</w:t>
            </w:r>
          </w:p>
        </w:tc>
      </w:tr>
      <w:tr w:rsidR="00B74B70" w:rsidRPr="00DA34E9" w:rsidTr="00313D16">
        <w:trPr>
          <w:trHeight w:val="730"/>
        </w:trPr>
        <w:tc>
          <w:tcPr>
            <w:tcW w:w="6912" w:type="dxa"/>
            <w:vMerge/>
          </w:tcPr>
          <w:p w:rsidR="00B74B70" w:rsidRPr="00993581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fr-CH" w:eastAsia="zh-CN"/>
              </w:rPr>
            </w:pPr>
          </w:p>
        </w:tc>
        <w:tc>
          <w:tcPr>
            <w:tcW w:w="2977" w:type="dxa"/>
          </w:tcPr>
          <w:p w:rsidR="00B74B70" w:rsidRPr="00F95F31" w:rsidRDefault="00C5424D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  <w:lang w:val="de-DE"/>
              </w:rPr>
            </w:pPr>
            <w:proofErr w:type="spellStart"/>
            <w:r w:rsidRPr="00F95F31">
              <w:rPr>
                <w:rFonts w:cs="Tahoma"/>
                <w:color w:val="365F91" w:themeColor="accent1" w:themeShade="BF"/>
                <w:szCs w:val="22"/>
                <w:lang w:val="de-DE"/>
              </w:rPr>
              <w:t>Presenter</w:t>
            </w:r>
            <w:proofErr w:type="spellEnd"/>
            <w:r w:rsidR="00B74B70" w:rsidRPr="00F95F31">
              <w:rPr>
                <w:rFonts w:cs="Tahoma"/>
                <w:color w:val="365F91" w:themeColor="accent1" w:themeShade="BF"/>
                <w:szCs w:val="22"/>
                <w:lang w:val="de-DE"/>
              </w:rPr>
              <w:t>:</w:t>
            </w:r>
            <w:r w:rsidR="00B74B70" w:rsidRPr="00F95F31">
              <w:rPr>
                <w:rFonts w:cs="Tahoma"/>
                <w:color w:val="365F91" w:themeColor="accent1" w:themeShade="BF"/>
                <w:szCs w:val="22"/>
                <w:lang w:val="de-DE"/>
              </w:rPr>
              <w:br/>
            </w:r>
            <w:r w:rsidR="003A4CE6" w:rsidRPr="00F95F31">
              <w:rPr>
                <w:rFonts w:cs="Tahoma"/>
                <w:color w:val="365F91" w:themeColor="accent1" w:themeShade="BF"/>
                <w:szCs w:val="22"/>
                <w:lang w:val="de-DE"/>
              </w:rPr>
              <w:t xml:space="preserve">Markus </w:t>
            </w:r>
            <w:proofErr w:type="spellStart"/>
            <w:r w:rsidR="003A4CE6" w:rsidRPr="00F95F31">
              <w:rPr>
                <w:rFonts w:cs="Tahoma"/>
                <w:color w:val="365F91" w:themeColor="accent1" w:themeShade="BF"/>
                <w:szCs w:val="22"/>
                <w:lang w:val="de-DE"/>
              </w:rPr>
              <w:t>Ziese</w:t>
            </w:r>
            <w:proofErr w:type="spellEnd"/>
            <w:r w:rsidR="003A4CE6" w:rsidRPr="00F95F31">
              <w:rPr>
                <w:rFonts w:cs="Tahoma"/>
                <w:color w:val="365F91" w:themeColor="accent1" w:themeShade="BF"/>
                <w:szCs w:val="22"/>
                <w:lang w:val="de-DE"/>
              </w:rPr>
              <w:t xml:space="preserve"> (GPCC)</w:t>
            </w:r>
            <w:r w:rsidR="00B74B70" w:rsidRPr="00F95F31">
              <w:rPr>
                <w:rFonts w:cs="Tahoma"/>
                <w:color w:val="365F91" w:themeColor="accent1" w:themeShade="BF"/>
                <w:szCs w:val="22"/>
                <w:lang w:val="de-DE"/>
              </w:rPr>
              <w:t xml:space="preserve"> </w:t>
            </w:r>
          </w:p>
          <w:p w:rsidR="00B74B70" w:rsidRPr="00F95F31" w:rsidRDefault="00D40403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  <w:lang w:val="de-DE"/>
              </w:rPr>
            </w:pPr>
            <w:r>
              <w:rPr>
                <w:rFonts w:cs="Tahoma"/>
                <w:color w:val="365F91" w:themeColor="accent1" w:themeShade="BF"/>
                <w:szCs w:val="22"/>
                <w:lang w:val="de-DE"/>
              </w:rPr>
              <w:t>21:Sep</w:t>
            </w:r>
            <w:bookmarkStart w:id="0" w:name="_GoBack"/>
            <w:bookmarkEnd w:id="0"/>
            <w:r w:rsidR="00B74B70" w:rsidRPr="00F95F31">
              <w:rPr>
                <w:rFonts w:cs="Tahoma"/>
                <w:color w:val="365F91" w:themeColor="accent1" w:themeShade="BF"/>
                <w:szCs w:val="22"/>
                <w:lang w:val="de-DE"/>
              </w:rPr>
              <w:t>.</w:t>
            </w:r>
            <w:r w:rsidR="003A4CE6" w:rsidRPr="00F95F31">
              <w:rPr>
                <w:rFonts w:cs="Tahoma"/>
                <w:color w:val="365F91" w:themeColor="accent1" w:themeShade="BF"/>
                <w:szCs w:val="22"/>
                <w:lang w:val="de-DE"/>
              </w:rPr>
              <w:t>2017</w:t>
            </w:r>
          </w:p>
          <w:p w:rsidR="00B74B70" w:rsidRPr="00F95F31" w:rsidRDefault="00B74B70" w:rsidP="00313D1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de-DE"/>
              </w:rPr>
            </w:pPr>
          </w:p>
        </w:tc>
      </w:tr>
    </w:tbl>
    <w:p w:rsidR="00D22E8A" w:rsidRPr="003A4CE6" w:rsidRDefault="00D22E8A" w:rsidP="00415F4C">
      <w:pPr>
        <w:rPr>
          <w:lang w:val="de-DE"/>
        </w:rPr>
      </w:pPr>
    </w:p>
    <w:p w:rsidR="00C5424D" w:rsidRPr="00C5424D" w:rsidRDefault="003A4CE6" w:rsidP="00C5424D">
      <w:pPr>
        <w:pStyle w:val="Heading1"/>
        <w:jc w:val="center"/>
      </w:pPr>
      <w:r w:rsidRPr="003A4CE6">
        <w:t>Guidance for managing international precipitation data</w:t>
      </w:r>
    </w:p>
    <w:p w:rsidR="00F35F35" w:rsidRDefault="00C5424D" w:rsidP="000E3612">
      <w:pPr>
        <w:pStyle w:val="Heading1"/>
        <w:jc w:val="center"/>
      </w:pPr>
      <w:r>
        <w:t>Recommendations from presentation</w:t>
      </w:r>
    </w:p>
    <w:p w:rsidR="00C5424D" w:rsidRDefault="00C5424D" w:rsidP="00C5424D"/>
    <w:p w:rsidR="003A4CE6" w:rsidRDefault="003A4CE6" w:rsidP="003A4CE6">
      <w:pPr>
        <w:pStyle w:val="ListParagraph"/>
        <w:numPr>
          <w:ilvl w:val="0"/>
          <w:numId w:val="45"/>
        </w:numPr>
      </w:pPr>
      <w:r>
        <w:t xml:space="preserve">Store data in </w:t>
      </w:r>
      <w:r w:rsidR="00C26E2A">
        <w:t xml:space="preserve">a </w:t>
      </w:r>
      <w:r>
        <w:t xml:space="preserve">station </w:t>
      </w:r>
      <w:r w:rsidR="00FF38E4">
        <w:t xml:space="preserve">specific </w:t>
      </w:r>
      <w:r>
        <w:t>data bank</w:t>
      </w:r>
    </w:p>
    <w:p w:rsidR="003A4CE6" w:rsidRDefault="003A4CE6" w:rsidP="003A4CE6">
      <w:pPr>
        <w:pStyle w:val="ListParagraph"/>
        <w:numPr>
          <w:ilvl w:val="0"/>
          <w:numId w:val="45"/>
        </w:numPr>
      </w:pPr>
      <w:r>
        <w:t xml:space="preserve">Bundle station history </w:t>
      </w:r>
      <w:r w:rsidR="00E42A80">
        <w:t xml:space="preserve">and related meta-information </w:t>
      </w:r>
      <w:r>
        <w:t>with observations</w:t>
      </w:r>
    </w:p>
    <w:p w:rsidR="003A4CE6" w:rsidRDefault="003A4CE6" w:rsidP="003A4CE6">
      <w:pPr>
        <w:pStyle w:val="ListParagraph"/>
        <w:numPr>
          <w:ilvl w:val="0"/>
          <w:numId w:val="45"/>
        </w:numPr>
      </w:pPr>
      <w:r>
        <w:t xml:space="preserve">Store data separated according to provider </w:t>
      </w:r>
      <w:r w:rsidR="00C26E2A">
        <w:t xml:space="preserve">to allow </w:t>
      </w:r>
      <w:r>
        <w:t xml:space="preserve">for </w:t>
      </w:r>
      <w:r w:rsidR="00C26E2A">
        <w:t>cross-</w:t>
      </w:r>
      <w:r>
        <w:t>comparison</w:t>
      </w:r>
    </w:p>
    <w:p w:rsidR="002D361C" w:rsidRDefault="002D361C" w:rsidP="002D361C">
      <w:pPr>
        <w:pStyle w:val="ListParagraph"/>
        <w:numPr>
          <w:ilvl w:val="0"/>
          <w:numId w:val="45"/>
        </w:numPr>
      </w:pPr>
      <w:r w:rsidRPr="002D361C">
        <w:t>Apply advanced quality control procedure</w:t>
      </w:r>
      <w:r w:rsidR="00C26E2A">
        <w:t>s</w:t>
      </w:r>
    </w:p>
    <w:p w:rsidR="003A4CE6" w:rsidRDefault="00C26E2A" w:rsidP="003A4CE6">
      <w:pPr>
        <w:pStyle w:val="ListParagraph"/>
        <w:numPr>
          <w:ilvl w:val="0"/>
          <w:numId w:val="45"/>
        </w:numPr>
      </w:pPr>
      <w:r>
        <w:t xml:space="preserve">Allow for roll-back of any </w:t>
      </w:r>
      <w:r w:rsidR="003A4CE6">
        <w:t xml:space="preserve">QC </w:t>
      </w:r>
      <w:r>
        <w:t xml:space="preserve">related changes </w:t>
      </w:r>
      <w:r w:rsidR="003A4CE6">
        <w:t xml:space="preserve">in </w:t>
      </w:r>
      <w:r>
        <w:t xml:space="preserve">the </w:t>
      </w:r>
      <w:r w:rsidR="003A4CE6">
        <w:t xml:space="preserve">data bank, </w:t>
      </w:r>
      <w:r>
        <w:t>and keep  a copy of the</w:t>
      </w:r>
      <w:r w:rsidR="003A4CE6">
        <w:t xml:space="preserve"> original data</w:t>
      </w:r>
    </w:p>
    <w:p w:rsidR="003A4CE6" w:rsidRDefault="003A4CE6" w:rsidP="003A4CE6">
      <w:pPr>
        <w:pStyle w:val="ListParagraph"/>
        <w:numPr>
          <w:ilvl w:val="0"/>
          <w:numId w:val="45"/>
        </w:numPr>
      </w:pPr>
      <w:r>
        <w:t>Use best available data at each time step</w:t>
      </w:r>
    </w:p>
    <w:p w:rsidR="00C5424D" w:rsidRDefault="003A4CE6" w:rsidP="003A4CE6">
      <w:pPr>
        <w:pStyle w:val="ListParagraph"/>
        <w:numPr>
          <w:ilvl w:val="0"/>
          <w:numId w:val="45"/>
        </w:numPr>
      </w:pPr>
      <w:r>
        <w:t xml:space="preserve">Respect </w:t>
      </w:r>
      <w:r w:rsidR="00C26E2A">
        <w:t xml:space="preserve">and document </w:t>
      </w:r>
      <w:r>
        <w:t xml:space="preserve">copyright and intellectual </w:t>
      </w:r>
      <w:r w:rsidR="00DA34E9">
        <w:t xml:space="preserve">property </w:t>
      </w:r>
      <w:r>
        <w:t>rights o</w:t>
      </w:r>
      <w:r w:rsidR="00EF2518">
        <w:t>f</w:t>
      </w:r>
      <w:r>
        <w:t xml:space="preserve"> data</w:t>
      </w:r>
      <w:r w:rsidR="00EF2518">
        <w:t xml:space="preserve"> providers</w:t>
      </w:r>
    </w:p>
    <w:p w:rsidR="00C5424D" w:rsidRDefault="00C5424D" w:rsidP="00C5424D">
      <w:pPr>
        <w:pStyle w:val="Heading1"/>
        <w:jc w:val="center"/>
      </w:pPr>
      <w:r>
        <w:t>Recommended references</w:t>
      </w:r>
    </w:p>
    <w:p w:rsidR="00C5424D" w:rsidRDefault="002D361C" w:rsidP="002D361C">
      <w:pPr>
        <w:pStyle w:val="ListParagraph"/>
        <w:numPr>
          <w:ilvl w:val="0"/>
          <w:numId w:val="49"/>
        </w:numPr>
      </w:pPr>
      <w:r w:rsidRPr="002D361C">
        <w:t>Becker, A.; Finger, P.; Meyer-Christoffer, A.; Rudolf, B.; Schamm, K.; Schneider, U. &amp; Ziese, M.</w:t>
      </w:r>
      <w:r>
        <w:t>:</w:t>
      </w:r>
      <w:r w:rsidRPr="002D361C">
        <w:t xml:space="preserve"> A description of the global land-surface precipitation data products of the Global Precipitation Climatology Centre with sample applications including centennial (trend) analysis from 1901-present</w:t>
      </w:r>
      <w:r>
        <w:t>,</w:t>
      </w:r>
      <w:r w:rsidRPr="002D361C">
        <w:t xml:space="preserve"> Earth System Science Data, 2013, 5, 71-99</w:t>
      </w:r>
      <w:r w:rsidR="00C5424D">
        <w:t>.</w:t>
      </w:r>
    </w:p>
    <w:p w:rsidR="00C5424D" w:rsidRDefault="002D361C" w:rsidP="002D361C">
      <w:pPr>
        <w:pStyle w:val="ListParagraph"/>
        <w:numPr>
          <w:ilvl w:val="0"/>
          <w:numId w:val="49"/>
        </w:numPr>
      </w:pPr>
      <w:r w:rsidRPr="002D361C">
        <w:t>Schneider, U.; Becker, A.; Finger, P.; Meyer-Christoffer, A.; Ziese, M. &amp; Rudolf, B.</w:t>
      </w:r>
      <w:r>
        <w:t>:</w:t>
      </w:r>
      <w:r w:rsidRPr="002D361C">
        <w:t xml:space="preserve"> GPCC's new land surface precipitation climatology based on quality-controlled in situ data and its role in quantifying the global water cycle</w:t>
      </w:r>
      <w:r>
        <w:t>,</w:t>
      </w:r>
      <w:r w:rsidRPr="002D361C">
        <w:t xml:space="preserve"> Theoretical and Applied Climatology, Springer Vienna, 2013, 115, 15-40</w:t>
      </w:r>
      <w:r w:rsidR="00C5424D">
        <w:t>.</w:t>
      </w:r>
    </w:p>
    <w:p w:rsidR="00C5424D" w:rsidRDefault="004E178E" w:rsidP="004E178E">
      <w:pPr>
        <w:pStyle w:val="ListParagraph"/>
        <w:numPr>
          <w:ilvl w:val="0"/>
          <w:numId w:val="49"/>
        </w:numPr>
      </w:pPr>
      <w:r w:rsidRPr="004E178E">
        <w:t xml:space="preserve">Chen, M.; Xie, P.; Shi, W.; Silva, V.; </w:t>
      </w:r>
      <w:proofErr w:type="spellStart"/>
      <w:r w:rsidRPr="004E178E">
        <w:t>Kousky</w:t>
      </w:r>
      <w:proofErr w:type="spellEnd"/>
      <w:r w:rsidRPr="004E178E">
        <w:t xml:space="preserve">, V.; Higgins, W. &amp; </w:t>
      </w:r>
      <w:proofErr w:type="spellStart"/>
      <w:r w:rsidRPr="004E178E">
        <w:t>Janowiak</w:t>
      </w:r>
      <w:proofErr w:type="spellEnd"/>
      <w:r w:rsidRPr="004E178E">
        <w:t>, J.</w:t>
      </w:r>
      <w:r>
        <w:t>:</w:t>
      </w:r>
      <w:r w:rsidRPr="004E178E">
        <w:t xml:space="preserve"> Quality Control of Daily Precipitation Reports at NOAA/CPC</w:t>
      </w:r>
      <w:r>
        <w:t>,</w:t>
      </w:r>
      <w:r w:rsidRPr="004E178E">
        <w:t xml:space="preserve"> 12th Conference on IOAS-AOLS, 2008</w:t>
      </w:r>
      <w:r>
        <w:t>.</w:t>
      </w:r>
    </w:p>
    <w:p w:rsidR="00ED1B5C" w:rsidRDefault="00ED1B5C" w:rsidP="00ED1B5C">
      <w:pPr>
        <w:pStyle w:val="ListParagraph"/>
        <w:numPr>
          <w:ilvl w:val="0"/>
          <w:numId w:val="49"/>
        </w:numPr>
      </w:pPr>
      <w:proofErr w:type="spellStart"/>
      <w:r w:rsidRPr="00ED1B5C">
        <w:t>Durre</w:t>
      </w:r>
      <w:proofErr w:type="spellEnd"/>
      <w:r w:rsidRPr="00ED1B5C">
        <w:t>, I.; Menne, M. J.; Gleason, B. E.; Houston, T. G. &amp; Vose, R. S.</w:t>
      </w:r>
      <w:r>
        <w:t>:</w:t>
      </w:r>
      <w:r w:rsidRPr="00ED1B5C">
        <w:t xml:space="preserve"> Comprehensive Automated Quality Assurance of Daily Surface Observations</w:t>
      </w:r>
      <w:r>
        <w:t>,</w:t>
      </w:r>
      <w:r w:rsidRPr="00ED1B5C">
        <w:t xml:space="preserve"> </w:t>
      </w:r>
      <w:r w:rsidR="00A515F2">
        <w:t>Journal of Applied Meteorology and Climatology</w:t>
      </w:r>
      <w:r w:rsidRPr="00ED1B5C">
        <w:t>, 2010, 49, 1615-1633</w:t>
      </w:r>
      <w:r>
        <w:t>.</w:t>
      </w:r>
    </w:p>
    <w:p w:rsidR="00E30836" w:rsidRDefault="00E30836" w:rsidP="00E30836">
      <w:pPr>
        <w:pStyle w:val="ListParagraph"/>
        <w:numPr>
          <w:ilvl w:val="0"/>
          <w:numId w:val="49"/>
        </w:numPr>
      </w:pPr>
      <w:r w:rsidRPr="00E30836">
        <w:t xml:space="preserve">Frei, C. &amp; </w:t>
      </w:r>
      <w:proofErr w:type="spellStart"/>
      <w:r w:rsidRPr="00E30836">
        <w:t>Schär</w:t>
      </w:r>
      <w:proofErr w:type="spellEnd"/>
      <w:r w:rsidRPr="00E30836">
        <w:t>, C.</w:t>
      </w:r>
      <w:r>
        <w:t>:</w:t>
      </w:r>
      <w:r w:rsidRPr="00E30836">
        <w:t xml:space="preserve"> A precipitation climatology of the Alps from high-resolution rain-gauge observations</w:t>
      </w:r>
      <w:r w:rsidR="00A515F2">
        <w:t xml:space="preserve">, </w:t>
      </w:r>
      <w:r w:rsidRPr="00E30836">
        <w:t>International Journal of Climatology, 1998, 18, 873-900</w:t>
      </w:r>
      <w:r>
        <w:t>.</w:t>
      </w:r>
    </w:p>
    <w:p w:rsidR="00E30836" w:rsidRPr="00DA34E9" w:rsidRDefault="00E002D3" w:rsidP="00E002D3">
      <w:pPr>
        <w:pStyle w:val="ListParagraph"/>
        <w:numPr>
          <w:ilvl w:val="0"/>
          <w:numId w:val="49"/>
        </w:numPr>
        <w:rPr>
          <w:lang w:val="de-DE"/>
        </w:rPr>
      </w:pPr>
      <w:r w:rsidRPr="00E002D3">
        <w:rPr>
          <w:lang w:val="de-DE"/>
        </w:rPr>
        <w:t xml:space="preserve">Schneider, U., Henning, D., Hauschild, H., </w:t>
      </w:r>
      <w:proofErr w:type="spellStart"/>
      <w:r w:rsidRPr="00E002D3">
        <w:rPr>
          <w:lang w:val="de-DE"/>
        </w:rPr>
        <w:t>Reiss</w:t>
      </w:r>
      <w:proofErr w:type="spellEnd"/>
      <w:r w:rsidRPr="00E002D3">
        <w:rPr>
          <w:lang w:val="de-DE"/>
        </w:rPr>
        <w:t xml:space="preserve">, M. </w:t>
      </w:r>
      <w:proofErr w:type="spellStart"/>
      <w:r w:rsidRPr="00E002D3">
        <w:rPr>
          <w:lang w:val="de-DE"/>
        </w:rPr>
        <w:t>and</w:t>
      </w:r>
      <w:proofErr w:type="spellEnd"/>
      <w:r w:rsidRPr="00E002D3">
        <w:rPr>
          <w:lang w:val="de-DE"/>
        </w:rPr>
        <w:t xml:space="preserve"> Rudolf, B.: Zur Berechnung der monatlichen Niederschlagshöhen</w:t>
      </w:r>
      <w:r>
        <w:rPr>
          <w:lang w:val="de-DE"/>
        </w:rPr>
        <w:t xml:space="preserve"> aus synoptischen Meldungen</w:t>
      </w:r>
      <w:r w:rsidRPr="00E002D3">
        <w:rPr>
          <w:lang w:val="de-DE"/>
        </w:rPr>
        <w:t>, Meteorol</w:t>
      </w:r>
      <w:r w:rsidR="00A515F2">
        <w:rPr>
          <w:lang w:val="de-DE"/>
        </w:rPr>
        <w:t>ogische</w:t>
      </w:r>
      <w:r w:rsidRPr="00E002D3">
        <w:rPr>
          <w:lang w:val="de-DE"/>
        </w:rPr>
        <w:t xml:space="preserve"> </w:t>
      </w:r>
      <w:r w:rsidRPr="00DA34E9">
        <w:rPr>
          <w:lang w:val="de-DE"/>
        </w:rPr>
        <w:t>Z</w:t>
      </w:r>
      <w:r w:rsidR="00A515F2">
        <w:rPr>
          <w:lang w:val="de-DE"/>
        </w:rPr>
        <w:t>eitung</w:t>
      </w:r>
      <w:r w:rsidRPr="00DA34E9">
        <w:rPr>
          <w:lang w:val="de-DE"/>
        </w:rPr>
        <w:t xml:space="preserve">, N.F. 1 (Special </w:t>
      </w:r>
      <w:proofErr w:type="spellStart"/>
      <w:r w:rsidRPr="00DA34E9">
        <w:rPr>
          <w:lang w:val="de-DE"/>
        </w:rPr>
        <w:t>Issue</w:t>
      </w:r>
      <w:proofErr w:type="spellEnd"/>
      <w:r w:rsidRPr="00DA34E9">
        <w:rPr>
          <w:lang w:val="de-DE"/>
        </w:rPr>
        <w:t xml:space="preserve">: Global </w:t>
      </w:r>
      <w:proofErr w:type="spellStart"/>
      <w:r w:rsidRPr="00DA34E9">
        <w:rPr>
          <w:lang w:val="de-DE"/>
        </w:rPr>
        <w:t>Precipitation</w:t>
      </w:r>
      <w:proofErr w:type="spellEnd"/>
      <w:r w:rsidRPr="00DA34E9">
        <w:rPr>
          <w:lang w:val="de-DE"/>
        </w:rPr>
        <w:t xml:space="preserve"> </w:t>
      </w:r>
      <w:proofErr w:type="spellStart"/>
      <w:r w:rsidRPr="00DA34E9">
        <w:rPr>
          <w:lang w:val="de-DE"/>
        </w:rPr>
        <w:t>Climatology</w:t>
      </w:r>
      <w:proofErr w:type="spellEnd"/>
      <w:r w:rsidRPr="00DA34E9">
        <w:rPr>
          <w:lang w:val="de-DE"/>
        </w:rPr>
        <w:t xml:space="preserve"> </w:t>
      </w:r>
      <w:proofErr w:type="spellStart"/>
      <w:r w:rsidRPr="00DA34E9">
        <w:rPr>
          <w:lang w:val="de-DE"/>
        </w:rPr>
        <w:t>Centre</w:t>
      </w:r>
      <w:proofErr w:type="spellEnd"/>
      <w:r w:rsidRPr="00DA34E9">
        <w:rPr>
          <w:lang w:val="de-DE"/>
        </w:rPr>
        <w:t>), 1992.</w:t>
      </w:r>
    </w:p>
    <w:p w:rsidR="002E3CBE" w:rsidRDefault="002E3CBE" w:rsidP="00771408">
      <w:pPr>
        <w:pStyle w:val="ListParagraph"/>
        <w:numPr>
          <w:ilvl w:val="0"/>
          <w:numId w:val="49"/>
        </w:numPr>
      </w:pPr>
      <w:r w:rsidRPr="002E3CBE">
        <w:t>Hamada, A.; Arakawa, O. &amp; Yatagai, A.</w:t>
      </w:r>
      <w:r>
        <w:t>:</w:t>
      </w:r>
      <w:r w:rsidRPr="002E3CBE">
        <w:t xml:space="preserve"> An Automated Quality Control Method for</w:t>
      </w:r>
      <w:r>
        <w:t xml:space="preserve"> Daily Rain-</w:t>
      </w:r>
      <w:r w:rsidR="00771408">
        <w:t>gauge</w:t>
      </w:r>
      <w:r w:rsidRPr="002E3CBE">
        <w:t xml:space="preserve"> Data</w:t>
      </w:r>
      <w:r>
        <w:t>,</w:t>
      </w:r>
      <w:r w:rsidRPr="002E3CBE">
        <w:t xml:space="preserve"> Global Environmental Research, 2011, 15, 183-192</w:t>
      </w:r>
      <w:r>
        <w:t>.</w:t>
      </w:r>
    </w:p>
    <w:p w:rsidR="00F95F31" w:rsidRPr="00C5424D" w:rsidRDefault="00F95F31" w:rsidP="00F95F31">
      <w:pPr>
        <w:pStyle w:val="ListParagraph"/>
        <w:numPr>
          <w:ilvl w:val="0"/>
          <w:numId w:val="49"/>
        </w:numPr>
      </w:pPr>
      <w:proofErr w:type="spellStart"/>
      <w:r w:rsidRPr="00F95F31">
        <w:t>Klok</w:t>
      </w:r>
      <w:proofErr w:type="spellEnd"/>
      <w:r w:rsidRPr="00F95F31">
        <w:t>, E. J. &amp; Klein Tank, A. M. G.</w:t>
      </w:r>
      <w:r>
        <w:t>:</w:t>
      </w:r>
      <w:r w:rsidRPr="00F95F31">
        <w:t xml:space="preserve"> Updated and extended European dataset of daily climate observations</w:t>
      </w:r>
      <w:r>
        <w:t>,</w:t>
      </w:r>
      <w:r w:rsidRPr="00F95F31">
        <w:t xml:space="preserve"> International Journal of Climatology, 2009, 29, 1182-1191</w:t>
      </w:r>
    </w:p>
    <w:sectPr w:rsidR="00F95F31" w:rsidRPr="00C5424D" w:rsidSect="00C5424D">
      <w:headerReference w:type="first" r:id="rId10"/>
      <w:pgSz w:w="11907" w:h="16840" w:code="9"/>
      <w:pgMar w:top="1134" w:right="1134" w:bottom="1134" w:left="1134" w:header="1134" w:footer="113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6B18" w:rsidRDefault="00D56B18">
      <w:r>
        <w:separator/>
      </w:r>
    </w:p>
    <w:p w:rsidR="00D56B18" w:rsidRDefault="00D56B18"/>
  </w:endnote>
  <w:endnote w:type="continuationSeparator" w:id="0">
    <w:p w:rsidR="00D56B18" w:rsidRDefault="00D56B18">
      <w:r>
        <w:continuationSeparator/>
      </w:r>
    </w:p>
    <w:p w:rsidR="00D56B18" w:rsidRDefault="00D56B1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6B18" w:rsidRDefault="00D56B18">
      <w:r>
        <w:separator/>
      </w:r>
    </w:p>
    <w:p w:rsidR="00D56B18" w:rsidRDefault="00D56B18"/>
  </w:footnote>
  <w:footnote w:type="continuationSeparator" w:id="0">
    <w:p w:rsidR="00D56B18" w:rsidRDefault="00D56B18">
      <w:r>
        <w:continuationSeparator/>
      </w:r>
    </w:p>
    <w:p w:rsidR="00D56B18" w:rsidRDefault="00D56B1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9E9" w:rsidRPr="00C10690" w:rsidRDefault="006125D7" w:rsidP="00251C3F">
    <w:pPr>
      <w:pStyle w:val="Header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</w:p>
  <w:p w:rsidR="005359E9" w:rsidRPr="00C10690" w:rsidRDefault="005359E9" w:rsidP="00251C3F">
    <w:pPr>
      <w:pStyle w:val="Header"/>
      <w:rPr>
        <w:lang w:val="en-GB"/>
      </w:rPr>
    </w:pPr>
  </w:p>
  <w:p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746ADE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6DC378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2862F0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264859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DA06BC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ADA0D1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C4A419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A9674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8268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594FD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14873D56"/>
    <w:multiLevelType w:val="hybridMultilevel"/>
    <w:tmpl w:val="7428A2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5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9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2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3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7ED0357"/>
    <w:multiLevelType w:val="hybridMultilevel"/>
    <w:tmpl w:val="C108D38A"/>
    <w:lvl w:ilvl="0" w:tplc="18A4CE0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0">
    <w:nsid w:val="538B462A"/>
    <w:multiLevelType w:val="hybridMultilevel"/>
    <w:tmpl w:val="0226B4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2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3">
    <w:nsid w:val="596B35D3"/>
    <w:multiLevelType w:val="hybridMultilevel"/>
    <w:tmpl w:val="2FE4C4CC"/>
    <w:lvl w:ilvl="0" w:tplc="18A4CE0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7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8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40">
    <w:nsid w:val="7B6B7888"/>
    <w:multiLevelType w:val="hybridMultilevel"/>
    <w:tmpl w:val="0226B4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42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42"/>
  </w:num>
  <w:num w:numId="3">
    <w:abstractNumId w:val="24"/>
  </w:num>
  <w:num w:numId="4">
    <w:abstractNumId w:val="34"/>
  </w:num>
  <w:num w:numId="5">
    <w:abstractNumId w:val="15"/>
  </w:num>
  <w:num w:numId="6">
    <w:abstractNumId w:val="22"/>
  </w:num>
  <w:num w:numId="7">
    <w:abstractNumId w:val="16"/>
  </w:num>
  <w:num w:numId="8">
    <w:abstractNumId w:val="26"/>
  </w:num>
  <w:num w:numId="9">
    <w:abstractNumId w:val="20"/>
  </w:num>
  <w:num w:numId="10">
    <w:abstractNumId w:val="18"/>
  </w:num>
  <w:num w:numId="11">
    <w:abstractNumId w:val="32"/>
  </w:num>
  <w:num w:numId="12">
    <w:abstractNumId w:val="10"/>
  </w:num>
  <w:num w:numId="13">
    <w:abstractNumId w:val="23"/>
  </w:num>
  <w:num w:numId="14">
    <w:abstractNumId w:val="38"/>
  </w:num>
  <w:num w:numId="15">
    <w:abstractNumId w:val="17"/>
  </w:num>
  <w:num w:numId="16">
    <w:abstractNumId w:val="21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31"/>
  </w:num>
  <w:num w:numId="28">
    <w:abstractNumId w:val="11"/>
  </w:num>
  <w:num w:numId="29">
    <w:abstractNumId w:val="37"/>
  </w:num>
  <w:num w:numId="30">
    <w:abstractNumId w:val="36"/>
  </w:num>
  <w:num w:numId="31">
    <w:abstractNumId w:val="12"/>
  </w:num>
  <w:num w:numId="32">
    <w:abstractNumId w:val="35"/>
  </w:num>
  <w:num w:numId="33">
    <w:abstractNumId w:val="41"/>
  </w:num>
  <w:num w:numId="34">
    <w:abstractNumId w:val="14"/>
  </w:num>
  <w:num w:numId="35">
    <w:abstractNumId w:val="28"/>
  </w:num>
  <w:num w:numId="36">
    <w:abstractNumId w:val="29"/>
  </w:num>
  <w:num w:numId="37">
    <w:abstractNumId w:val="39"/>
  </w:num>
  <w:num w:numId="38">
    <w:abstractNumId w:val="19"/>
  </w:num>
  <w:num w:numId="39">
    <w:abstractNumId w:val="12"/>
  </w:num>
  <w:num w:numId="40">
    <w:abstractNumId w:val="35"/>
  </w:num>
  <w:num w:numId="41">
    <w:abstractNumId w:val="41"/>
  </w:num>
  <w:num w:numId="42">
    <w:abstractNumId w:val="14"/>
  </w:num>
  <w:num w:numId="43">
    <w:abstractNumId w:val="28"/>
  </w:num>
  <w:num w:numId="44">
    <w:abstractNumId w:val="19"/>
  </w:num>
  <w:num w:numId="45">
    <w:abstractNumId w:val="30"/>
  </w:num>
  <w:num w:numId="46">
    <w:abstractNumId w:val="13"/>
  </w:num>
  <w:num w:numId="47">
    <w:abstractNumId w:val="27"/>
  </w:num>
  <w:num w:numId="48">
    <w:abstractNumId w:val="33"/>
  </w:num>
  <w:num w:numId="49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B18"/>
    <w:rsid w:val="00002465"/>
    <w:rsid w:val="000048B5"/>
    <w:rsid w:val="000104BD"/>
    <w:rsid w:val="0001212F"/>
    <w:rsid w:val="000135F6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874E4"/>
    <w:rsid w:val="00095554"/>
    <w:rsid w:val="000A64C1"/>
    <w:rsid w:val="000A7240"/>
    <w:rsid w:val="000B5E64"/>
    <w:rsid w:val="000C3C25"/>
    <w:rsid w:val="000C6ECA"/>
    <w:rsid w:val="000D4A00"/>
    <w:rsid w:val="000D6C2E"/>
    <w:rsid w:val="000D7DA5"/>
    <w:rsid w:val="000E3612"/>
    <w:rsid w:val="0010269C"/>
    <w:rsid w:val="001112B8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A5CB4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7EE3"/>
    <w:rsid w:val="002250BE"/>
    <w:rsid w:val="00245849"/>
    <w:rsid w:val="00245D75"/>
    <w:rsid w:val="00251C3F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361C"/>
    <w:rsid w:val="002D5529"/>
    <w:rsid w:val="002D7217"/>
    <w:rsid w:val="002E1642"/>
    <w:rsid w:val="002E3CBE"/>
    <w:rsid w:val="002E5A73"/>
    <w:rsid w:val="002F1B0A"/>
    <w:rsid w:val="00310DDF"/>
    <w:rsid w:val="00314A52"/>
    <w:rsid w:val="00320A0D"/>
    <w:rsid w:val="00324304"/>
    <w:rsid w:val="00347DB6"/>
    <w:rsid w:val="003601B2"/>
    <w:rsid w:val="00362A7D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A4CE6"/>
    <w:rsid w:val="003B0A83"/>
    <w:rsid w:val="003B7252"/>
    <w:rsid w:val="003C6D9A"/>
    <w:rsid w:val="003E3693"/>
    <w:rsid w:val="003F432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95EEF"/>
    <w:rsid w:val="004A77F1"/>
    <w:rsid w:val="004C1599"/>
    <w:rsid w:val="004D3BAA"/>
    <w:rsid w:val="004D77E1"/>
    <w:rsid w:val="004E178E"/>
    <w:rsid w:val="004E577D"/>
    <w:rsid w:val="004F3BA0"/>
    <w:rsid w:val="004F6651"/>
    <w:rsid w:val="00525FDE"/>
    <w:rsid w:val="00526C7D"/>
    <w:rsid w:val="005359E9"/>
    <w:rsid w:val="00540C17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1408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B3E28"/>
    <w:rsid w:val="007C2038"/>
    <w:rsid w:val="007C49CE"/>
    <w:rsid w:val="007C595D"/>
    <w:rsid w:val="007F4C01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414EB"/>
    <w:rsid w:val="00A45F94"/>
    <w:rsid w:val="00A515F2"/>
    <w:rsid w:val="00A55596"/>
    <w:rsid w:val="00A65A51"/>
    <w:rsid w:val="00A7189B"/>
    <w:rsid w:val="00A71E92"/>
    <w:rsid w:val="00A74081"/>
    <w:rsid w:val="00A83967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5BBA"/>
    <w:rsid w:val="00B06CE2"/>
    <w:rsid w:val="00B070C6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26E2A"/>
    <w:rsid w:val="00C33C63"/>
    <w:rsid w:val="00C4012A"/>
    <w:rsid w:val="00C40691"/>
    <w:rsid w:val="00C458CF"/>
    <w:rsid w:val="00C47922"/>
    <w:rsid w:val="00C5424D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86575"/>
    <w:rsid w:val="00C96AE6"/>
    <w:rsid w:val="00C974A5"/>
    <w:rsid w:val="00CA0423"/>
    <w:rsid w:val="00CB6DF9"/>
    <w:rsid w:val="00CC23C9"/>
    <w:rsid w:val="00CD47BE"/>
    <w:rsid w:val="00D01387"/>
    <w:rsid w:val="00D02FA8"/>
    <w:rsid w:val="00D17948"/>
    <w:rsid w:val="00D22E8A"/>
    <w:rsid w:val="00D35ABB"/>
    <w:rsid w:val="00D37E35"/>
    <w:rsid w:val="00D40403"/>
    <w:rsid w:val="00D56B18"/>
    <w:rsid w:val="00D70B08"/>
    <w:rsid w:val="00D733B4"/>
    <w:rsid w:val="00D9579B"/>
    <w:rsid w:val="00DA34E9"/>
    <w:rsid w:val="00DB1BA5"/>
    <w:rsid w:val="00DB3060"/>
    <w:rsid w:val="00DD1C37"/>
    <w:rsid w:val="00DD4013"/>
    <w:rsid w:val="00DF04C7"/>
    <w:rsid w:val="00E002D3"/>
    <w:rsid w:val="00E106FE"/>
    <w:rsid w:val="00E30836"/>
    <w:rsid w:val="00E40C83"/>
    <w:rsid w:val="00E42A80"/>
    <w:rsid w:val="00E43CAF"/>
    <w:rsid w:val="00E6623A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D1B5C"/>
    <w:rsid w:val="00EE0CEC"/>
    <w:rsid w:val="00EE1757"/>
    <w:rsid w:val="00EE6F0B"/>
    <w:rsid w:val="00EF2518"/>
    <w:rsid w:val="00EF7DF7"/>
    <w:rsid w:val="00F11C19"/>
    <w:rsid w:val="00F345D8"/>
    <w:rsid w:val="00F35F35"/>
    <w:rsid w:val="00F448DD"/>
    <w:rsid w:val="00F617E1"/>
    <w:rsid w:val="00F62267"/>
    <w:rsid w:val="00F6362C"/>
    <w:rsid w:val="00F95F31"/>
    <w:rsid w:val="00FC2F19"/>
    <w:rsid w:val="00FC3318"/>
    <w:rsid w:val="00FD4CC6"/>
    <w:rsid w:val="00FE66AB"/>
    <w:rsid w:val="00FF3261"/>
    <w:rsid w:val="00FF38E4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5424D"/>
    <w:rPr>
      <w:rFonts w:ascii="Verdana" w:eastAsia="Times New Roman" w:hAnsi="Verdana" w:cs="Arial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color w:val="0000FF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eastAsia="Arial"/>
      <w:color w:val="0000FF"/>
      <w:spacing w:val="-2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eastAsia="MS Mincho" w:cs="Times New Roman"/>
      <w:color w:val="339966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eastAsia="Arial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eastAsia="Arial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eastAsia="Arial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eastAsia="Arial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eastAsia="Arial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5424D"/>
    <w:rPr>
      <w:rFonts w:ascii="Verdana" w:eastAsia="Times New Roman" w:hAnsi="Verdana" w:cs="Arial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color w:val="0000FF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eastAsia="Arial"/>
      <w:color w:val="0000FF"/>
      <w:spacing w:val="-2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eastAsia="MS Mincho" w:cs="Times New Roman"/>
      <w:color w:val="339966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eastAsia="Arial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eastAsia="Arial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eastAsia="Arial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eastAsia="Arial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eastAsia="Arial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E2433F-4F12-4D62-A61A-87AD27EBF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A8B55795.dotm</Template>
  <TotalTime>0</TotalTime>
  <Pages>1</Pages>
  <Words>375</Words>
  <Characters>2138</Characters>
  <Application>Microsoft Office Word</Application>
  <DocSecurity>0</DocSecurity>
  <Lines>17</Lines>
  <Paragraphs>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wmo</Company>
  <LinksUpToDate>false</LinksUpToDate>
  <CharactersWithSpaces>2508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Steve Foreman</cp:lastModifiedBy>
  <cp:revision>3</cp:revision>
  <cp:lastPrinted>2012-03-15T15:21:00Z</cp:lastPrinted>
  <dcterms:created xsi:type="dcterms:W3CDTF">2017-09-21T08:54:00Z</dcterms:created>
  <dcterms:modified xsi:type="dcterms:W3CDTF">2017-09-25T10:16:00Z</dcterms:modified>
</cp:coreProperties>
</file>