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14:paraId="46D2A596" w14:textId="77777777" w:rsidTr="00A805BE">
        <w:trPr>
          <w:trHeight w:val="282"/>
        </w:trPr>
        <w:tc>
          <w:tcPr>
            <w:tcW w:w="6487" w:type="dxa"/>
            <w:vMerge w:val="restart"/>
          </w:tcPr>
          <w:p w14:paraId="552802CC" w14:textId="77777777"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687A6FE9" wp14:editId="3C2429FE">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14:paraId="7B002199" w14:textId="77777777"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4F15F473" w14:textId="77777777"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14:paraId="184FC203" w14:textId="066DE5EF" w:rsidR="00993581" w:rsidRPr="000D4FA3" w:rsidRDefault="000D412F" w:rsidP="005D12E2">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1B3258FF072BA142A562A96605470899"/>
                </w:placeholder>
                <w:dataBinding w:prefixMappings="xmlns:ns0='http://purl.org/dc/elements/1.1/' xmlns:ns1='http://schemas.openxmlformats.org/package/2006/metadata/core-properties' " w:xpath="/ns1:coreProperties[1]/ns1:keywords[1]" w:storeItemID="{6C3C8BC8-F283-45AE-878A-BAB7291924A1}"/>
                <w:text/>
              </w:sdtPr>
              <w:sdtEndPr/>
              <w:sdtContent>
                <w:r w:rsidR="00BD6884">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6581D5A48F57B5408AD65411042A196F"/>
                </w:placeholder>
                <w:dataBinding w:prefixMappings="xmlns:ns0='http://purl.org/dc/elements/1.1/' xmlns:ns1='http://schemas.openxmlformats.org/package/2006/metadata/core-properties' " w:xpath="/ns1:coreProperties[1]/ns1:category[1]" w:storeItemID="{6C3C8BC8-F283-45AE-878A-BAB7291924A1}"/>
                <w:text/>
              </w:sdtPr>
              <w:sdtEndPr/>
              <w:sdtContent>
                <w:r w:rsidR="00E96983">
                  <w:rPr>
                    <w:rFonts w:cs="Tahoma"/>
                    <w:b/>
                    <w:bCs/>
                    <w:color w:val="365F91" w:themeColor="accent1" w:themeShade="BF"/>
                    <w:szCs w:val="22"/>
                  </w:rPr>
                  <w:t>Doc. 9.3</w:t>
                </w:r>
                <w:r w:rsidR="006B1C72">
                  <w:rPr>
                    <w:rFonts w:cs="Tahoma"/>
                    <w:b/>
                    <w:bCs/>
                    <w:color w:val="365F91" w:themeColor="accent1" w:themeShade="BF"/>
                    <w:szCs w:val="22"/>
                  </w:rPr>
                  <w:t>(1)</w:t>
                </w:r>
              </w:sdtContent>
            </w:sdt>
            <w:r w:rsidR="000D4FA3" w:rsidRPr="000D4FA3">
              <w:rPr>
                <w:rFonts w:cs="Tahoma"/>
                <w:b/>
                <w:bCs/>
                <w:color w:val="365F91" w:themeColor="accent1" w:themeShade="BF"/>
                <w:szCs w:val="22"/>
                <w:lang w:val="en-US"/>
              </w:rPr>
              <w:t xml:space="preserve"> </w:t>
            </w:r>
          </w:p>
        </w:tc>
      </w:tr>
      <w:tr w:rsidR="00993581" w:rsidRPr="00BD6884" w14:paraId="029979D9" w14:textId="77777777" w:rsidTr="00A805BE">
        <w:trPr>
          <w:trHeight w:val="730"/>
        </w:trPr>
        <w:tc>
          <w:tcPr>
            <w:tcW w:w="6487" w:type="dxa"/>
            <w:vMerge/>
          </w:tcPr>
          <w:p w14:paraId="1A2743AF" w14:textId="77777777" w:rsidR="00993581" w:rsidRPr="000D4FA3" w:rsidRDefault="00993581" w:rsidP="00110703">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14:paraId="6F5C6265" w14:textId="569E7EC6"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E96983">
              <w:rPr>
                <w:rFonts w:cs="Tahoma"/>
                <w:color w:val="365F91" w:themeColor="accent1" w:themeShade="BF"/>
                <w:szCs w:val="22"/>
              </w:rPr>
              <w:t>Chair TT-ATG (J. Tandy)</w:t>
            </w:r>
          </w:p>
          <w:p w14:paraId="4637A404" w14:textId="7A39792C" w:rsidR="00993581" w:rsidRPr="00621ECC" w:rsidRDefault="002924C1" w:rsidP="002924C1">
            <w:pPr>
              <w:tabs>
                <w:tab w:val="clear" w:pos="1134"/>
              </w:tabs>
              <w:spacing w:after="60"/>
              <w:ind w:right="-108"/>
              <w:jc w:val="right"/>
              <w:rPr>
                <w:rFonts w:cs="Tahoma"/>
                <w:color w:val="365F91" w:themeColor="accent1" w:themeShade="BF"/>
                <w:szCs w:val="22"/>
                <w:lang w:val="en-US"/>
              </w:rPr>
            </w:pPr>
            <w:bookmarkStart w:id="0" w:name="_GoBack"/>
            <w:bookmarkEnd w:id="0"/>
            <w:r w:rsidRPr="00621ECC">
              <w:rPr>
                <w:rFonts w:cs="Tahoma"/>
                <w:color w:val="365F91" w:themeColor="accent1" w:themeShade="BF"/>
                <w:szCs w:val="22"/>
                <w:lang w:val="en-US"/>
              </w:rPr>
              <w:t>2</w:t>
            </w:r>
            <w:r w:rsidR="00E96983">
              <w:rPr>
                <w:rFonts w:cs="Tahoma"/>
                <w:color w:val="365F91" w:themeColor="accent1" w:themeShade="BF"/>
                <w:szCs w:val="22"/>
                <w:lang w:val="en-US"/>
              </w:rPr>
              <w:t>3</w:t>
            </w:r>
            <w:r w:rsidR="000D4FA3" w:rsidRPr="00621ECC">
              <w:rPr>
                <w:rFonts w:cs="Tahoma"/>
                <w:color w:val="365F91" w:themeColor="accent1" w:themeShade="BF"/>
                <w:szCs w:val="22"/>
                <w:lang w:val="en-US"/>
              </w:rPr>
              <w:t>.</w:t>
            </w:r>
            <w:r w:rsidR="00E96983">
              <w:rPr>
                <w:rFonts w:cs="Tahoma"/>
                <w:color w:val="365F91" w:themeColor="accent1" w:themeShade="BF"/>
                <w:szCs w:val="22"/>
                <w:lang w:val="en-US"/>
              </w:rPr>
              <w:t>Feb</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80279B5B724F044CA5760BCD9BAC8B98"/>
              </w:placeholder>
              <w:dataBinding w:prefixMappings="xmlns:ns0='http://purl.org/dc/elements/1.1/' xmlns:ns1='http://schemas.openxmlformats.org/package/2006/metadata/core-properties' " w:xpath="/ns1:coreProperties[1]/ns1:contentStatus[1]" w:storeItemID="{6C3C8BC8-F283-45AE-878A-BAB7291924A1}"/>
              <w:text/>
            </w:sdtPr>
            <w:sdtEndPr/>
            <w:sdtContent>
              <w:p w14:paraId="5F9C19DF" w14:textId="32DB1059" w:rsidR="00993581" w:rsidRPr="00621ECC" w:rsidRDefault="000D4FA3" w:rsidP="007F7A40">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 xml:space="preserve">DRAFT </w:t>
                </w:r>
                <w:r w:rsidR="007F7A40">
                  <w:rPr>
                    <w:rFonts w:cs="Tahoma"/>
                    <w:b/>
                    <w:bCs/>
                    <w:color w:val="365F91" w:themeColor="accent1" w:themeShade="BF"/>
                    <w:szCs w:val="22"/>
                    <w:lang w:val="en-US"/>
                  </w:rPr>
                  <w:t>1</w:t>
                </w:r>
              </w:p>
            </w:sdtContent>
          </w:sdt>
        </w:tc>
      </w:tr>
    </w:tbl>
    <w:p w14:paraId="54E43AA5" w14:textId="77777777" w:rsidR="00583549" w:rsidRPr="00621ECC" w:rsidRDefault="00583549" w:rsidP="00B56934">
      <w:pPr>
        <w:pStyle w:val="Heading1"/>
        <w:rPr>
          <w:lang w:val="en-US"/>
        </w:rPr>
      </w:pPr>
      <w:bookmarkStart w:id="1" w:name="_APPENDIX_A:_"/>
      <w:bookmarkEnd w:id="1"/>
    </w:p>
    <w:p w14:paraId="52AAAA5A" w14:textId="0653FAE5" w:rsidR="00583549" w:rsidRPr="00583549" w:rsidRDefault="00E96983" w:rsidP="00583549">
      <w:pPr>
        <w:pStyle w:val="Heading1"/>
      </w:pPr>
      <w:r>
        <w:t>Approaches to technical governance</w:t>
      </w:r>
    </w:p>
    <w:p w14:paraId="78562A70" w14:textId="77777777" w:rsidR="00491766" w:rsidRDefault="00491766" w:rsidP="00491766">
      <w:pPr>
        <w:rPr>
          <w:lang w:eastAsia="zh-TW"/>
        </w:rPr>
      </w:pPr>
      <w:bookmarkStart w:id="2" w:name="_Draft_Decision_X.X.X(X)/1"/>
      <w:bookmarkStart w:id="3" w:name="_Toc319327009"/>
      <w:bookmarkEnd w:id="2"/>
    </w:p>
    <w:p w14:paraId="1CA71289" w14:textId="77777777" w:rsidR="00491766" w:rsidRPr="00491766" w:rsidRDefault="00491766" w:rsidP="00491766">
      <w:pPr>
        <w:pStyle w:val="Heading3"/>
        <w:snapToGrid w:val="0"/>
        <w:spacing w:after="120"/>
      </w:pPr>
      <w:r w:rsidRPr="00491766">
        <w:t>SUMMARY</w:t>
      </w:r>
    </w:p>
    <w:p w14:paraId="507ED162" w14:textId="68112046" w:rsidR="00491766" w:rsidRDefault="00491766" w:rsidP="00491766">
      <w:pPr>
        <w:snapToGrid w:val="0"/>
        <w:spacing w:after="120"/>
        <w:rPr>
          <w:lang w:val="en-US" w:eastAsia="zh-TW"/>
        </w:rPr>
      </w:pPr>
      <w:r w:rsidRPr="00BD6884">
        <w:rPr>
          <w:lang w:val="en-US" w:eastAsia="zh-TW"/>
        </w:rPr>
        <w:t xml:space="preserve">This document provides information on </w:t>
      </w:r>
      <w:r w:rsidR="00183F21">
        <w:rPr>
          <w:lang w:val="en-US" w:eastAsia="zh-TW"/>
        </w:rPr>
        <w:t xml:space="preserve">recommendations concerning the </w:t>
      </w:r>
      <w:r w:rsidR="0063065A">
        <w:rPr>
          <w:lang w:val="en-US" w:eastAsia="zh-TW"/>
        </w:rPr>
        <w:t xml:space="preserve">approaches to technical governance </w:t>
      </w:r>
      <w:r w:rsidR="00183F21">
        <w:rPr>
          <w:lang w:val="en-US" w:eastAsia="zh-TW"/>
        </w:rPr>
        <w:t>employed within CBS</w:t>
      </w:r>
      <w:r w:rsidR="0042748E">
        <w:rPr>
          <w:lang w:val="en-US" w:eastAsia="zh-TW"/>
        </w:rPr>
        <w:t>, prepared by the CBS Task Team on Approaches to Technical Governance</w:t>
      </w:r>
      <w:r w:rsidR="00EE7B77">
        <w:rPr>
          <w:lang w:val="en-US" w:eastAsia="zh-TW"/>
        </w:rPr>
        <w:t xml:space="preserve"> (TT-ATG)</w:t>
      </w:r>
      <w:r w:rsidR="00183F21">
        <w:rPr>
          <w:lang w:val="en-US" w:eastAsia="zh-TW"/>
        </w:rPr>
        <w:t>.</w:t>
      </w:r>
    </w:p>
    <w:p w14:paraId="5032D774" w14:textId="6DB4DEF8" w:rsidR="0042748E" w:rsidRPr="0042748E" w:rsidRDefault="0042748E" w:rsidP="0042748E">
      <w:pPr>
        <w:pStyle w:val="WMOBodyText"/>
        <w:rPr>
          <w:lang w:val="en-US"/>
        </w:rPr>
      </w:pPr>
      <w:r>
        <w:rPr>
          <w:lang w:val="en-US"/>
        </w:rPr>
        <w:t>In this context, technical governance is defined as the procedures and working arrangements relating to the management of change to and implementation of WMO Technical Regulations.</w:t>
      </w:r>
    </w:p>
    <w:p w14:paraId="2C337E9C" w14:textId="77777777" w:rsidR="002F5517" w:rsidRDefault="002F5517" w:rsidP="002F5517">
      <w:pPr>
        <w:pStyle w:val="Heading3"/>
        <w:snapToGrid w:val="0"/>
        <w:spacing w:after="120"/>
        <w:rPr>
          <w:b w:val="0"/>
          <w:bCs w:val="0"/>
        </w:rPr>
      </w:pPr>
      <w:r>
        <w:t>DECISIONS/ACTIONS REQUIRED</w:t>
      </w:r>
      <w:r>
        <w:rPr>
          <w:b w:val="0"/>
          <w:bCs w:val="0"/>
        </w:rPr>
        <w:t>: see part 1</w:t>
      </w:r>
    </w:p>
    <w:p w14:paraId="1954146C" w14:textId="78B12962" w:rsidR="00491766" w:rsidRDefault="00491766" w:rsidP="0042748E">
      <w:pPr>
        <w:pStyle w:val="Heading3"/>
        <w:snapToGrid w:val="0"/>
        <w:spacing w:after="120"/>
      </w:pPr>
      <w:r>
        <w:t>ISSUES TO BE DISCUSSED</w:t>
      </w:r>
      <w:r w:rsidRPr="002F5517">
        <w:rPr>
          <w:b w:val="0"/>
          <w:bCs w:val="0"/>
        </w:rPr>
        <w:t>: see part 2</w:t>
      </w:r>
    </w:p>
    <w:p w14:paraId="49A03A1E" w14:textId="77777777" w:rsidR="00491766" w:rsidRDefault="00491766" w:rsidP="00491766">
      <w:pPr>
        <w:pStyle w:val="Heading3"/>
        <w:snapToGrid w:val="0"/>
        <w:spacing w:after="120"/>
      </w:pPr>
      <w:r>
        <w:t>ANNEXES:</w:t>
      </w:r>
    </w:p>
    <w:p w14:paraId="22E2644C" w14:textId="69F1E328" w:rsidR="00491766" w:rsidRDefault="0042748E" w:rsidP="00606C01">
      <w:pPr>
        <w:pStyle w:val="ListParagraph"/>
        <w:numPr>
          <w:ilvl w:val="0"/>
          <w:numId w:val="2"/>
        </w:numPr>
        <w:snapToGrid w:val="0"/>
        <w:spacing w:after="120"/>
        <w:ind w:left="714" w:hanging="357"/>
        <w:contextualSpacing w:val="0"/>
        <w:rPr>
          <w:lang w:eastAsia="zh-TW"/>
        </w:rPr>
      </w:pPr>
      <w:r>
        <w:rPr>
          <w:lang w:eastAsia="zh-TW"/>
        </w:rPr>
        <w:t>Recommendations on approaches to technical governance within CBS (including its A</w:t>
      </w:r>
      <w:r w:rsidR="00A805BE">
        <w:rPr>
          <w:lang w:eastAsia="zh-TW"/>
        </w:rPr>
        <w:t>ppendices</w:t>
      </w:r>
      <w:r w:rsidR="00323CE3">
        <w:rPr>
          <w:lang w:eastAsia="zh-TW"/>
        </w:rPr>
        <w:t xml:space="preserve"> A, B, C and D</w:t>
      </w:r>
      <w:r>
        <w:rPr>
          <w:lang w:eastAsia="zh-TW"/>
        </w:rPr>
        <w:t xml:space="preserve">) </w:t>
      </w:r>
    </w:p>
    <w:p w14:paraId="2AC351AC" w14:textId="77777777" w:rsidR="00491766" w:rsidRDefault="00491766" w:rsidP="0042748E">
      <w:pPr>
        <w:snapToGrid w:val="0"/>
        <w:spacing w:after="120"/>
        <w:rPr>
          <w:lang w:eastAsia="zh-TW"/>
        </w:rPr>
      </w:pPr>
    </w:p>
    <w:p w14:paraId="222107DB" w14:textId="77777777" w:rsidR="00491766" w:rsidRDefault="00491766" w:rsidP="00491766">
      <w:pPr>
        <w:pStyle w:val="Heading1"/>
        <w:rPr>
          <w:b w:val="0"/>
          <w:bCs w:val="0"/>
        </w:rPr>
      </w:pPr>
      <w:bookmarkStart w:id="4" w:name="_APPENDIX_B:_"/>
      <w:bookmarkEnd w:id="4"/>
      <w:r>
        <w:rPr>
          <w:b w:val="0"/>
          <w:bCs w:val="0"/>
        </w:rPr>
        <w:t>__________</w:t>
      </w:r>
    </w:p>
    <w:p w14:paraId="68372443" w14:textId="77777777" w:rsidR="00491766" w:rsidRDefault="00491766" w:rsidP="00491766">
      <w:pPr>
        <w:pStyle w:val="Heading1"/>
      </w:pPr>
      <w:r>
        <w:rPr>
          <w:b w:val="0"/>
          <w:bCs w:val="0"/>
          <w:caps w:val="0"/>
        </w:rPr>
        <w:br w:type="page"/>
      </w:r>
    </w:p>
    <w:p w14:paraId="26771806" w14:textId="77777777" w:rsidR="00491766" w:rsidRDefault="00491766" w:rsidP="00606C01">
      <w:pPr>
        <w:pStyle w:val="WMOBodyText"/>
        <w:numPr>
          <w:ilvl w:val="0"/>
          <w:numId w:val="3"/>
        </w:numPr>
        <w:spacing w:before="0" w:after="360"/>
        <w:ind w:left="0" w:firstLine="0"/>
        <w:rPr>
          <w:b/>
          <w:bCs/>
        </w:rPr>
      </w:pPr>
      <w:r>
        <w:rPr>
          <w:b/>
          <w:bCs/>
        </w:rPr>
        <w:lastRenderedPageBreak/>
        <w:t>DECISIONS/ACTIONS REQUIRED</w:t>
      </w:r>
    </w:p>
    <w:p w14:paraId="302B8B59" w14:textId="118DA549" w:rsidR="00296FC5" w:rsidRPr="00296FC5" w:rsidRDefault="00491766" w:rsidP="00296FC5">
      <w:pPr>
        <w:snapToGrid w:val="0"/>
        <w:spacing w:before="120" w:after="240"/>
        <w:rPr>
          <w:szCs w:val="22"/>
        </w:rPr>
      </w:pPr>
      <w:r>
        <w:rPr>
          <w:b/>
          <w:szCs w:val="22"/>
        </w:rPr>
        <w:t xml:space="preserve">The </w:t>
      </w:r>
      <w:r w:rsidR="0042748E">
        <w:rPr>
          <w:b/>
          <w:szCs w:val="22"/>
        </w:rPr>
        <w:t>CBS Management Group</w:t>
      </w:r>
      <w:r>
        <w:rPr>
          <w:b/>
          <w:szCs w:val="22"/>
        </w:rPr>
        <w:t xml:space="preserve"> is invited to decide on the following</w:t>
      </w:r>
      <w:r>
        <w:rPr>
          <w:szCs w:val="22"/>
        </w:rPr>
        <w:t>:</w:t>
      </w:r>
    </w:p>
    <w:p w14:paraId="2DC4990F" w14:textId="6FA597F8" w:rsidR="0088593D" w:rsidRDefault="0088593D" w:rsidP="00606C01">
      <w:pPr>
        <w:pStyle w:val="BodyTextNumbered"/>
        <w:numPr>
          <w:ilvl w:val="0"/>
          <w:numId w:val="4"/>
        </w:numPr>
        <w:spacing w:before="0" w:after="0" w:line="360" w:lineRule="auto"/>
        <w:jc w:val="both"/>
      </w:pPr>
      <w:r>
        <w:t xml:space="preserve">That an appropriate working body is designated or established </w:t>
      </w:r>
      <w:r w:rsidR="00A4459E">
        <w:t>to implement those recommendations of TT-ATG accepted by the CBS MG.</w:t>
      </w:r>
    </w:p>
    <w:p w14:paraId="020A8DBB" w14:textId="3C54D4D2" w:rsidR="00296FC5" w:rsidRDefault="00296FC5" w:rsidP="00606C01">
      <w:pPr>
        <w:pStyle w:val="BodyTextNumbered"/>
        <w:numPr>
          <w:ilvl w:val="0"/>
          <w:numId w:val="4"/>
        </w:numPr>
        <w:spacing w:before="0" w:after="0" w:line="360" w:lineRule="auto"/>
        <w:jc w:val="both"/>
      </w:pPr>
      <w:r>
        <w:t xml:space="preserve">That the designated working body submits a plan for implementation of those recommendations to CBS MG for </w:t>
      </w:r>
      <w:r w:rsidR="00E806E6">
        <w:t xml:space="preserve">their </w:t>
      </w:r>
      <w:r>
        <w:t>approval by [</w:t>
      </w:r>
      <w:r w:rsidR="00E806E6">
        <w:rPr>
          <w:highlight w:val="yellow"/>
        </w:rPr>
        <w:t xml:space="preserve">date to </w:t>
      </w:r>
      <w:r w:rsidRPr="00296FC5">
        <w:rPr>
          <w:highlight w:val="yellow"/>
        </w:rPr>
        <w:t xml:space="preserve">be </w:t>
      </w:r>
      <w:r w:rsidR="00E806E6">
        <w:rPr>
          <w:highlight w:val="yellow"/>
        </w:rPr>
        <w:t>specified</w:t>
      </w:r>
      <w:r>
        <w:t>].</w:t>
      </w:r>
    </w:p>
    <w:p w14:paraId="6C6B538B" w14:textId="77777777" w:rsidR="00E34192" w:rsidRDefault="00E34192" w:rsidP="00296FC5">
      <w:pPr>
        <w:pStyle w:val="BodyTextNumbered"/>
        <w:numPr>
          <w:ilvl w:val="0"/>
          <w:numId w:val="0"/>
        </w:numPr>
        <w:spacing w:before="0" w:after="0" w:line="360" w:lineRule="auto"/>
        <w:jc w:val="both"/>
        <w:rPr>
          <w:b/>
        </w:rPr>
      </w:pPr>
    </w:p>
    <w:p w14:paraId="5314FA14" w14:textId="3E1D3CBB" w:rsidR="00491766" w:rsidRDefault="00E34192" w:rsidP="00296FC5">
      <w:pPr>
        <w:pStyle w:val="BodyTextNumbered"/>
        <w:numPr>
          <w:ilvl w:val="0"/>
          <w:numId w:val="0"/>
        </w:numPr>
        <w:spacing w:before="0" w:after="0" w:line="360" w:lineRule="auto"/>
        <w:jc w:val="both"/>
      </w:pPr>
      <w:r w:rsidRPr="006C25F8">
        <w:rPr>
          <w:b/>
        </w:rPr>
        <w:t xml:space="preserve">The </w:t>
      </w:r>
      <w:r>
        <w:rPr>
          <w:b/>
        </w:rPr>
        <w:t>CBS Management Group</w:t>
      </w:r>
      <w:r w:rsidRPr="006C25F8">
        <w:rPr>
          <w:b/>
        </w:rPr>
        <w:t xml:space="preserve"> is invited to make the following recommendations</w:t>
      </w:r>
      <w:r>
        <w:rPr>
          <w:b/>
        </w:rPr>
        <w:t>:</w:t>
      </w:r>
    </w:p>
    <w:p w14:paraId="37F4ABC3" w14:textId="77777777" w:rsidR="00CC013B" w:rsidRDefault="00CC013B" w:rsidP="00606C01">
      <w:pPr>
        <w:pStyle w:val="BodyTextNumbered"/>
        <w:numPr>
          <w:ilvl w:val="0"/>
          <w:numId w:val="41"/>
        </w:numPr>
        <w:spacing w:before="0" w:after="0" w:line="360" w:lineRule="auto"/>
        <w:jc w:val="both"/>
      </w:pPr>
      <w:r>
        <w:t>That a subset of the recommendations provided by TT-ATG be proposed to the Executive Council Working Group on Strategic and Operational Planning (EC WG SOP) as their application beyond CBS may provide benefit to the wider organisation, in particular:</w:t>
      </w:r>
    </w:p>
    <w:p w14:paraId="63DDA75A" w14:textId="317D9A6A" w:rsidR="004369A6" w:rsidRDefault="00CC013B" w:rsidP="00606C01">
      <w:pPr>
        <w:pStyle w:val="BodyTextNumbered"/>
        <w:numPr>
          <w:ilvl w:val="1"/>
          <w:numId w:val="5"/>
        </w:numPr>
        <w:spacing w:before="0" w:after="0" w:line="360" w:lineRule="auto"/>
        <w:jc w:val="both"/>
      </w:pPr>
      <w:r>
        <w:t xml:space="preserve">clarification of the role of technical commissions and regional associations </w:t>
      </w:r>
      <w:r w:rsidR="008B0D43">
        <w:t xml:space="preserve">in supporting Member’s implementation of Technical Regulations </w:t>
      </w:r>
      <w:r>
        <w:t xml:space="preserve">(recommendations 5 and 6); </w:t>
      </w:r>
    </w:p>
    <w:p w14:paraId="2268FAE3" w14:textId="118281B1" w:rsidR="008B0D43" w:rsidRDefault="008B0D43" w:rsidP="00606C01">
      <w:pPr>
        <w:pStyle w:val="BodyTextNumbered"/>
        <w:numPr>
          <w:ilvl w:val="1"/>
          <w:numId w:val="5"/>
        </w:numPr>
        <w:spacing w:before="0" w:after="0" w:line="360" w:lineRule="auto"/>
        <w:jc w:val="both"/>
      </w:pPr>
      <w:r>
        <w:t xml:space="preserve">establishing standard </w:t>
      </w:r>
      <w:r w:rsidR="00674B95">
        <w:t>approaches</w:t>
      </w:r>
      <w:r>
        <w:t xml:space="preserve"> within technical commissions and regional associations for work planning, prioritisation and budgeting in support of the WMO strategic plan (recommendations 11, 12, 14, 15, 16 and 20), noting that the Secretariat should play a key role in coordinating and collating the supporting information in a meaningful way to enable Executive Council to direct resources, and to monitor and evaluate progress etc.; and</w:t>
      </w:r>
    </w:p>
    <w:p w14:paraId="37F0EABC" w14:textId="36905535" w:rsidR="00E34192" w:rsidRDefault="008B0D43" w:rsidP="00606C01">
      <w:pPr>
        <w:pStyle w:val="BodyTextNumbered"/>
        <w:numPr>
          <w:ilvl w:val="1"/>
          <w:numId w:val="5"/>
        </w:numPr>
        <w:spacing w:before="0" w:after="0" w:line="360" w:lineRule="auto"/>
        <w:jc w:val="both"/>
      </w:pPr>
      <w:r>
        <w:t xml:space="preserve">increasing expert participation in the work of WMO </w:t>
      </w:r>
      <w:r w:rsidR="004B7104">
        <w:t>from outside the</w:t>
      </w:r>
      <w:r>
        <w:t xml:space="preserve"> NMHS </w:t>
      </w:r>
      <w:r w:rsidR="004B7104">
        <w:t xml:space="preserve">community (recommendations 23 – 31). </w:t>
      </w:r>
      <w:r>
        <w:t xml:space="preserve"> </w:t>
      </w:r>
    </w:p>
    <w:p w14:paraId="1ED38F78" w14:textId="77777777" w:rsidR="00491766" w:rsidRDefault="00491766" w:rsidP="00491766">
      <w:pPr>
        <w:pStyle w:val="BodyTextNumbered"/>
        <w:numPr>
          <w:ilvl w:val="0"/>
          <w:numId w:val="0"/>
        </w:numPr>
        <w:spacing w:line="360" w:lineRule="auto"/>
        <w:jc w:val="both"/>
        <w:rPr>
          <w:rFonts w:cs="Calibri"/>
          <w:b/>
          <w:bCs/>
          <w:color w:val="000000"/>
          <w:szCs w:val="20"/>
        </w:rPr>
      </w:pPr>
      <w:r>
        <w:rPr>
          <w:rFonts w:cs="Calibri"/>
          <w:b/>
          <w:bCs/>
          <w:color w:val="000000"/>
          <w:szCs w:val="20"/>
        </w:rPr>
        <w:t>2.</w:t>
      </w:r>
      <w:r>
        <w:rPr>
          <w:rFonts w:cs="Calibri"/>
          <w:b/>
          <w:bCs/>
          <w:color w:val="000000"/>
          <w:szCs w:val="20"/>
        </w:rPr>
        <w:tab/>
        <w:t>ISSUES TO BE DISCUSSED</w:t>
      </w:r>
    </w:p>
    <w:p w14:paraId="3533BF98" w14:textId="787D1D32" w:rsidR="00C04BD2" w:rsidRDefault="00E806E6" w:rsidP="00606C01">
      <w:pPr>
        <w:pStyle w:val="BodyTextNumbered"/>
        <w:numPr>
          <w:ilvl w:val="0"/>
          <w:numId w:val="42"/>
        </w:numPr>
        <w:spacing w:before="0" w:after="0" w:line="360" w:lineRule="auto"/>
        <w:jc w:val="both"/>
      </w:pPr>
      <w:r>
        <w:t>TT-ATG conclude that the technical governance within and affecting the Commission is broadly fit for purpose, but there are several areas where improvement can be made:</w:t>
      </w:r>
    </w:p>
    <w:p w14:paraId="34208A04" w14:textId="19BF693F" w:rsidR="00E806E6" w:rsidRDefault="00E806E6" w:rsidP="00606C01">
      <w:pPr>
        <w:pStyle w:val="BodyTextNumbered"/>
        <w:numPr>
          <w:ilvl w:val="1"/>
          <w:numId w:val="41"/>
        </w:numPr>
        <w:spacing w:before="0" w:after="0" w:line="360" w:lineRule="auto"/>
        <w:jc w:val="both"/>
      </w:pPr>
      <w:r>
        <w:t>Introducing and changing technical specifications.</w:t>
      </w:r>
    </w:p>
    <w:p w14:paraId="037E7634" w14:textId="50C7BD8B" w:rsidR="00E806E6" w:rsidRDefault="00E806E6" w:rsidP="00606C01">
      <w:pPr>
        <w:pStyle w:val="BodyTextNumbered"/>
        <w:numPr>
          <w:ilvl w:val="1"/>
          <w:numId w:val="41"/>
        </w:numPr>
        <w:spacing w:before="0" w:after="0" w:line="360" w:lineRule="auto"/>
        <w:jc w:val="both"/>
      </w:pPr>
      <w:r>
        <w:t>Planning and communications.</w:t>
      </w:r>
    </w:p>
    <w:p w14:paraId="1F986B9E" w14:textId="0CA5D421" w:rsidR="00E806E6" w:rsidRDefault="00E806E6" w:rsidP="00606C01">
      <w:pPr>
        <w:pStyle w:val="BodyTextNumbered"/>
        <w:numPr>
          <w:ilvl w:val="1"/>
          <w:numId w:val="41"/>
        </w:numPr>
        <w:spacing w:before="0" w:after="0" w:line="360" w:lineRule="auto"/>
        <w:jc w:val="both"/>
      </w:pPr>
      <w:r>
        <w:t>Resourcing working bodies of the commission.</w:t>
      </w:r>
    </w:p>
    <w:p w14:paraId="6AEBF0AD" w14:textId="4372FF02" w:rsidR="00E806E6" w:rsidRDefault="00EE7B77" w:rsidP="00606C01">
      <w:pPr>
        <w:pStyle w:val="BodyTextNumbered"/>
        <w:numPr>
          <w:ilvl w:val="0"/>
          <w:numId w:val="41"/>
        </w:numPr>
        <w:spacing w:before="0" w:after="0" w:line="360" w:lineRule="auto"/>
        <w:jc w:val="both"/>
      </w:pPr>
      <w:r>
        <w:t>31 recommendations addressing t</w:t>
      </w:r>
      <w:r w:rsidR="00E806E6">
        <w:t>hese areas</w:t>
      </w:r>
      <w:r>
        <w:t>, along with identification of the issues to be addressed and other supporting material,</w:t>
      </w:r>
      <w:r w:rsidR="00E806E6">
        <w:t xml:space="preserve"> </w:t>
      </w:r>
      <w:r>
        <w:t>are provided in Annex 1 for consideration.</w:t>
      </w:r>
    </w:p>
    <w:p w14:paraId="1D49EB42" w14:textId="77777777" w:rsidR="002E7D0E" w:rsidRDefault="002E7D0E" w:rsidP="00425CE4">
      <w:pPr>
        <w:pStyle w:val="WMOBodyText"/>
        <w:spacing w:before="0" w:after="120"/>
      </w:pPr>
    </w:p>
    <w:p w14:paraId="4AD638DC" w14:textId="77777777" w:rsidR="002E7D0E" w:rsidRPr="005D666D" w:rsidRDefault="002E7D0E" w:rsidP="00425CE4">
      <w:pPr>
        <w:pStyle w:val="WMOBodyText"/>
        <w:spacing w:before="0" w:after="120"/>
      </w:pPr>
    </w:p>
    <w:p w14:paraId="17502A97" w14:textId="77777777" w:rsidR="00864DBF" w:rsidRPr="005D666D" w:rsidRDefault="00864DBF" w:rsidP="00166B31">
      <w:pPr>
        <w:pStyle w:val="ECBodyText-Centred"/>
      </w:pPr>
      <w:r w:rsidRPr="005D666D">
        <w:t>__________</w:t>
      </w:r>
    </w:p>
    <w:p w14:paraId="797E8E16" w14:textId="77777777" w:rsidR="00864DBF" w:rsidRPr="005D666D" w:rsidRDefault="00864DBF" w:rsidP="00166B31">
      <w:pPr>
        <w:pStyle w:val="WMOBodyText"/>
      </w:pPr>
    </w:p>
    <w:p w14:paraId="071DDAC8" w14:textId="772BAE98" w:rsidR="00935E09" w:rsidRDefault="000D412F" w:rsidP="00935E09">
      <w:pPr>
        <w:jc w:val="left"/>
        <w:sectPr w:rsidR="00935E09" w:rsidSect="000212C2">
          <w:headerReference w:type="default" r:id="rId10"/>
          <w:headerReference w:type="first" r:id="rId11"/>
          <w:pgSz w:w="11907" w:h="16840" w:code="9"/>
          <w:pgMar w:top="1134" w:right="1134" w:bottom="1134" w:left="1134" w:header="1134" w:footer="1134" w:gutter="0"/>
          <w:cols w:space="720"/>
          <w:titlePg/>
          <w:docGrid w:linePitch="299"/>
        </w:sectPr>
      </w:pPr>
      <w:hyperlink w:anchor="_Annex_to_Draft" w:history="1">
        <w:r w:rsidR="00C04BD2" w:rsidRPr="005D666D">
          <w:rPr>
            <w:rStyle w:val="Hyperlink"/>
          </w:rPr>
          <w:t>Annex</w:t>
        </w:r>
        <w:r w:rsidR="001A341E" w:rsidRPr="005D666D">
          <w:rPr>
            <w:rStyle w:val="Hyperlink"/>
          </w:rPr>
          <w:t>:</w:t>
        </w:r>
        <w:r w:rsidR="00C04BD2" w:rsidRPr="005D666D">
          <w:rPr>
            <w:rStyle w:val="Hyperlink"/>
          </w:rPr>
          <w:t xml:space="preserve"> </w:t>
        </w:r>
        <w:r w:rsidR="00EE7B77">
          <w:rPr>
            <w:rStyle w:val="Hyperlink"/>
          </w:rPr>
          <w:t>1</w:t>
        </w:r>
      </w:hyperlink>
      <w:r w:rsidR="00C04BD2" w:rsidRPr="005D666D">
        <w:br w:type="page"/>
      </w:r>
    </w:p>
    <w:p w14:paraId="1F5ED6A4" w14:textId="77777777" w:rsidR="001A341E" w:rsidRPr="005D666D" w:rsidRDefault="001A341E" w:rsidP="00935E09">
      <w:pPr>
        <w:pStyle w:val="Heading2"/>
        <w:rPr>
          <w:caps/>
        </w:rPr>
      </w:pPr>
      <w:bookmarkStart w:id="5" w:name="_Annex_to_Draft"/>
      <w:bookmarkEnd w:id="5"/>
      <w:r w:rsidRPr="005D666D">
        <w:lastRenderedPageBreak/>
        <w:t xml:space="preserve">Annex </w:t>
      </w:r>
      <w:r w:rsidR="00935E09">
        <w:t>1</w:t>
      </w:r>
    </w:p>
    <w:p w14:paraId="145D1CF5" w14:textId="49E736D6" w:rsidR="001A341E" w:rsidRDefault="005173BE" w:rsidP="00475797">
      <w:pPr>
        <w:pStyle w:val="Heading3"/>
        <w:spacing w:after="480"/>
        <w:ind w:left="0" w:firstLine="0"/>
        <w:jc w:val="center"/>
        <w:rPr>
          <w:caps/>
          <w:noProof/>
        </w:rPr>
      </w:pPr>
      <w:bookmarkStart w:id="6" w:name="_ANNEX_TITLE"/>
      <w:bookmarkEnd w:id="6"/>
      <w:r>
        <w:rPr>
          <w:caps/>
          <w:noProof/>
        </w:rPr>
        <w:t>Recommendations on approaches to technical governance within CBS</w:t>
      </w:r>
    </w:p>
    <w:p w14:paraId="4BE0FAC5" w14:textId="77777777" w:rsidR="00110703" w:rsidRPr="00110703" w:rsidRDefault="00110703" w:rsidP="00110703">
      <w:pPr>
        <w:rPr>
          <w:lang w:eastAsia="zh-TW"/>
        </w:rPr>
      </w:pPr>
    </w:p>
    <w:p w14:paraId="56260853"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Table of contents</w:t>
      </w:r>
    </w:p>
    <w:p w14:paraId="0C1A45ED" w14:textId="77777777" w:rsidR="005173BE" w:rsidRPr="005173BE" w:rsidRDefault="005173BE" w:rsidP="005173BE">
      <w:pPr>
        <w:tabs>
          <w:tab w:val="clear" w:pos="1134"/>
        </w:tabs>
        <w:jc w:val="left"/>
        <w:rPr>
          <w:rFonts w:ascii="Calibri" w:eastAsia="Calibri" w:hAnsi="Calibri" w:cs="Times New Roman"/>
          <w:sz w:val="24"/>
          <w:szCs w:val="24"/>
        </w:rPr>
      </w:pPr>
    </w:p>
    <w:p w14:paraId="66F94C8B" w14:textId="77777777" w:rsidR="005173BE" w:rsidRPr="005173BE" w:rsidRDefault="005173BE" w:rsidP="005173BE">
      <w:pPr>
        <w:tabs>
          <w:tab w:val="clear" w:pos="1134"/>
        </w:tabs>
        <w:jc w:val="left"/>
        <w:rPr>
          <w:rFonts w:ascii="Calibri" w:eastAsia="Calibri" w:hAnsi="Calibri" w:cs="Times New Roman"/>
          <w:sz w:val="24"/>
          <w:szCs w:val="24"/>
        </w:rPr>
      </w:pPr>
      <w:r w:rsidRPr="005173BE">
        <w:rPr>
          <w:rFonts w:ascii="Calibri" w:eastAsia="Calibri" w:hAnsi="Calibri" w:cs="Times New Roman"/>
          <w:color w:val="2F5496"/>
          <w:sz w:val="24"/>
          <w:szCs w:val="24"/>
        </w:rPr>
        <w:t>Executive Summary</w:t>
      </w:r>
    </w:p>
    <w:p w14:paraId="04FA5A39" w14:textId="77777777" w:rsidR="005173BE" w:rsidRPr="005173BE" w:rsidRDefault="005173BE" w:rsidP="005173BE">
      <w:pPr>
        <w:tabs>
          <w:tab w:val="clear" w:pos="1134"/>
        </w:tabs>
        <w:jc w:val="left"/>
        <w:rPr>
          <w:rFonts w:ascii="Calibri" w:eastAsia="Calibri" w:hAnsi="Calibri" w:cs="Times New Roman"/>
          <w:sz w:val="24"/>
          <w:szCs w:val="24"/>
        </w:rPr>
      </w:pPr>
    </w:p>
    <w:p w14:paraId="1363FB80" w14:textId="77777777" w:rsidR="005173BE" w:rsidRPr="005173BE" w:rsidRDefault="005173BE" w:rsidP="005173BE">
      <w:pPr>
        <w:tabs>
          <w:tab w:val="clear" w:pos="1134"/>
        </w:tabs>
        <w:jc w:val="left"/>
        <w:rPr>
          <w:rFonts w:ascii="Calibri" w:eastAsia="Calibri" w:hAnsi="Calibri" w:cs="Times New Roman"/>
          <w:color w:val="4472C4"/>
          <w:sz w:val="24"/>
          <w:szCs w:val="24"/>
        </w:rPr>
      </w:pPr>
      <w:r w:rsidRPr="005173BE">
        <w:rPr>
          <w:rFonts w:ascii="Calibri" w:eastAsia="Calibri" w:hAnsi="Calibri" w:cs="Times New Roman"/>
          <w:color w:val="2F5496"/>
          <w:sz w:val="24"/>
          <w:szCs w:val="24"/>
        </w:rPr>
        <w:t>Section 1: Changing Technical Specifications</w:t>
      </w:r>
    </w:p>
    <w:p w14:paraId="7DB41937" w14:textId="246406B9" w:rsidR="005173BE" w:rsidRPr="005173BE" w:rsidRDefault="005173BE" w:rsidP="00110703">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Identification of issues</w:t>
      </w:r>
    </w:p>
    <w:p w14:paraId="01384A45" w14:textId="2C62B37C" w:rsidR="005173BE" w:rsidRPr="005173BE" w:rsidRDefault="005173BE" w:rsidP="00110703">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Recommendations on the introduction of experimental technical specifications</w:t>
      </w:r>
    </w:p>
    <w:p w14:paraId="6785F322" w14:textId="77777777" w:rsidR="005173BE" w:rsidRPr="005173BE" w:rsidRDefault="005173BE" w:rsidP="005173BE">
      <w:pPr>
        <w:tabs>
          <w:tab w:val="clear" w:pos="1134"/>
        </w:tabs>
        <w:jc w:val="left"/>
        <w:rPr>
          <w:rFonts w:ascii="Calibri" w:eastAsia="Calibri" w:hAnsi="Calibri" w:cs="Times New Roman"/>
          <w:sz w:val="24"/>
          <w:szCs w:val="24"/>
        </w:rPr>
      </w:pPr>
    </w:p>
    <w:p w14:paraId="18CD56CB" w14:textId="77777777" w:rsidR="005173BE" w:rsidRPr="005173BE" w:rsidRDefault="005173BE" w:rsidP="005173BE">
      <w:pPr>
        <w:tabs>
          <w:tab w:val="clear" w:pos="1134"/>
        </w:tabs>
        <w:jc w:val="left"/>
        <w:rPr>
          <w:rFonts w:ascii="Calibri" w:eastAsia="Calibri" w:hAnsi="Calibri" w:cs="Times New Roman"/>
          <w:sz w:val="24"/>
          <w:szCs w:val="24"/>
        </w:rPr>
      </w:pPr>
      <w:r w:rsidRPr="005173BE">
        <w:rPr>
          <w:rFonts w:ascii="Calibri" w:eastAsia="Calibri" w:hAnsi="Calibri" w:cs="Times New Roman"/>
          <w:color w:val="2F5496"/>
          <w:sz w:val="24"/>
          <w:szCs w:val="24"/>
        </w:rPr>
        <w:t>Section 2: Planning and Communications</w:t>
      </w:r>
    </w:p>
    <w:p w14:paraId="188756DB" w14:textId="77777777" w:rsidR="005173BE" w:rsidRPr="005173BE" w:rsidRDefault="005173BE" w:rsidP="005173BE">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Identification of issues</w:t>
      </w:r>
    </w:p>
    <w:p w14:paraId="1B1BD060" w14:textId="618C7270" w:rsidR="005173BE" w:rsidRPr="005173BE" w:rsidRDefault="005173BE" w:rsidP="00110703">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Recommendations on a CBS work plan</w:t>
      </w:r>
    </w:p>
    <w:p w14:paraId="1515AAED" w14:textId="77777777" w:rsidR="005173BE" w:rsidRPr="005173BE" w:rsidRDefault="005173BE" w:rsidP="005173BE">
      <w:pPr>
        <w:tabs>
          <w:tab w:val="clear" w:pos="1134"/>
        </w:tabs>
        <w:jc w:val="left"/>
        <w:rPr>
          <w:rFonts w:ascii="Calibri" w:eastAsia="Calibri" w:hAnsi="Calibri" w:cs="Times New Roman"/>
          <w:sz w:val="24"/>
          <w:szCs w:val="24"/>
        </w:rPr>
      </w:pPr>
    </w:p>
    <w:p w14:paraId="7B4AF47A" w14:textId="77777777" w:rsidR="005173BE" w:rsidRPr="00A805BE" w:rsidRDefault="005173BE" w:rsidP="005173BE">
      <w:pPr>
        <w:tabs>
          <w:tab w:val="clear" w:pos="1134"/>
        </w:tabs>
        <w:jc w:val="left"/>
        <w:rPr>
          <w:rFonts w:ascii="Calibri" w:eastAsia="Calibri" w:hAnsi="Calibri" w:cs="Times New Roman"/>
          <w:color w:val="2F5496"/>
          <w:sz w:val="24"/>
          <w:szCs w:val="24"/>
        </w:rPr>
      </w:pPr>
      <w:r w:rsidRPr="00A805BE">
        <w:rPr>
          <w:rFonts w:ascii="Calibri" w:eastAsia="Calibri" w:hAnsi="Calibri" w:cs="Times New Roman"/>
          <w:color w:val="2F5496"/>
          <w:sz w:val="24"/>
          <w:szCs w:val="24"/>
        </w:rPr>
        <w:t>Section 3: Resourcing Working Bodies of the Commission</w:t>
      </w:r>
    </w:p>
    <w:p w14:paraId="0591D6DF" w14:textId="640F1D15" w:rsidR="005173BE" w:rsidRPr="005173BE" w:rsidRDefault="005173BE" w:rsidP="00110703">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Identification of issues</w:t>
      </w:r>
    </w:p>
    <w:p w14:paraId="46ECE7E0" w14:textId="32DBAC23" w:rsidR="005173BE" w:rsidRPr="005173BE" w:rsidRDefault="005173BE" w:rsidP="00110703">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Recommendations on a CBS Expert Database</w:t>
      </w:r>
    </w:p>
    <w:p w14:paraId="0988656E" w14:textId="77777777" w:rsidR="005173BE" w:rsidRPr="005173BE" w:rsidRDefault="005173BE" w:rsidP="005173BE">
      <w:pPr>
        <w:tabs>
          <w:tab w:val="clear" w:pos="1134"/>
        </w:tabs>
        <w:jc w:val="left"/>
        <w:rPr>
          <w:rFonts w:ascii="Calibri" w:eastAsia="Calibri" w:hAnsi="Calibri" w:cs="Times New Roman"/>
          <w:sz w:val="24"/>
          <w:szCs w:val="24"/>
        </w:rPr>
      </w:pPr>
    </w:p>
    <w:p w14:paraId="50A7D366" w14:textId="77777777" w:rsidR="005173BE" w:rsidRPr="005173BE" w:rsidRDefault="005173BE" w:rsidP="005173BE">
      <w:pPr>
        <w:tabs>
          <w:tab w:val="clear" w:pos="1134"/>
        </w:tabs>
        <w:jc w:val="left"/>
        <w:rPr>
          <w:rFonts w:ascii="Calibri" w:eastAsia="Calibri" w:hAnsi="Calibri" w:cs="Times New Roman"/>
          <w:color w:val="4472C4"/>
          <w:sz w:val="24"/>
          <w:szCs w:val="24"/>
        </w:rPr>
      </w:pPr>
      <w:r w:rsidRPr="005173BE">
        <w:rPr>
          <w:rFonts w:ascii="Calibri" w:eastAsia="Calibri" w:hAnsi="Calibri" w:cs="Times New Roman"/>
          <w:color w:val="2F5496"/>
          <w:sz w:val="24"/>
          <w:szCs w:val="24"/>
        </w:rPr>
        <w:t>Section 4: Supporting Information</w:t>
      </w:r>
    </w:p>
    <w:p w14:paraId="5165D0DC" w14:textId="306777B5" w:rsidR="005173BE" w:rsidRPr="005173BE" w:rsidRDefault="005173BE" w:rsidP="00110703">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Assessment of existing WMO technical governance framework</w:t>
      </w:r>
    </w:p>
    <w:p w14:paraId="4A0A7BD6" w14:textId="0C682F0D" w:rsidR="005173BE" w:rsidRPr="005173BE" w:rsidRDefault="005173BE" w:rsidP="00110703">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Relevant resolutions and decisions</w:t>
      </w:r>
    </w:p>
    <w:p w14:paraId="0F3D9A82" w14:textId="13E1C677" w:rsidR="005173BE" w:rsidRPr="005173BE" w:rsidRDefault="005173BE" w:rsidP="00110703">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Glossary of terms</w:t>
      </w:r>
    </w:p>
    <w:p w14:paraId="495D37EE" w14:textId="77777777" w:rsidR="005173BE" w:rsidRPr="005173BE" w:rsidRDefault="005173BE" w:rsidP="005173BE">
      <w:pPr>
        <w:tabs>
          <w:tab w:val="clear" w:pos="1134"/>
        </w:tabs>
        <w:ind w:firstLine="720"/>
        <w:jc w:val="left"/>
        <w:rPr>
          <w:rFonts w:ascii="Calibri" w:eastAsia="Calibri" w:hAnsi="Calibri" w:cs="Times New Roman"/>
          <w:sz w:val="24"/>
          <w:szCs w:val="24"/>
        </w:rPr>
      </w:pPr>
      <w:r w:rsidRPr="005173BE">
        <w:rPr>
          <w:rFonts w:ascii="Calibri" w:eastAsia="Calibri" w:hAnsi="Calibri" w:cs="Times New Roman"/>
          <w:sz w:val="24"/>
          <w:szCs w:val="24"/>
        </w:rPr>
        <w:t>Examples illustrating issues</w:t>
      </w:r>
    </w:p>
    <w:p w14:paraId="183782F9" w14:textId="77777777" w:rsidR="005173BE" w:rsidRDefault="005173BE" w:rsidP="005173BE">
      <w:pPr>
        <w:tabs>
          <w:tab w:val="clear" w:pos="1134"/>
        </w:tabs>
        <w:jc w:val="left"/>
        <w:rPr>
          <w:rFonts w:ascii="Calibri" w:eastAsia="Calibri" w:hAnsi="Calibri" w:cs="Times New Roman"/>
          <w:sz w:val="24"/>
          <w:szCs w:val="24"/>
        </w:rPr>
      </w:pPr>
    </w:p>
    <w:p w14:paraId="44E24CA5" w14:textId="3EB1F70B" w:rsidR="00A805BE" w:rsidRPr="005173BE" w:rsidRDefault="00A805BE" w:rsidP="00A805BE">
      <w:pPr>
        <w:tabs>
          <w:tab w:val="clear" w:pos="1134"/>
        </w:tabs>
        <w:jc w:val="left"/>
        <w:rPr>
          <w:rFonts w:ascii="Calibri" w:eastAsia="Calibri" w:hAnsi="Calibri" w:cs="Times New Roman"/>
          <w:color w:val="4472C4"/>
          <w:sz w:val="24"/>
          <w:szCs w:val="24"/>
        </w:rPr>
      </w:pPr>
      <w:r>
        <w:rPr>
          <w:rFonts w:ascii="Calibri" w:eastAsia="Calibri" w:hAnsi="Calibri" w:cs="Times New Roman"/>
          <w:color w:val="2F5496"/>
          <w:sz w:val="24"/>
          <w:szCs w:val="24"/>
        </w:rPr>
        <w:t>Appendix A</w:t>
      </w:r>
      <w:r w:rsidRPr="005173BE">
        <w:rPr>
          <w:rFonts w:ascii="Calibri" w:eastAsia="Calibri" w:hAnsi="Calibri" w:cs="Times New Roman"/>
          <w:color w:val="2F5496"/>
          <w:sz w:val="24"/>
          <w:szCs w:val="24"/>
        </w:rPr>
        <w:t xml:space="preserve">: </w:t>
      </w:r>
      <w:r w:rsidRPr="00A805BE">
        <w:rPr>
          <w:rFonts w:ascii="Calibri" w:eastAsia="Calibri" w:hAnsi="Calibri" w:cs="Times New Roman"/>
          <w:color w:val="2F5496"/>
          <w:sz w:val="24"/>
          <w:szCs w:val="24"/>
        </w:rPr>
        <w:t>Participants of CBS Task Team on Approaches to Technical Governance</w:t>
      </w:r>
    </w:p>
    <w:p w14:paraId="5BD277AA" w14:textId="77777777" w:rsidR="00A805BE" w:rsidRDefault="00A805BE" w:rsidP="00A805BE">
      <w:pPr>
        <w:tabs>
          <w:tab w:val="clear" w:pos="1134"/>
        </w:tabs>
        <w:jc w:val="left"/>
        <w:rPr>
          <w:rFonts w:ascii="Calibri" w:eastAsia="Calibri" w:hAnsi="Calibri" w:cs="Times New Roman"/>
          <w:sz w:val="24"/>
          <w:szCs w:val="24"/>
        </w:rPr>
      </w:pPr>
    </w:p>
    <w:p w14:paraId="6514185B" w14:textId="57BBA57C" w:rsidR="00A805BE" w:rsidRPr="005173BE" w:rsidRDefault="00A805BE" w:rsidP="00A805BE">
      <w:pPr>
        <w:tabs>
          <w:tab w:val="clear" w:pos="1134"/>
        </w:tabs>
        <w:jc w:val="left"/>
        <w:rPr>
          <w:rFonts w:ascii="Calibri" w:eastAsia="Calibri" w:hAnsi="Calibri" w:cs="Times New Roman"/>
          <w:color w:val="4472C4"/>
          <w:sz w:val="24"/>
          <w:szCs w:val="24"/>
        </w:rPr>
      </w:pPr>
      <w:r>
        <w:rPr>
          <w:rFonts w:ascii="Calibri" w:eastAsia="Calibri" w:hAnsi="Calibri" w:cs="Times New Roman"/>
          <w:color w:val="2F5496"/>
          <w:sz w:val="24"/>
          <w:szCs w:val="24"/>
        </w:rPr>
        <w:t>Appendix B</w:t>
      </w:r>
      <w:r w:rsidRPr="005173BE">
        <w:rPr>
          <w:rFonts w:ascii="Calibri" w:eastAsia="Calibri" w:hAnsi="Calibri" w:cs="Times New Roman"/>
          <w:color w:val="2F5496"/>
          <w:sz w:val="24"/>
          <w:szCs w:val="24"/>
        </w:rPr>
        <w:t xml:space="preserve">: </w:t>
      </w:r>
      <w:r w:rsidRPr="00A805BE">
        <w:rPr>
          <w:rFonts w:ascii="Calibri" w:eastAsia="Calibri" w:hAnsi="Calibri" w:cs="Times New Roman"/>
          <w:color w:val="2F5496"/>
          <w:sz w:val="24"/>
          <w:szCs w:val="24"/>
        </w:rPr>
        <w:t>Terms of Reference for CBS Task Team on Approaches to Technical Governance</w:t>
      </w:r>
    </w:p>
    <w:p w14:paraId="344595DE" w14:textId="77777777" w:rsidR="00A805BE" w:rsidRDefault="00A805BE" w:rsidP="00A805BE">
      <w:pPr>
        <w:tabs>
          <w:tab w:val="clear" w:pos="1134"/>
        </w:tabs>
        <w:jc w:val="left"/>
        <w:rPr>
          <w:rFonts w:ascii="Calibri" w:eastAsia="Calibri" w:hAnsi="Calibri" w:cs="Times New Roman"/>
          <w:sz w:val="24"/>
          <w:szCs w:val="24"/>
        </w:rPr>
      </w:pPr>
    </w:p>
    <w:p w14:paraId="7F3BF020" w14:textId="0BCF64DE" w:rsidR="00A805BE" w:rsidRPr="005173BE" w:rsidRDefault="00A805BE" w:rsidP="00A805BE">
      <w:pPr>
        <w:tabs>
          <w:tab w:val="clear" w:pos="1134"/>
        </w:tabs>
        <w:jc w:val="left"/>
        <w:rPr>
          <w:rFonts w:ascii="Calibri" w:eastAsia="Calibri" w:hAnsi="Calibri" w:cs="Times New Roman"/>
          <w:color w:val="4472C4"/>
          <w:sz w:val="24"/>
          <w:szCs w:val="24"/>
        </w:rPr>
      </w:pPr>
      <w:r>
        <w:rPr>
          <w:rFonts w:ascii="Calibri" w:eastAsia="Calibri" w:hAnsi="Calibri" w:cs="Times New Roman"/>
          <w:color w:val="2F5496"/>
          <w:sz w:val="24"/>
          <w:szCs w:val="24"/>
        </w:rPr>
        <w:t>Appendix C</w:t>
      </w:r>
      <w:r w:rsidRPr="005173BE">
        <w:rPr>
          <w:rFonts w:ascii="Calibri" w:eastAsia="Calibri" w:hAnsi="Calibri" w:cs="Times New Roman"/>
          <w:color w:val="2F5496"/>
          <w:sz w:val="24"/>
          <w:szCs w:val="24"/>
        </w:rPr>
        <w:t xml:space="preserve">: </w:t>
      </w:r>
      <w:r w:rsidRPr="00A805BE">
        <w:rPr>
          <w:rFonts w:ascii="Calibri" w:eastAsia="Calibri" w:hAnsi="Calibri" w:cs="Times New Roman"/>
          <w:color w:val="2F5496"/>
          <w:sz w:val="24"/>
          <w:szCs w:val="24"/>
        </w:rPr>
        <w:t>Assessment of existing WMO governance framework</w:t>
      </w:r>
    </w:p>
    <w:p w14:paraId="3977F4DC" w14:textId="6C93342C" w:rsidR="00A805BE" w:rsidRPr="005173BE" w:rsidRDefault="00A805BE" w:rsidP="00A805BE">
      <w:pPr>
        <w:tabs>
          <w:tab w:val="clear" w:pos="1134"/>
        </w:tabs>
        <w:ind w:firstLine="720"/>
        <w:jc w:val="left"/>
        <w:rPr>
          <w:rFonts w:ascii="Calibri" w:eastAsia="Calibri" w:hAnsi="Calibri" w:cs="Times New Roman"/>
          <w:sz w:val="24"/>
          <w:szCs w:val="24"/>
        </w:rPr>
      </w:pPr>
    </w:p>
    <w:p w14:paraId="49F971DD" w14:textId="259389A6" w:rsidR="00A805BE" w:rsidRPr="005173BE" w:rsidRDefault="00A805BE" w:rsidP="00A805BE">
      <w:pPr>
        <w:tabs>
          <w:tab w:val="clear" w:pos="1134"/>
        </w:tabs>
        <w:jc w:val="left"/>
        <w:rPr>
          <w:rFonts w:ascii="Calibri" w:eastAsia="Calibri" w:hAnsi="Calibri" w:cs="Times New Roman"/>
          <w:color w:val="4472C4"/>
          <w:sz w:val="24"/>
          <w:szCs w:val="24"/>
        </w:rPr>
      </w:pPr>
      <w:r>
        <w:rPr>
          <w:rFonts w:ascii="Calibri" w:eastAsia="Calibri" w:hAnsi="Calibri" w:cs="Times New Roman"/>
          <w:color w:val="2F5496"/>
          <w:sz w:val="24"/>
          <w:szCs w:val="24"/>
        </w:rPr>
        <w:t>Appendix D</w:t>
      </w:r>
      <w:r w:rsidRPr="005173BE">
        <w:rPr>
          <w:rFonts w:ascii="Calibri" w:eastAsia="Calibri" w:hAnsi="Calibri" w:cs="Times New Roman"/>
          <w:color w:val="2F5496"/>
          <w:sz w:val="24"/>
          <w:szCs w:val="24"/>
        </w:rPr>
        <w:t xml:space="preserve">: </w:t>
      </w:r>
      <w:r w:rsidRPr="00A805BE">
        <w:rPr>
          <w:rFonts w:ascii="Calibri" w:eastAsia="Calibri" w:hAnsi="Calibri" w:cs="Times New Roman"/>
          <w:color w:val="2F5496"/>
          <w:sz w:val="24"/>
          <w:szCs w:val="24"/>
        </w:rPr>
        <w:t>Examples supporting the issues</w:t>
      </w:r>
    </w:p>
    <w:p w14:paraId="0192123E" w14:textId="6645639C" w:rsidR="00A805BE" w:rsidRPr="005173BE" w:rsidRDefault="00A805BE" w:rsidP="00A805BE">
      <w:pPr>
        <w:tabs>
          <w:tab w:val="clear" w:pos="1134"/>
        </w:tabs>
        <w:ind w:firstLine="720"/>
        <w:jc w:val="left"/>
        <w:rPr>
          <w:rFonts w:ascii="Calibri" w:eastAsia="Calibri" w:hAnsi="Calibri" w:cs="Times New Roman"/>
          <w:sz w:val="24"/>
          <w:szCs w:val="24"/>
        </w:rPr>
      </w:pPr>
    </w:p>
    <w:p w14:paraId="420E97CC" w14:textId="77777777" w:rsidR="00A805BE" w:rsidRPr="00A805BE" w:rsidRDefault="00A805BE" w:rsidP="00A805BE">
      <w:pPr>
        <w:pStyle w:val="WMOBodyText"/>
        <w:rPr>
          <w:lang w:eastAsia="en-US"/>
        </w:rPr>
      </w:pPr>
    </w:p>
    <w:p w14:paraId="24A8584F" w14:textId="77777777" w:rsidR="005173BE" w:rsidRPr="005173BE" w:rsidRDefault="005173BE" w:rsidP="005173BE">
      <w:pPr>
        <w:tabs>
          <w:tab w:val="clear" w:pos="1134"/>
        </w:tabs>
        <w:jc w:val="left"/>
        <w:rPr>
          <w:rFonts w:ascii="Calibri Light" w:eastAsia="Times New Roman" w:hAnsi="Calibri Light" w:cs="Times New Roman"/>
          <w:color w:val="2F5496"/>
          <w:sz w:val="32"/>
          <w:szCs w:val="32"/>
        </w:rPr>
      </w:pPr>
      <w:r w:rsidRPr="005173BE">
        <w:rPr>
          <w:rFonts w:ascii="Calibri" w:eastAsia="Calibri" w:hAnsi="Calibri" w:cs="Times New Roman"/>
          <w:sz w:val="24"/>
          <w:szCs w:val="24"/>
        </w:rPr>
        <w:br w:type="page"/>
      </w:r>
    </w:p>
    <w:p w14:paraId="69509DF9"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lastRenderedPageBreak/>
        <w:t>Executive summary</w:t>
      </w:r>
    </w:p>
    <w:p w14:paraId="54C93A0A" w14:textId="77777777" w:rsidR="005173BE" w:rsidRPr="005173BE" w:rsidRDefault="005173BE" w:rsidP="005173BE">
      <w:pPr>
        <w:tabs>
          <w:tab w:val="clear" w:pos="1134"/>
        </w:tabs>
        <w:jc w:val="left"/>
        <w:rPr>
          <w:rFonts w:ascii="Calibri" w:eastAsia="Calibri" w:hAnsi="Calibri" w:cs="Times New Roman"/>
          <w:sz w:val="22"/>
          <w:szCs w:val="24"/>
        </w:rPr>
      </w:pPr>
    </w:p>
    <w:p w14:paraId="46C470A4" w14:textId="77777777" w:rsidR="005173BE" w:rsidRPr="005173BE" w:rsidRDefault="005173BE" w:rsidP="005173BE">
      <w:pPr>
        <w:tabs>
          <w:tab w:val="clear" w:pos="1134"/>
        </w:tabs>
        <w:jc w:val="left"/>
        <w:rPr>
          <w:rFonts w:ascii="Calibri" w:eastAsia="Calibri" w:hAnsi="Calibri" w:cs="Times New Roman"/>
          <w:sz w:val="22"/>
          <w:szCs w:val="24"/>
        </w:rPr>
      </w:pPr>
      <w:r w:rsidRPr="005173BE">
        <w:rPr>
          <w:rFonts w:ascii="Calibri" w:eastAsia="Calibri" w:hAnsi="Calibri" w:cs="Times New Roman"/>
          <w:sz w:val="22"/>
          <w:szCs w:val="24"/>
        </w:rPr>
        <w:t>The Task Team on Approaches to Technical Governance (TT-ATG) was established (see Decision 34 (CBS-16)) in response to:</w:t>
      </w:r>
    </w:p>
    <w:p w14:paraId="792229B4" w14:textId="77777777" w:rsidR="005173BE" w:rsidRPr="005173BE" w:rsidRDefault="005173BE" w:rsidP="00606C01">
      <w:pPr>
        <w:numPr>
          <w:ilvl w:val="0"/>
          <w:numId w:val="39"/>
        </w:numPr>
        <w:tabs>
          <w:tab w:val="clear" w:pos="1134"/>
        </w:tabs>
        <w:contextualSpacing/>
        <w:jc w:val="left"/>
        <w:rPr>
          <w:rFonts w:ascii="Calibri" w:eastAsia="Calibri" w:hAnsi="Calibri" w:cs="Times New Roman"/>
          <w:sz w:val="22"/>
          <w:szCs w:val="24"/>
        </w:rPr>
      </w:pPr>
      <w:r w:rsidRPr="005173BE">
        <w:rPr>
          <w:rFonts w:ascii="Calibri" w:eastAsia="Calibri" w:hAnsi="Calibri" w:cs="Times New Roman"/>
          <w:sz w:val="22"/>
          <w:szCs w:val="24"/>
        </w:rPr>
        <w:t>the perception that it may be difficult for Members to keep pace with changes regarding advances in technology and new WMO Technical Regulations;</w:t>
      </w:r>
    </w:p>
    <w:p w14:paraId="2EA6CE56" w14:textId="77777777" w:rsidR="005173BE" w:rsidRPr="005173BE" w:rsidRDefault="005173BE" w:rsidP="00606C01">
      <w:pPr>
        <w:numPr>
          <w:ilvl w:val="0"/>
          <w:numId w:val="39"/>
        </w:numPr>
        <w:tabs>
          <w:tab w:val="clear" w:pos="1134"/>
        </w:tabs>
        <w:contextualSpacing/>
        <w:jc w:val="left"/>
        <w:rPr>
          <w:rFonts w:ascii="Calibri" w:eastAsia="Calibri" w:hAnsi="Calibri" w:cs="Times New Roman"/>
          <w:sz w:val="22"/>
          <w:szCs w:val="24"/>
        </w:rPr>
      </w:pPr>
      <w:r w:rsidRPr="005173BE">
        <w:rPr>
          <w:rFonts w:ascii="Calibri" w:eastAsia="Calibri" w:hAnsi="Calibri" w:cs="Times New Roman"/>
          <w:sz w:val="22"/>
          <w:szCs w:val="24"/>
        </w:rPr>
        <w:t>the importance of WMO responding to the needs of its Members with regard to rapid advances in science and technology;</w:t>
      </w:r>
    </w:p>
    <w:p w14:paraId="50467B1A" w14:textId="77777777" w:rsidR="005173BE" w:rsidRPr="005173BE" w:rsidRDefault="005173BE" w:rsidP="00606C01">
      <w:pPr>
        <w:numPr>
          <w:ilvl w:val="0"/>
          <w:numId w:val="39"/>
        </w:numPr>
        <w:tabs>
          <w:tab w:val="clear" w:pos="1134"/>
        </w:tabs>
        <w:contextualSpacing/>
        <w:jc w:val="left"/>
        <w:rPr>
          <w:rFonts w:ascii="Calibri" w:eastAsia="Calibri" w:hAnsi="Calibri" w:cs="Times New Roman"/>
          <w:sz w:val="22"/>
          <w:szCs w:val="24"/>
        </w:rPr>
      </w:pPr>
      <w:r w:rsidRPr="005173BE">
        <w:rPr>
          <w:rFonts w:ascii="Calibri" w:eastAsia="Calibri" w:hAnsi="Calibri" w:cs="Times New Roman"/>
          <w:sz w:val="22"/>
          <w:szCs w:val="24"/>
        </w:rPr>
        <w:t xml:space="preserve">the lack of awareness of existing mechanisms, opportunities and processes to advance the CBS work programme; and </w:t>
      </w:r>
    </w:p>
    <w:p w14:paraId="3AED87B0" w14:textId="77777777" w:rsidR="005173BE" w:rsidRPr="005173BE" w:rsidRDefault="005173BE" w:rsidP="00606C01">
      <w:pPr>
        <w:numPr>
          <w:ilvl w:val="0"/>
          <w:numId w:val="39"/>
        </w:numPr>
        <w:tabs>
          <w:tab w:val="clear" w:pos="1134"/>
        </w:tabs>
        <w:contextualSpacing/>
        <w:jc w:val="left"/>
        <w:rPr>
          <w:rFonts w:ascii="Calibri" w:eastAsia="Calibri" w:hAnsi="Calibri" w:cs="Times New Roman"/>
          <w:sz w:val="22"/>
          <w:szCs w:val="24"/>
        </w:rPr>
      </w:pPr>
      <w:r w:rsidRPr="005173BE">
        <w:rPr>
          <w:rFonts w:ascii="Calibri" w:eastAsia="Calibri" w:hAnsi="Calibri" w:cs="Times New Roman"/>
          <w:sz w:val="22"/>
          <w:szCs w:val="24"/>
        </w:rPr>
        <w:t>increasing challenges for approval of complex Technical Regulations and Standards when some Members do not have the capability to test and implement them.</w:t>
      </w:r>
    </w:p>
    <w:p w14:paraId="457B2C5A" w14:textId="77777777" w:rsidR="005173BE" w:rsidRPr="005173BE" w:rsidRDefault="005173BE" w:rsidP="005173BE">
      <w:pPr>
        <w:tabs>
          <w:tab w:val="clear" w:pos="1134"/>
        </w:tabs>
        <w:jc w:val="left"/>
        <w:rPr>
          <w:rFonts w:ascii="Calibri" w:eastAsia="Calibri" w:hAnsi="Calibri" w:cs="Times New Roman"/>
          <w:sz w:val="22"/>
          <w:szCs w:val="24"/>
        </w:rPr>
      </w:pPr>
    </w:p>
    <w:p w14:paraId="21614221" w14:textId="11012A37" w:rsidR="005173BE" w:rsidRPr="005173BE" w:rsidRDefault="005173BE" w:rsidP="005173BE">
      <w:pPr>
        <w:tabs>
          <w:tab w:val="clear" w:pos="1134"/>
        </w:tabs>
        <w:jc w:val="left"/>
        <w:rPr>
          <w:rFonts w:ascii="Calibri" w:eastAsia="Calibri" w:hAnsi="Calibri" w:cs="Times New Roman"/>
          <w:sz w:val="22"/>
          <w:szCs w:val="24"/>
        </w:rPr>
      </w:pPr>
      <w:r w:rsidRPr="005173BE">
        <w:rPr>
          <w:rFonts w:ascii="Calibri" w:eastAsia="Calibri" w:hAnsi="Calibri" w:cs="Times New Roman"/>
          <w:sz w:val="22"/>
          <w:szCs w:val="24"/>
        </w:rPr>
        <w:t xml:space="preserve">The participants of and terms of reference for the task team are provided in </w:t>
      </w:r>
      <w:r w:rsidRPr="005173BE">
        <w:rPr>
          <w:rFonts w:ascii="Calibri" w:eastAsia="Calibri" w:hAnsi="Calibri" w:cs="Times New Roman"/>
          <w:sz w:val="22"/>
          <w:szCs w:val="22"/>
          <w:u w:val="single"/>
        </w:rPr>
        <w:fldChar w:fldCharType="begin"/>
      </w:r>
      <w:r w:rsidRPr="005173BE">
        <w:rPr>
          <w:rFonts w:ascii="Calibri" w:eastAsia="Calibri" w:hAnsi="Calibri" w:cs="Times New Roman"/>
          <w:sz w:val="22"/>
          <w:szCs w:val="22"/>
          <w:u w:val="single"/>
        </w:rPr>
        <w:instrText xml:space="preserve"> REF Annex_1 \h  \* MERGEFORMAT </w:instrText>
      </w:r>
      <w:r w:rsidRPr="005173BE">
        <w:rPr>
          <w:rFonts w:ascii="Calibri" w:eastAsia="Calibri" w:hAnsi="Calibri" w:cs="Times New Roman"/>
          <w:sz w:val="22"/>
          <w:szCs w:val="22"/>
          <w:u w:val="single"/>
        </w:rPr>
      </w:r>
      <w:r w:rsidRPr="005173BE">
        <w:rPr>
          <w:rFonts w:ascii="Calibri" w:eastAsia="Calibri" w:hAnsi="Calibri" w:cs="Times New Roman"/>
          <w:sz w:val="22"/>
          <w:szCs w:val="22"/>
          <w:u w:val="single"/>
        </w:rPr>
        <w:fldChar w:fldCharType="separate"/>
      </w:r>
      <w:r w:rsidR="007F7A40" w:rsidRPr="007F7A40">
        <w:rPr>
          <w:rFonts w:ascii="Calibri" w:eastAsia="Calibri" w:hAnsi="Calibri" w:cs="Times New Roman"/>
          <w:sz w:val="22"/>
          <w:szCs w:val="22"/>
          <w:u w:val="single"/>
        </w:rPr>
        <w:t>Appendix A</w:t>
      </w:r>
      <w:r w:rsidRPr="005173BE">
        <w:rPr>
          <w:rFonts w:ascii="Calibri" w:eastAsia="Calibri" w:hAnsi="Calibri" w:cs="Times New Roman"/>
          <w:sz w:val="22"/>
          <w:szCs w:val="22"/>
          <w:u w:val="single"/>
        </w:rPr>
        <w:fldChar w:fldCharType="end"/>
      </w:r>
      <w:r w:rsidRPr="005173BE">
        <w:rPr>
          <w:rFonts w:ascii="Calibri" w:eastAsia="Calibri" w:hAnsi="Calibri" w:cs="Times New Roman"/>
          <w:sz w:val="22"/>
          <w:szCs w:val="24"/>
        </w:rPr>
        <w:t xml:space="preserve"> and </w:t>
      </w:r>
      <w:r w:rsidRPr="005173BE">
        <w:rPr>
          <w:rFonts w:ascii="Calibri" w:eastAsia="Calibri" w:hAnsi="Calibri" w:cs="Times New Roman"/>
          <w:sz w:val="22"/>
          <w:szCs w:val="22"/>
          <w:u w:val="single"/>
        </w:rPr>
        <w:fldChar w:fldCharType="begin"/>
      </w:r>
      <w:r w:rsidRPr="005173BE">
        <w:rPr>
          <w:rFonts w:ascii="Calibri" w:eastAsia="Calibri" w:hAnsi="Calibri" w:cs="Times New Roman"/>
          <w:sz w:val="22"/>
          <w:szCs w:val="22"/>
          <w:u w:val="single"/>
        </w:rPr>
        <w:instrText xml:space="preserve"> REF Annex_2 \h  \* MERGEFORMAT </w:instrText>
      </w:r>
      <w:r w:rsidRPr="005173BE">
        <w:rPr>
          <w:rFonts w:ascii="Calibri" w:eastAsia="Calibri" w:hAnsi="Calibri" w:cs="Times New Roman"/>
          <w:sz w:val="22"/>
          <w:szCs w:val="22"/>
          <w:u w:val="single"/>
        </w:rPr>
      </w:r>
      <w:r w:rsidRPr="005173BE">
        <w:rPr>
          <w:rFonts w:ascii="Calibri" w:eastAsia="Calibri" w:hAnsi="Calibri" w:cs="Times New Roman"/>
          <w:sz w:val="22"/>
          <w:szCs w:val="22"/>
          <w:u w:val="single"/>
        </w:rPr>
        <w:fldChar w:fldCharType="separate"/>
      </w:r>
      <w:r w:rsidR="007F7A40" w:rsidRPr="007F7A40">
        <w:rPr>
          <w:rFonts w:ascii="Calibri" w:eastAsia="Calibri" w:hAnsi="Calibri" w:cs="Times New Roman"/>
          <w:sz w:val="22"/>
          <w:szCs w:val="22"/>
          <w:u w:val="single"/>
        </w:rPr>
        <w:t>Appendix B</w:t>
      </w:r>
      <w:r w:rsidRPr="005173BE">
        <w:rPr>
          <w:rFonts w:ascii="Calibri" w:eastAsia="Calibri" w:hAnsi="Calibri" w:cs="Times New Roman"/>
          <w:sz w:val="22"/>
          <w:szCs w:val="22"/>
          <w:u w:val="single"/>
        </w:rPr>
        <w:fldChar w:fldCharType="end"/>
      </w:r>
      <w:r w:rsidRPr="005173BE">
        <w:rPr>
          <w:rFonts w:ascii="Calibri" w:eastAsia="Calibri" w:hAnsi="Calibri" w:cs="Times New Roman"/>
          <w:sz w:val="22"/>
          <w:szCs w:val="24"/>
        </w:rPr>
        <w:t xml:space="preserve"> respectively.</w:t>
      </w:r>
    </w:p>
    <w:p w14:paraId="2B329FC4" w14:textId="77777777" w:rsidR="005173BE" w:rsidRPr="005173BE" w:rsidRDefault="005173BE" w:rsidP="005173BE">
      <w:pPr>
        <w:tabs>
          <w:tab w:val="clear" w:pos="1134"/>
        </w:tabs>
        <w:jc w:val="left"/>
        <w:rPr>
          <w:rFonts w:ascii="Calibri" w:eastAsia="Calibri" w:hAnsi="Calibri" w:cs="Times New Roman"/>
          <w:sz w:val="22"/>
          <w:szCs w:val="24"/>
        </w:rPr>
      </w:pPr>
    </w:p>
    <w:p w14:paraId="5027E962" w14:textId="77777777" w:rsidR="005173BE" w:rsidRPr="005173BE" w:rsidRDefault="005173BE" w:rsidP="005173BE">
      <w:pPr>
        <w:tabs>
          <w:tab w:val="clear" w:pos="1134"/>
        </w:tabs>
        <w:jc w:val="left"/>
        <w:rPr>
          <w:rFonts w:ascii="Calibri" w:eastAsia="Calibri" w:hAnsi="Calibri" w:cs="Times New Roman"/>
          <w:sz w:val="22"/>
          <w:szCs w:val="24"/>
        </w:rPr>
      </w:pPr>
      <w:r w:rsidRPr="005173BE">
        <w:rPr>
          <w:rFonts w:ascii="Calibri" w:eastAsia="Calibri" w:hAnsi="Calibri" w:cs="Times New Roman"/>
          <w:sz w:val="22"/>
          <w:szCs w:val="24"/>
        </w:rPr>
        <w:t>The task team has reviewed the approach to technical governance within and affecting the Commission and assesses that while the WMO technical governance framework is broadly fit for purpose, there are several areas where improvement can be made:</w:t>
      </w:r>
    </w:p>
    <w:p w14:paraId="263143DF" w14:textId="77777777" w:rsidR="005173BE" w:rsidRPr="005173BE" w:rsidRDefault="005173BE" w:rsidP="005173BE">
      <w:pPr>
        <w:tabs>
          <w:tab w:val="clear" w:pos="1134"/>
        </w:tabs>
        <w:jc w:val="left"/>
        <w:rPr>
          <w:rFonts w:ascii="Calibri" w:eastAsia="Calibri" w:hAnsi="Calibri" w:cs="Times New Roman"/>
          <w:sz w:val="22"/>
          <w:szCs w:val="24"/>
        </w:rPr>
      </w:pPr>
    </w:p>
    <w:p w14:paraId="4B0591BC" w14:textId="77777777" w:rsidR="005173BE" w:rsidRPr="005173BE" w:rsidRDefault="005173BE" w:rsidP="00606C01">
      <w:pPr>
        <w:numPr>
          <w:ilvl w:val="0"/>
          <w:numId w:val="36"/>
        </w:numPr>
        <w:tabs>
          <w:tab w:val="clear" w:pos="1134"/>
        </w:tabs>
        <w:contextualSpacing/>
        <w:jc w:val="left"/>
        <w:rPr>
          <w:rFonts w:ascii="Calibri" w:eastAsia="Calibri" w:hAnsi="Calibri" w:cs="Times New Roman"/>
          <w:b/>
          <w:sz w:val="22"/>
          <w:szCs w:val="24"/>
        </w:rPr>
      </w:pPr>
      <w:r w:rsidRPr="005173BE">
        <w:rPr>
          <w:rFonts w:ascii="Calibri" w:eastAsia="Calibri" w:hAnsi="Calibri" w:cs="Times New Roman"/>
          <w:b/>
          <w:sz w:val="22"/>
          <w:szCs w:val="24"/>
        </w:rPr>
        <w:t>Introducing and Changing Technical Specifications</w:t>
      </w:r>
    </w:p>
    <w:p w14:paraId="2FB4BD54" w14:textId="77777777" w:rsidR="005173BE" w:rsidRPr="005173BE" w:rsidRDefault="005173BE" w:rsidP="005173BE">
      <w:pPr>
        <w:tabs>
          <w:tab w:val="clear" w:pos="1134"/>
        </w:tabs>
        <w:jc w:val="left"/>
        <w:rPr>
          <w:rFonts w:ascii="Calibri" w:eastAsia="Calibri" w:hAnsi="Calibri" w:cs="Times New Roman"/>
          <w:sz w:val="22"/>
          <w:szCs w:val="24"/>
        </w:rPr>
      </w:pPr>
      <w:r w:rsidRPr="005173BE">
        <w:rPr>
          <w:rFonts w:ascii="Calibri" w:eastAsia="Calibri" w:hAnsi="Calibri" w:cs="Times New Roman"/>
          <w:sz w:val="22"/>
          <w:szCs w:val="24"/>
        </w:rPr>
        <w:t>The task team recommends the use of experimental status technical specifications, improved validation procedures for draft recommendations and improvements to the efficiency of Member-wide implementation of changes in technical specifications.</w:t>
      </w:r>
    </w:p>
    <w:p w14:paraId="43D005CC" w14:textId="77777777" w:rsidR="005173BE" w:rsidRPr="005173BE" w:rsidRDefault="005173BE" w:rsidP="005173BE">
      <w:pPr>
        <w:tabs>
          <w:tab w:val="clear" w:pos="1134"/>
        </w:tabs>
        <w:jc w:val="left"/>
        <w:rPr>
          <w:rFonts w:ascii="Calibri" w:eastAsia="Calibri" w:hAnsi="Calibri" w:cs="Times New Roman"/>
          <w:sz w:val="22"/>
          <w:szCs w:val="24"/>
        </w:rPr>
      </w:pPr>
    </w:p>
    <w:p w14:paraId="1E7B4B7D" w14:textId="77777777" w:rsidR="005173BE" w:rsidRPr="005173BE" w:rsidRDefault="005173BE" w:rsidP="00606C01">
      <w:pPr>
        <w:numPr>
          <w:ilvl w:val="0"/>
          <w:numId w:val="36"/>
        </w:numPr>
        <w:tabs>
          <w:tab w:val="clear" w:pos="1134"/>
        </w:tabs>
        <w:contextualSpacing/>
        <w:jc w:val="left"/>
        <w:rPr>
          <w:rFonts w:ascii="Calibri" w:eastAsia="Calibri" w:hAnsi="Calibri" w:cs="Times New Roman"/>
          <w:b/>
          <w:sz w:val="22"/>
          <w:szCs w:val="24"/>
        </w:rPr>
      </w:pPr>
      <w:r w:rsidRPr="005173BE">
        <w:rPr>
          <w:rFonts w:ascii="Calibri" w:eastAsia="Calibri" w:hAnsi="Calibri" w:cs="Times New Roman"/>
          <w:b/>
          <w:sz w:val="22"/>
          <w:szCs w:val="24"/>
        </w:rPr>
        <w:t>Planning and Communications</w:t>
      </w:r>
    </w:p>
    <w:p w14:paraId="7B0BAEDB" w14:textId="5E0C5962" w:rsidR="005173BE" w:rsidRPr="005173BE" w:rsidRDefault="005173BE" w:rsidP="005173BE">
      <w:pPr>
        <w:tabs>
          <w:tab w:val="clear" w:pos="1134"/>
        </w:tabs>
        <w:jc w:val="left"/>
        <w:rPr>
          <w:rFonts w:ascii="Calibri" w:eastAsia="Calibri" w:hAnsi="Calibri" w:cs="Times New Roman"/>
          <w:sz w:val="22"/>
          <w:szCs w:val="24"/>
        </w:rPr>
      </w:pPr>
      <w:r w:rsidRPr="005173BE">
        <w:rPr>
          <w:rFonts w:ascii="Calibri" w:eastAsia="Calibri" w:hAnsi="Calibri" w:cs="Times New Roman"/>
          <w:sz w:val="22"/>
          <w:szCs w:val="24"/>
        </w:rPr>
        <w:t xml:space="preserve">The task team recommends the introduction of a comprehensive, Commission-wide work plan and </w:t>
      </w:r>
      <w:r w:rsidR="00A805BE">
        <w:rPr>
          <w:rFonts w:ascii="Calibri" w:eastAsia="Calibri" w:hAnsi="Calibri" w:cs="Times New Roman"/>
          <w:sz w:val="22"/>
          <w:szCs w:val="24"/>
        </w:rPr>
        <w:t xml:space="preserve">the </w:t>
      </w:r>
      <w:r w:rsidRPr="005173BE">
        <w:rPr>
          <w:rFonts w:ascii="Calibri" w:eastAsia="Calibri" w:hAnsi="Calibri" w:cs="Times New Roman"/>
          <w:sz w:val="22"/>
          <w:szCs w:val="24"/>
        </w:rPr>
        <w:t>introduction of procedure</w:t>
      </w:r>
      <w:r w:rsidR="00A805BE">
        <w:rPr>
          <w:rFonts w:ascii="Calibri" w:eastAsia="Calibri" w:hAnsi="Calibri" w:cs="Times New Roman"/>
          <w:sz w:val="22"/>
          <w:szCs w:val="24"/>
        </w:rPr>
        <w:t>s</w:t>
      </w:r>
      <w:r w:rsidRPr="005173BE">
        <w:rPr>
          <w:rFonts w:ascii="Calibri" w:eastAsia="Calibri" w:hAnsi="Calibri" w:cs="Times New Roman"/>
          <w:sz w:val="22"/>
          <w:szCs w:val="24"/>
        </w:rPr>
        <w:t xml:space="preserve"> for assessing proposals for new work to be undertaken by the Commission which together clarify the strategic fit of work items, facilitate resource planning and prioritisation, and assist communication on the work of the Commission with Members and regional associations.</w:t>
      </w:r>
    </w:p>
    <w:p w14:paraId="0A400D76" w14:textId="77777777" w:rsidR="005173BE" w:rsidRPr="005173BE" w:rsidRDefault="005173BE" w:rsidP="005173BE">
      <w:pPr>
        <w:tabs>
          <w:tab w:val="clear" w:pos="1134"/>
        </w:tabs>
        <w:jc w:val="left"/>
        <w:rPr>
          <w:rFonts w:ascii="Calibri" w:eastAsia="Calibri" w:hAnsi="Calibri" w:cs="Times New Roman"/>
          <w:sz w:val="22"/>
          <w:szCs w:val="24"/>
        </w:rPr>
      </w:pPr>
    </w:p>
    <w:p w14:paraId="56510BC2" w14:textId="77777777" w:rsidR="005173BE" w:rsidRPr="005173BE" w:rsidRDefault="005173BE" w:rsidP="00606C01">
      <w:pPr>
        <w:numPr>
          <w:ilvl w:val="0"/>
          <w:numId w:val="36"/>
        </w:numPr>
        <w:tabs>
          <w:tab w:val="clear" w:pos="1134"/>
        </w:tabs>
        <w:contextualSpacing/>
        <w:jc w:val="left"/>
        <w:rPr>
          <w:rFonts w:ascii="Calibri" w:eastAsia="Calibri" w:hAnsi="Calibri" w:cs="Times New Roman"/>
          <w:b/>
          <w:sz w:val="22"/>
          <w:szCs w:val="24"/>
        </w:rPr>
      </w:pPr>
      <w:r w:rsidRPr="005173BE">
        <w:rPr>
          <w:rFonts w:ascii="Calibri" w:eastAsia="Calibri" w:hAnsi="Calibri" w:cs="Times New Roman"/>
          <w:b/>
          <w:sz w:val="22"/>
          <w:szCs w:val="24"/>
        </w:rPr>
        <w:t xml:space="preserve">Resourcing Working Bodies of the Commission </w:t>
      </w:r>
    </w:p>
    <w:p w14:paraId="7E3CEB89" w14:textId="77777777" w:rsidR="005173BE" w:rsidRPr="005173BE" w:rsidRDefault="005173BE" w:rsidP="005173BE">
      <w:pPr>
        <w:tabs>
          <w:tab w:val="clear" w:pos="1134"/>
        </w:tabs>
        <w:jc w:val="left"/>
        <w:rPr>
          <w:rFonts w:ascii="Calibri" w:eastAsia="Calibri" w:hAnsi="Calibri" w:cs="Times New Roman"/>
          <w:b/>
          <w:sz w:val="22"/>
          <w:szCs w:val="24"/>
        </w:rPr>
      </w:pPr>
      <w:r w:rsidRPr="005173BE">
        <w:rPr>
          <w:rFonts w:ascii="Calibri" w:eastAsia="Calibri" w:hAnsi="Calibri" w:cs="Times New Roman"/>
          <w:sz w:val="22"/>
          <w:szCs w:val="24"/>
        </w:rPr>
        <w:t>The task team recommends the establishment of a database of experts available to participate in the work of the Commission, establishing improved mechanisms to encourage expert participation from Members and the broader “weather enterprise” and provision of a common collaboration platform to simplify information sharing between experts participating in the constituent teams of the Open Programme Area Groups.</w:t>
      </w:r>
    </w:p>
    <w:p w14:paraId="0224F3B7" w14:textId="77777777" w:rsidR="005173BE" w:rsidRPr="005173BE" w:rsidRDefault="005173BE" w:rsidP="005173BE">
      <w:pPr>
        <w:tabs>
          <w:tab w:val="clear" w:pos="1134"/>
        </w:tabs>
        <w:jc w:val="left"/>
        <w:rPr>
          <w:rFonts w:ascii="Calibri" w:eastAsia="Calibri" w:hAnsi="Calibri" w:cs="Times New Roman"/>
          <w:sz w:val="22"/>
          <w:szCs w:val="24"/>
        </w:rPr>
      </w:pPr>
    </w:p>
    <w:p w14:paraId="5EA65A38" w14:textId="77777777" w:rsidR="005173BE" w:rsidRPr="005173BE" w:rsidRDefault="005173BE" w:rsidP="005173BE">
      <w:pPr>
        <w:tabs>
          <w:tab w:val="clear" w:pos="1134"/>
        </w:tabs>
        <w:jc w:val="left"/>
        <w:rPr>
          <w:rFonts w:ascii="Calibri" w:eastAsia="Calibri" w:hAnsi="Calibri" w:cs="Times New Roman"/>
          <w:sz w:val="22"/>
          <w:szCs w:val="24"/>
        </w:rPr>
      </w:pPr>
      <w:r w:rsidRPr="005173BE">
        <w:rPr>
          <w:rFonts w:ascii="Calibri" w:eastAsia="Calibri" w:hAnsi="Calibri" w:cs="Times New Roman"/>
          <w:sz w:val="22"/>
          <w:szCs w:val="24"/>
        </w:rPr>
        <w:t>All recommendations are uniquely numbered for ease of reference.</w:t>
      </w:r>
    </w:p>
    <w:p w14:paraId="2EDFECAA" w14:textId="77777777" w:rsidR="005173BE" w:rsidRPr="005173BE" w:rsidRDefault="005173BE" w:rsidP="005173BE">
      <w:pPr>
        <w:tabs>
          <w:tab w:val="clear" w:pos="1134"/>
        </w:tabs>
        <w:jc w:val="left"/>
        <w:rPr>
          <w:rFonts w:ascii="Calibri" w:eastAsia="Calibri" w:hAnsi="Calibri" w:cs="Times New Roman"/>
          <w:b/>
          <w:sz w:val="22"/>
          <w:szCs w:val="24"/>
        </w:rPr>
      </w:pPr>
    </w:p>
    <w:p w14:paraId="5F8709D3" w14:textId="77777777" w:rsidR="005173BE" w:rsidRPr="005173BE" w:rsidRDefault="005173BE" w:rsidP="005173BE">
      <w:pPr>
        <w:tabs>
          <w:tab w:val="clear" w:pos="1134"/>
        </w:tabs>
        <w:jc w:val="left"/>
        <w:rPr>
          <w:rFonts w:ascii="Calibri" w:eastAsia="Calibri" w:hAnsi="Calibri" w:cs="Times New Roman"/>
          <w:b/>
          <w:sz w:val="22"/>
          <w:szCs w:val="24"/>
        </w:rPr>
      </w:pPr>
      <w:r w:rsidRPr="005173BE">
        <w:rPr>
          <w:rFonts w:ascii="Calibri" w:eastAsia="Calibri" w:hAnsi="Calibri" w:cs="Times New Roman"/>
          <w:b/>
          <w:sz w:val="22"/>
          <w:szCs w:val="24"/>
        </w:rPr>
        <w:t>Where the Management Group agrees with these recommendations, the task team suggests that an implementation plan be put in place including establishment of an appropriate working body to deliver the implementation plan.</w:t>
      </w:r>
    </w:p>
    <w:p w14:paraId="5A90DC36" w14:textId="77777777" w:rsidR="005173BE" w:rsidRPr="005173BE" w:rsidRDefault="005173BE" w:rsidP="005173BE">
      <w:pPr>
        <w:tabs>
          <w:tab w:val="clear" w:pos="1134"/>
        </w:tabs>
        <w:jc w:val="left"/>
        <w:rPr>
          <w:rFonts w:ascii="Calibri" w:eastAsia="Calibri" w:hAnsi="Calibri" w:cs="Times New Roman"/>
          <w:b/>
          <w:sz w:val="22"/>
          <w:szCs w:val="24"/>
        </w:rPr>
      </w:pPr>
    </w:p>
    <w:p w14:paraId="025CE76D" w14:textId="77777777" w:rsidR="005173BE" w:rsidRPr="005173BE" w:rsidRDefault="005173BE" w:rsidP="005173BE">
      <w:pPr>
        <w:tabs>
          <w:tab w:val="clear" w:pos="1134"/>
        </w:tabs>
        <w:jc w:val="left"/>
        <w:rPr>
          <w:rFonts w:ascii="Calibri" w:eastAsia="Calibri" w:hAnsi="Calibri" w:cs="Times New Roman"/>
          <w:sz w:val="22"/>
          <w:szCs w:val="24"/>
        </w:rPr>
      </w:pPr>
      <w:r w:rsidRPr="005173BE">
        <w:rPr>
          <w:rFonts w:ascii="Calibri" w:eastAsia="Calibri" w:hAnsi="Calibri" w:cs="Times New Roman"/>
          <w:sz w:val="22"/>
          <w:szCs w:val="24"/>
        </w:rPr>
        <w:t xml:space="preserve">Note that some of the terms used herein have a specific meaning (e.g. Technical Regulations, technical specification, Manual, Guide, provision etc.). Please refer to the </w:t>
      </w:r>
      <w:r w:rsidRPr="005173BE">
        <w:rPr>
          <w:rFonts w:ascii="Calibri" w:eastAsia="Calibri" w:hAnsi="Calibri" w:cs="Times New Roman"/>
          <w:sz w:val="22"/>
          <w:szCs w:val="22"/>
          <w:u w:val="single"/>
        </w:rPr>
        <w:fldChar w:fldCharType="begin"/>
      </w:r>
      <w:r w:rsidRPr="005173BE">
        <w:rPr>
          <w:rFonts w:ascii="Calibri" w:eastAsia="Calibri" w:hAnsi="Calibri" w:cs="Times New Roman"/>
          <w:sz w:val="22"/>
          <w:szCs w:val="22"/>
          <w:u w:val="single"/>
        </w:rPr>
        <w:instrText xml:space="preserve"> REF glossary \h  \* MERGEFORMAT </w:instrText>
      </w:r>
      <w:r w:rsidRPr="005173BE">
        <w:rPr>
          <w:rFonts w:ascii="Calibri" w:eastAsia="Calibri" w:hAnsi="Calibri" w:cs="Times New Roman"/>
          <w:sz w:val="22"/>
          <w:szCs w:val="22"/>
          <w:u w:val="single"/>
        </w:rPr>
      </w:r>
      <w:r w:rsidRPr="005173BE">
        <w:rPr>
          <w:rFonts w:ascii="Calibri" w:eastAsia="Calibri" w:hAnsi="Calibri" w:cs="Times New Roman"/>
          <w:sz w:val="22"/>
          <w:szCs w:val="22"/>
          <w:u w:val="single"/>
        </w:rPr>
        <w:fldChar w:fldCharType="separate"/>
      </w:r>
      <w:r w:rsidR="007F7A40" w:rsidRPr="007F7A40">
        <w:rPr>
          <w:rFonts w:ascii="Calibri" w:eastAsia="Calibri" w:hAnsi="Calibri" w:cs="Times New Roman"/>
          <w:sz w:val="22"/>
          <w:szCs w:val="22"/>
          <w:u w:val="single"/>
        </w:rPr>
        <w:t>Glossary of terms</w:t>
      </w:r>
      <w:r w:rsidRPr="005173BE">
        <w:rPr>
          <w:rFonts w:ascii="Calibri" w:eastAsia="Calibri" w:hAnsi="Calibri" w:cs="Times New Roman"/>
          <w:sz w:val="22"/>
          <w:szCs w:val="22"/>
          <w:u w:val="single"/>
        </w:rPr>
        <w:fldChar w:fldCharType="end"/>
      </w:r>
      <w:r w:rsidRPr="005173BE">
        <w:rPr>
          <w:rFonts w:ascii="Calibri" w:eastAsia="Calibri" w:hAnsi="Calibri" w:cs="Times New Roman"/>
          <w:sz w:val="22"/>
          <w:szCs w:val="24"/>
        </w:rPr>
        <w:t xml:space="preserve"> for details.</w:t>
      </w:r>
    </w:p>
    <w:p w14:paraId="4126F1FA" w14:textId="77777777" w:rsidR="005173BE" w:rsidRPr="005173BE" w:rsidRDefault="005173BE" w:rsidP="005173BE">
      <w:pPr>
        <w:tabs>
          <w:tab w:val="clear" w:pos="1134"/>
        </w:tabs>
        <w:contextualSpacing/>
        <w:jc w:val="left"/>
        <w:rPr>
          <w:rFonts w:ascii="Calibri" w:eastAsia="Calibri" w:hAnsi="Calibri" w:cs="Times New Roman"/>
          <w:sz w:val="24"/>
          <w:szCs w:val="24"/>
        </w:rPr>
      </w:pPr>
    </w:p>
    <w:p w14:paraId="0E1DD233" w14:textId="77777777" w:rsidR="005173BE" w:rsidRPr="005173BE" w:rsidRDefault="005173BE" w:rsidP="005173BE">
      <w:pPr>
        <w:tabs>
          <w:tab w:val="clear" w:pos="1134"/>
        </w:tabs>
        <w:ind w:left="720"/>
        <w:contextualSpacing/>
        <w:jc w:val="left"/>
        <w:rPr>
          <w:rFonts w:ascii="Calibri" w:eastAsia="Calibri" w:hAnsi="Calibri" w:cs="Times New Roman"/>
          <w:sz w:val="22"/>
          <w:szCs w:val="24"/>
        </w:rPr>
      </w:pPr>
    </w:p>
    <w:p w14:paraId="2915B8DC" w14:textId="77777777" w:rsidR="005173BE" w:rsidRPr="005173BE" w:rsidRDefault="005173BE" w:rsidP="005173BE">
      <w:pPr>
        <w:tabs>
          <w:tab w:val="clear" w:pos="1134"/>
        </w:tabs>
        <w:jc w:val="left"/>
        <w:rPr>
          <w:rFonts w:ascii="Calibri" w:eastAsia="Calibri" w:hAnsi="Calibri" w:cs="Times New Roman"/>
          <w:sz w:val="22"/>
          <w:szCs w:val="24"/>
        </w:rPr>
      </w:pPr>
      <w:r w:rsidRPr="005173BE">
        <w:rPr>
          <w:rFonts w:ascii="Calibri" w:eastAsia="Calibri" w:hAnsi="Calibri" w:cs="Times New Roman"/>
          <w:sz w:val="22"/>
          <w:szCs w:val="24"/>
        </w:rPr>
        <w:br w:type="page"/>
      </w:r>
    </w:p>
    <w:p w14:paraId="41618A97"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lastRenderedPageBreak/>
        <w:t>Section 1: Introducing and Changing Technical Specifications</w:t>
      </w:r>
    </w:p>
    <w:p w14:paraId="560EA54F"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p>
    <w:p w14:paraId="0AE8BB78"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rPr>
      </w:pPr>
      <w:r w:rsidRPr="005173BE">
        <w:rPr>
          <w:rFonts w:ascii="Calibri Light" w:eastAsia="Times New Roman" w:hAnsi="Calibri Light" w:cs="Times New Roman"/>
          <w:color w:val="1F3763"/>
          <w:sz w:val="24"/>
          <w:szCs w:val="24"/>
        </w:rPr>
        <w:t>Identification of issues</w:t>
      </w:r>
    </w:p>
    <w:p w14:paraId="1D6C900F" w14:textId="77777777" w:rsidR="005173BE" w:rsidRPr="005173BE" w:rsidRDefault="005173BE" w:rsidP="005173BE">
      <w:pPr>
        <w:keepNext/>
        <w:keepLines/>
        <w:tabs>
          <w:tab w:val="clear" w:pos="1134"/>
          <w:tab w:val="left" w:pos="5738"/>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ab/>
      </w:r>
    </w:p>
    <w:p w14:paraId="68DF6265" w14:textId="77777777" w:rsidR="005173BE" w:rsidRPr="005173BE" w:rsidRDefault="005173BE" w:rsidP="00606C01">
      <w:pPr>
        <w:numPr>
          <w:ilvl w:val="0"/>
          <w:numId w:val="19"/>
        </w:numPr>
        <w:tabs>
          <w:tab w:val="clear" w:pos="1134"/>
        </w:tabs>
        <w:contextualSpacing/>
        <w:jc w:val="left"/>
        <w:rPr>
          <w:rFonts w:ascii="Calibri" w:eastAsia="Calibri" w:hAnsi="Calibri" w:cs="Times New Roman"/>
          <w:color w:val="454545"/>
          <w:sz w:val="22"/>
          <w:lang w:eastAsia="en-GB"/>
        </w:rPr>
      </w:pPr>
      <w:bookmarkStart w:id="7" w:name="issue_1_i"/>
      <w:r w:rsidRPr="005173BE">
        <w:rPr>
          <w:rFonts w:ascii="Calibri" w:eastAsia="Calibri" w:hAnsi="Calibri" w:cs="Times New Roman"/>
          <w:color w:val="454545"/>
          <w:sz w:val="22"/>
          <w:lang w:eastAsia="en-GB"/>
        </w:rPr>
        <w:t>Members struggle to implement amendments to Technical Regulations in a timely manner.</w:t>
      </w:r>
      <w:bookmarkEnd w:id="7"/>
    </w:p>
    <w:p w14:paraId="5CCE9974" w14:textId="77777777" w:rsidR="005173BE" w:rsidRPr="005173BE" w:rsidRDefault="005173BE" w:rsidP="00606C01">
      <w:pPr>
        <w:numPr>
          <w:ilvl w:val="0"/>
          <w:numId w:val="19"/>
        </w:numPr>
        <w:tabs>
          <w:tab w:val="clear" w:pos="1134"/>
        </w:tabs>
        <w:contextualSpacing/>
        <w:jc w:val="left"/>
        <w:rPr>
          <w:rFonts w:ascii="Calibri" w:eastAsia="Calibri" w:hAnsi="Calibri" w:cs="Times New Roman"/>
          <w:color w:val="454545"/>
          <w:sz w:val="22"/>
          <w:lang w:eastAsia="en-GB"/>
        </w:rPr>
      </w:pPr>
      <w:bookmarkStart w:id="8" w:name="issue_1_ia"/>
      <w:bookmarkStart w:id="9" w:name="issue_1_ii"/>
      <w:r w:rsidRPr="005173BE">
        <w:rPr>
          <w:rFonts w:ascii="Calibri" w:eastAsia="Calibri" w:hAnsi="Calibri" w:cs="Times New Roman"/>
          <w:color w:val="454545"/>
          <w:sz w:val="22"/>
          <w:lang w:eastAsia="en-GB"/>
        </w:rPr>
        <w:t>The need for complex amendments to be introduced during Session (e.g. once every 4-years, or during Extraordinary CBS sessions by exception) delays initial engagement with Members and pressures premature release of amendments to avoid missing the “once per 4-year” deadline.</w:t>
      </w:r>
      <w:bookmarkEnd w:id="8"/>
    </w:p>
    <w:p w14:paraId="7CE1CC08" w14:textId="77777777" w:rsidR="005173BE" w:rsidRPr="005173BE" w:rsidRDefault="005173BE" w:rsidP="00606C01">
      <w:pPr>
        <w:numPr>
          <w:ilvl w:val="0"/>
          <w:numId w:val="19"/>
        </w:numPr>
        <w:tabs>
          <w:tab w:val="clear" w:pos="1134"/>
        </w:tabs>
        <w:contextualSpacing/>
        <w:jc w:val="left"/>
        <w:rPr>
          <w:rFonts w:ascii="Calibri" w:eastAsia="Calibri" w:hAnsi="Calibri" w:cs="Times New Roman"/>
          <w:color w:val="454545"/>
          <w:sz w:val="22"/>
          <w:lang w:eastAsia="en-GB"/>
        </w:rPr>
      </w:pPr>
      <w:bookmarkStart w:id="10" w:name="issue_1_iii"/>
      <w:r w:rsidRPr="005173BE">
        <w:rPr>
          <w:rFonts w:ascii="Calibri" w:eastAsia="Calibri" w:hAnsi="Calibri" w:cs="Times New Roman"/>
          <w:color w:val="454545"/>
          <w:sz w:val="22"/>
          <w:lang w:eastAsia="en-GB"/>
        </w:rPr>
        <w:t>As technical specifications become increasingly complex, it is becoming impossible to assess the efficacy of a technical specification based solely on paper-review, and for Members to fully understand how best they should be implemented.</w:t>
      </w:r>
      <w:bookmarkEnd w:id="9"/>
      <w:bookmarkEnd w:id="10"/>
    </w:p>
    <w:p w14:paraId="7D5D4763" w14:textId="77777777" w:rsidR="005173BE" w:rsidRPr="005173BE" w:rsidRDefault="005173BE" w:rsidP="00606C01">
      <w:pPr>
        <w:numPr>
          <w:ilvl w:val="0"/>
          <w:numId w:val="19"/>
        </w:numPr>
        <w:tabs>
          <w:tab w:val="clear" w:pos="1134"/>
        </w:tabs>
        <w:contextualSpacing/>
        <w:jc w:val="left"/>
        <w:rPr>
          <w:rFonts w:ascii="Calibri" w:eastAsia="Calibri" w:hAnsi="Calibri" w:cs="Times New Roman"/>
          <w:color w:val="454545"/>
          <w:sz w:val="22"/>
          <w:lang w:eastAsia="en-GB"/>
        </w:rPr>
      </w:pPr>
      <w:bookmarkStart w:id="11" w:name="issue_1_iv"/>
      <w:r w:rsidRPr="005173BE">
        <w:rPr>
          <w:rFonts w:ascii="Calibri" w:eastAsia="Calibri" w:hAnsi="Calibri" w:cs="Times New Roman"/>
          <w:color w:val="454545"/>
          <w:sz w:val="22"/>
          <w:lang w:eastAsia="en-GB"/>
        </w:rPr>
        <w:t>Ambiguous designation of technical specifications referenced from Technical Regulations makes it difficult to achieve uniform implementation and determine Members’ compliance.</w:t>
      </w:r>
      <w:bookmarkEnd w:id="11"/>
    </w:p>
    <w:p w14:paraId="7E88A429"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5B0EBB32"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Recommendations</w:t>
      </w:r>
    </w:p>
    <w:p w14:paraId="5F30423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5968CB50"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These recommendations centre on clarifying the use of “experimental” status for technical specifications. This will allow a technical specification to be endorsed by WMO for experimental use before it becomes recommended or required for implementation. It is envisaged that during the experimental stage the suitability for adoption of the technical specification will be validated by Members through well-defined, objective criteria, and that planning for operational implementation and support of implementation will begin. The experimental stage will enable the Commission to engage earlier with Members to help prepare for implementation in a timely manner. Particular consideration has been given to ensure Members without resources to support experimentation are supported in implementation. The role of regional associations in enabling technical skills transfer and capacity building in support of implementation is recognised.</w:t>
      </w:r>
    </w:p>
    <w:p w14:paraId="244C90A9"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285659A5" w14:textId="77777777" w:rsidR="005173BE" w:rsidRPr="005173BE" w:rsidRDefault="005173BE" w:rsidP="005173BE">
      <w:pPr>
        <w:tabs>
          <w:tab w:val="clear" w:pos="1134"/>
        </w:tabs>
        <w:jc w:val="left"/>
        <w:rPr>
          <w:rFonts w:ascii="Calibri" w:eastAsia="Calibri" w:hAnsi="Calibri" w:cs="Times New Roman"/>
          <w:color w:val="454545"/>
          <w:sz w:val="22"/>
          <w:u w:val="single"/>
          <w:lang w:eastAsia="en-GB"/>
        </w:rPr>
      </w:pPr>
      <w:r w:rsidRPr="005173BE">
        <w:rPr>
          <w:rFonts w:ascii="Calibri" w:eastAsia="Calibri" w:hAnsi="Calibri" w:cs="Times New Roman"/>
          <w:color w:val="454545"/>
          <w:sz w:val="22"/>
          <w:u w:val="single"/>
          <w:lang w:eastAsia="en-GB"/>
        </w:rPr>
        <w:t>It is recommended (for action by the CBS Management Group)</w:t>
      </w:r>
    </w:p>
    <w:p w14:paraId="13B9D5E7"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5B4FB2EB" w14:textId="77777777" w:rsidR="005173BE" w:rsidRPr="005173BE" w:rsidRDefault="005173BE" w:rsidP="00606C01">
      <w:pPr>
        <w:numPr>
          <w:ilvl w:val="0"/>
          <w:numId w:val="34"/>
        </w:numPr>
        <w:tabs>
          <w:tab w:val="clear" w:pos="1134"/>
        </w:tabs>
        <w:contextualSpacing/>
        <w:jc w:val="left"/>
        <w:rPr>
          <w:rFonts w:ascii="Calibri" w:eastAsia="Calibri" w:hAnsi="Calibri" w:cs="Times New Roman"/>
          <w:sz w:val="22"/>
          <w:szCs w:val="22"/>
          <w:lang w:eastAsia="en-GB"/>
        </w:rPr>
      </w:pPr>
      <w:r w:rsidRPr="005173BE">
        <w:rPr>
          <w:rFonts w:ascii="Calibri" w:eastAsia="Calibri" w:hAnsi="Calibri" w:cs="Times New Roman"/>
          <w:sz w:val="22"/>
          <w:szCs w:val="22"/>
          <w:lang w:eastAsia="en-GB"/>
        </w:rPr>
        <w:t>That the Management Group provides</w:t>
      </w:r>
      <w:r w:rsidRPr="005173BE">
        <w:rPr>
          <w:rFonts w:ascii="Calibri" w:eastAsia="Calibri" w:hAnsi="Calibri" w:cs="Times New Roman"/>
          <w:b/>
          <w:sz w:val="22"/>
          <w:szCs w:val="22"/>
          <w:lang w:eastAsia="en-GB"/>
        </w:rPr>
        <w:t xml:space="preserve"> </w:t>
      </w:r>
      <w:r w:rsidRPr="005173BE">
        <w:rPr>
          <w:rFonts w:ascii="Calibri" w:eastAsia="Calibri" w:hAnsi="Calibri" w:cs="Times New Roman"/>
          <w:sz w:val="22"/>
          <w:szCs w:val="22"/>
          <w:lang w:eastAsia="en-GB"/>
        </w:rPr>
        <w:t>guidance to the CBS Open Programme Area Groups and their constituent teams regarding the use of “experimental” status for technical specifications, encouraging expanded use of this status and clarifying:</w:t>
      </w:r>
    </w:p>
    <w:p w14:paraId="1B8FBD76" w14:textId="77777777" w:rsidR="005173BE" w:rsidRPr="005173BE" w:rsidRDefault="005173BE" w:rsidP="00606C01">
      <w:pPr>
        <w:numPr>
          <w:ilvl w:val="0"/>
          <w:numId w:val="21"/>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that, to provide Members with early visibility of pending change, new technical specifications may be introduced into Manuals with “experimental” status using the “standard” (between-sessions) procedure, as defined in Resolution 21 (Cg-17) and amended by Resolution 12 (EC-68). This would allow technical specifications to be introduced at the point when the incumbent working body is ready to invite Members to use or implement them to assess operational effectiveness; </w:t>
      </w:r>
    </w:p>
    <w:p w14:paraId="74641468" w14:textId="77777777" w:rsidR="005173BE" w:rsidRPr="005173BE" w:rsidRDefault="005173BE" w:rsidP="00606C01">
      <w:pPr>
        <w:numPr>
          <w:ilvl w:val="0"/>
          <w:numId w:val="21"/>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that amendments to technical specifications in “experimental” status be introduced using the simple (fast-track) process, as defined in Resolution 21 (Cg-17) and amended by Resolution 12 (EC-68); and </w:t>
      </w:r>
    </w:p>
    <w:p w14:paraId="3E6FD0FE" w14:textId="77777777" w:rsidR="005173BE" w:rsidRPr="005173BE" w:rsidRDefault="005173BE" w:rsidP="00606C01">
      <w:pPr>
        <w:numPr>
          <w:ilvl w:val="0"/>
          <w:numId w:val="21"/>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the meaning of “experimental” status for technical specifications; for example, that </w:t>
      </w:r>
      <w:r w:rsidRPr="005173BE">
        <w:rPr>
          <w:rFonts w:ascii="Calibri" w:eastAsia="Times New Roman" w:hAnsi="Calibri" w:cs="Times New Roman"/>
          <w:color w:val="454545"/>
          <w:sz w:val="22"/>
          <w:lang w:eastAsia="en-GB"/>
        </w:rPr>
        <w:t xml:space="preserve">such a technical specification is neither binding nor a “technical resolution” in respect of Article 9(b) of the Convention, but </w:t>
      </w:r>
      <w:r w:rsidRPr="005173BE">
        <w:rPr>
          <w:rFonts w:ascii="Calibri" w:eastAsia="Calibri" w:hAnsi="Calibri" w:cs="Times New Roman"/>
          <w:i/>
          <w:color w:val="454545"/>
          <w:sz w:val="22"/>
          <w:lang w:eastAsia="en-GB"/>
        </w:rPr>
        <w:t>may</w:t>
      </w:r>
      <w:r w:rsidRPr="005173BE">
        <w:rPr>
          <w:rFonts w:ascii="Calibri" w:eastAsia="Calibri" w:hAnsi="Calibri" w:cs="Times New Roman"/>
          <w:color w:val="454545"/>
          <w:sz w:val="22"/>
          <w:lang w:eastAsia="en-GB"/>
        </w:rPr>
        <w:t xml:space="preserve"> be used for bilateral operational exchange by mutually consenting parties.</w:t>
      </w:r>
    </w:p>
    <w:p w14:paraId="62B179D0"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4D9AFCB9" w14:textId="77777777" w:rsidR="005173BE" w:rsidRPr="005173BE" w:rsidRDefault="005173BE" w:rsidP="00606C01">
      <w:pPr>
        <w:numPr>
          <w:ilvl w:val="0"/>
          <w:numId w:val="34"/>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sz w:val="22"/>
          <w:szCs w:val="22"/>
          <w:lang w:eastAsia="en-GB"/>
        </w:rPr>
        <w:t xml:space="preserve">That the Management Group, through the relevant </w:t>
      </w:r>
      <w:r w:rsidRPr="005173BE">
        <w:rPr>
          <w:rFonts w:ascii="Calibri" w:eastAsia="Times New Roman" w:hAnsi="Calibri" w:cs="Times New Roman"/>
          <w:sz w:val="22"/>
          <w:szCs w:val="22"/>
          <w:lang w:eastAsia="en-GB"/>
        </w:rPr>
        <w:t xml:space="preserve">Open Programme Area Groups and their constituent </w:t>
      </w:r>
      <w:r w:rsidRPr="005173BE">
        <w:rPr>
          <w:rFonts w:ascii="Calibri" w:eastAsia="Calibri" w:hAnsi="Calibri" w:cs="Times New Roman"/>
          <w:sz w:val="22"/>
          <w:szCs w:val="22"/>
          <w:lang w:eastAsia="en-GB"/>
        </w:rPr>
        <w:t>teams</w:t>
      </w:r>
      <w:r w:rsidRPr="005173BE">
        <w:rPr>
          <w:rFonts w:ascii="Calibri" w:eastAsia="Calibri" w:hAnsi="Calibri" w:cs="Times New Roman"/>
          <w:color w:val="454545"/>
          <w:sz w:val="22"/>
          <w:szCs w:val="22"/>
          <w:lang w:eastAsia="en-GB"/>
        </w:rPr>
        <w:t xml:space="preserve">, </w:t>
      </w:r>
      <w:r w:rsidRPr="005173BE">
        <w:rPr>
          <w:rFonts w:ascii="Calibri" w:eastAsia="Calibri" w:hAnsi="Calibri" w:cs="Times New Roman"/>
          <w:color w:val="454545"/>
          <w:sz w:val="22"/>
          <w:lang w:eastAsia="en-GB"/>
        </w:rPr>
        <w:t xml:space="preserve">ensures that the wider WMO community (e.g. organisations participating in the “weather enterprise”) is fully engaged in the review of draft or experimental technical </w:t>
      </w:r>
      <w:r w:rsidRPr="005173BE">
        <w:rPr>
          <w:rFonts w:ascii="Calibri" w:eastAsia="Calibri" w:hAnsi="Calibri" w:cs="Times New Roman"/>
          <w:color w:val="454545"/>
          <w:sz w:val="22"/>
          <w:lang w:eastAsia="en-GB"/>
        </w:rPr>
        <w:lastRenderedPageBreak/>
        <w:t>specifications, including the establishment of a functioning forum for communication with and between those likely to implement the draft or experimental technical specification.</w:t>
      </w:r>
    </w:p>
    <w:p w14:paraId="4DDE2F1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5FC1055B" w14:textId="77777777" w:rsidR="005173BE" w:rsidRPr="005173BE" w:rsidRDefault="005173BE" w:rsidP="00606C01">
      <w:pPr>
        <w:numPr>
          <w:ilvl w:val="0"/>
          <w:numId w:val="34"/>
        </w:numPr>
        <w:tabs>
          <w:tab w:val="clear" w:pos="1134"/>
        </w:tabs>
        <w:contextualSpacing/>
        <w:jc w:val="left"/>
        <w:rPr>
          <w:rFonts w:ascii="Calibri" w:eastAsia="Calibri" w:hAnsi="Calibri" w:cs="Times New Roman"/>
          <w:color w:val="454545"/>
          <w:sz w:val="22"/>
          <w:lang w:eastAsia="en-GB"/>
        </w:rPr>
      </w:pPr>
      <w:bookmarkStart w:id="12" w:name="_Ref474400421"/>
      <w:r w:rsidRPr="005173BE">
        <w:rPr>
          <w:rFonts w:ascii="Calibri" w:eastAsia="Calibri" w:hAnsi="Calibri" w:cs="Times New Roman"/>
          <w:color w:val="454545"/>
          <w:sz w:val="22"/>
          <w:lang w:eastAsia="en-GB"/>
        </w:rPr>
        <w:t xml:space="preserve">That the Management Group, through the relevant </w:t>
      </w:r>
      <w:r w:rsidRPr="005173BE">
        <w:rPr>
          <w:rFonts w:ascii="Calibri" w:eastAsia="Times New Roman" w:hAnsi="Calibri" w:cs="Times New Roman"/>
          <w:color w:val="454545"/>
          <w:sz w:val="22"/>
          <w:lang w:eastAsia="en-GB"/>
        </w:rPr>
        <w:t xml:space="preserve">Open Programme Area Groups and their constituent </w:t>
      </w:r>
      <w:r w:rsidRPr="005173BE">
        <w:rPr>
          <w:rFonts w:ascii="Calibri" w:eastAsia="Calibri" w:hAnsi="Calibri" w:cs="Times New Roman"/>
          <w:color w:val="454545"/>
          <w:sz w:val="22"/>
          <w:lang w:eastAsia="en-GB"/>
        </w:rPr>
        <w:t>teams, encourages Members and cooperating international organisations participating in validation of draft or experimental technical specifications to share their experiences and implementations with others to support technical skills transfer and implementation capacity building, and to support regional implementation plans where they exist.</w:t>
      </w:r>
      <w:bookmarkEnd w:id="12"/>
    </w:p>
    <w:p w14:paraId="0AF74DE7"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4C74423A" w14:textId="77777777" w:rsidR="005173BE" w:rsidRPr="005173BE" w:rsidRDefault="005173BE" w:rsidP="00606C01">
      <w:pPr>
        <w:numPr>
          <w:ilvl w:val="0"/>
          <w:numId w:val="34"/>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That the Management Group ensures that draft or experimental technical specifications be subject to “cross-functional” review to ensure that the concerns of each Open Programme Area Group are addressed, including on issues such as security and internationalisation.</w:t>
      </w:r>
    </w:p>
    <w:p w14:paraId="231D8476"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3E6F7118" w14:textId="77777777" w:rsidR="005173BE" w:rsidRPr="005173BE" w:rsidRDefault="005173BE" w:rsidP="00606C01">
      <w:pPr>
        <w:numPr>
          <w:ilvl w:val="0"/>
          <w:numId w:val="34"/>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That, in considering how to best coordinate the work of the Commission with the work of regional association management groups (see </w:t>
      </w:r>
      <w:r w:rsidRPr="005173BE">
        <w:rPr>
          <w:rFonts w:ascii="Calibri" w:eastAsia="Calibri" w:hAnsi="Calibri" w:cs="Times New Roman"/>
          <w:sz w:val="22"/>
          <w:szCs w:val="22"/>
        </w:rPr>
        <w:t>Recommendation 42</w:t>
      </w:r>
      <w:r w:rsidRPr="005173BE">
        <w:rPr>
          <w:rFonts w:ascii="Calibri" w:eastAsia="Calibri" w:hAnsi="Calibri" w:cs="Times New Roman"/>
          <w:color w:val="454545"/>
          <w:sz w:val="22"/>
          <w:lang w:eastAsia="en-GB"/>
        </w:rPr>
        <w:t xml:space="preserve"> (CBS-16)), the Management Group promotes and supports the role of regional associations in developing regional plans to support technical skills transfer between Members and capacity building in support of implementation of amendments to Technical Regulations; and encourage that best practices for technology transfer be adopted among all regional associations.</w:t>
      </w:r>
    </w:p>
    <w:p w14:paraId="54527178"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79D7FAEE" w14:textId="6E10159D" w:rsidR="005173BE" w:rsidRPr="005173BE" w:rsidRDefault="005173BE" w:rsidP="00606C01">
      <w:pPr>
        <w:numPr>
          <w:ilvl w:val="0"/>
          <w:numId w:val="34"/>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That the Management Group, through the relevant </w:t>
      </w:r>
      <w:r w:rsidRPr="005173BE">
        <w:rPr>
          <w:rFonts w:ascii="Calibri" w:eastAsia="Times New Roman" w:hAnsi="Calibri" w:cs="Times New Roman"/>
          <w:color w:val="454545"/>
          <w:sz w:val="22"/>
          <w:lang w:eastAsia="en-GB"/>
        </w:rPr>
        <w:t xml:space="preserve">Open Programme Area Groups and their constituent </w:t>
      </w:r>
      <w:r w:rsidRPr="005173BE">
        <w:rPr>
          <w:rFonts w:ascii="Calibri" w:eastAsia="Calibri" w:hAnsi="Calibri" w:cs="Times New Roman"/>
          <w:color w:val="454545"/>
          <w:sz w:val="22"/>
          <w:lang w:eastAsia="en-GB"/>
        </w:rPr>
        <w:t xml:space="preserve">teams, ensures the availability of supporting materials when considering the readiness for recommendation / adoption of technical specifications, such as implementation guidance, </w:t>
      </w:r>
      <w:r w:rsidR="003215B7">
        <w:rPr>
          <w:rFonts w:ascii="Calibri" w:eastAsia="Calibri" w:hAnsi="Calibri" w:cs="Times New Roman"/>
          <w:color w:val="454545"/>
          <w:sz w:val="22"/>
          <w:lang w:eastAsia="en-GB"/>
        </w:rPr>
        <w:t>examples</w:t>
      </w:r>
      <w:r w:rsidRPr="005173BE">
        <w:rPr>
          <w:rFonts w:ascii="Calibri" w:eastAsia="Calibri" w:hAnsi="Calibri" w:cs="Times New Roman"/>
          <w:color w:val="454545"/>
          <w:sz w:val="22"/>
          <w:lang w:eastAsia="en-GB"/>
        </w:rPr>
        <w:t xml:space="preserve"> of compliant implementations and assessments of Member’s readiness to implement.</w:t>
      </w:r>
    </w:p>
    <w:p w14:paraId="6DC283B4"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5A438B59" w14:textId="77777777" w:rsidR="005173BE" w:rsidRPr="005173BE" w:rsidRDefault="005173BE" w:rsidP="005173BE">
      <w:pPr>
        <w:tabs>
          <w:tab w:val="clear" w:pos="1134"/>
        </w:tabs>
        <w:jc w:val="left"/>
        <w:rPr>
          <w:rFonts w:ascii="Calibri" w:eastAsia="Calibri" w:hAnsi="Calibri" w:cs="Times New Roman"/>
          <w:color w:val="454545"/>
          <w:sz w:val="22"/>
          <w:u w:val="single"/>
          <w:lang w:eastAsia="en-GB"/>
        </w:rPr>
      </w:pPr>
      <w:r w:rsidRPr="005173BE">
        <w:rPr>
          <w:rFonts w:ascii="Calibri" w:eastAsia="Calibri" w:hAnsi="Calibri" w:cs="Times New Roman"/>
          <w:color w:val="454545"/>
          <w:sz w:val="22"/>
          <w:u w:val="single"/>
          <w:lang w:eastAsia="en-GB"/>
        </w:rPr>
        <w:t>It is recommended (for CBS Management Group to determine the appropriate implementation pathway)</w:t>
      </w:r>
    </w:p>
    <w:p w14:paraId="6C45B204"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48CB37BE" w14:textId="77777777" w:rsidR="005173BE" w:rsidRPr="005173BE" w:rsidRDefault="005173BE" w:rsidP="00606C01">
      <w:pPr>
        <w:numPr>
          <w:ilvl w:val="0"/>
          <w:numId w:val="34"/>
        </w:numPr>
        <w:tabs>
          <w:tab w:val="clear" w:pos="1134"/>
        </w:tabs>
        <w:contextualSpacing/>
        <w:jc w:val="left"/>
        <w:rPr>
          <w:rFonts w:ascii="Calibri" w:eastAsia="Times New Roman" w:hAnsi="Calibri" w:cs="Times New Roman"/>
          <w:color w:val="454545"/>
          <w:sz w:val="22"/>
          <w:lang w:eastAsia="en-GB"/>
        </w:rPr>
      </w:pPr>
      <w:r w:rsidRPr="005173BE">
        <w:rPr>
          <w:rFonts w:ascii="Calibri" w:eastAsia="Calibri" w:hAnsi="Calibri" w:cs="Times New Roman"/>
          <w:color w:val="454545"/>
          <w:sz w:val="22"/>
          <w:lang w:eastAsia="en-GB"/>
        </w:rPr>
        <w:t xml:space="preserve">That </w:t>
      </w:r>
      <w:r w:rsidRPr="005173BE">
        <w:rPr>
          <w:rFonts w:ascii="Calibri" w:eastAsia="Times New Roman" w:hAnsi="Calibri" w:cs="Times New Roman"/>
          <w:color w:val="454545"/>
          <w:sz w:val="22"/>
          <w:lang w:eastAsia="en-GB"/>
        </w:rPr>
        <w:t>Guides, as non-regulatory material which complement technical specifications in support of Member implementation, be introduced in a timely manner using the “standard” (between-sessions) procedure, as defined in Resolution 21 (Cg-17) and amended by Resolution 12 (EC-68), and for amendments to Guides to be introduced using the simple (fast-track) process. </w:t>
      </w:r>
    </w:p>
    <w:p w14:paraId="37264A44" w14:textId="77777777" w:rsidR="005173BE" w:rsidRPr="005173BE" w:rsidRDefault="005173BE" w:rsidP="005173BE">
      <w:pPr>
        <w:tabs>
          <w:tab w:val="clear" w:pos="1134"/>
        </w:tabs>
        <w:jc w:val="left"/>
        <w:rPr>
          <w:rFonts w:ascii="Calibri" w:eastAsia="Times New Roman" w:hAnsi="Calibri" w:cs="Times New Roman"/>
          <w:color w:val="454545"/>
          <w:sz w:val="22"/>
          <w:lang w:eastAsia="en-GB"/>
        </w:rPr>
      </w:pPr>
    </w:p>
    <w:p w14:paraId="52FBEF2A" w14:textId="77777777" w:rsidR="005173BE" w:rsidRPr="005173BE" w:rsidRDefault="005173BE" w:rsidP="00606C01">
      <w:pPr>
        <w:numPr>
          <w:ilvl w:val="0"/>
          <w:numId w:val="34"/>
        </w:numPr>
        <w:tabs>
          <w:tab w:val="clear" w:pos="1134"/>
        </w:tabs>
        <w:contextualSpacing/>
        <w:jc w:val="left"/>
        <w:rPr>
          <w:rFonts w:ascii="Calibri" w:eastAsia="Times New Roman" w:hAnsi="Calibri" w:cs="Times New Roman"/>
          <w:color w:val="454545"/>
          <w:sz w:val="22"/>
          <w:lang w:eastAsia="en-GB"/>
        </w:rPr>
      </w:pPr>
      <w:bookmarkStart w:id="13" w:name="_Ref473644061"/>
      <w:r w:rsidRPr="005173BE">
        <w:rPr>
          <w:rFonts w:ascii="Calibri" w:eastAsia="Times New Roman" w:hAnsi="Calibri" w:cs="Times New Roman"/>
          <w:color w:val="454545"/>
          <w:sz w:val="22"/>
          <w:lang w:eastAsia="en-GB"/>
        </w:rPr>
        <w:t xml:space="preserve">That revisions of technical specifications that are not considered “backward-compatible” (e.g. their implementation may require changes to software) be assigned a new publication number enabling a particular revision of a technical specification to be uniquely identified, for example: IWXXM </w:t>
      </w:r>
      <w:r w:rsidRPr="005173BE">
        <w:rPr>
          <w:rFonts w:ascii="Calibri" w:eastAsia="Times New Roman" w:hAnsi="Calibri" w:cs="Times New Roman"/>
          <w:bCs/>
          <w:color w:val="454545"/>
          <w:sz w:val="22"/>
          <w:lang w:eastAsia="en-GB"/>
        </w:rPr>
        <w:t>2.0</w:t>
      </w:r>
      <w:r w:rsidRPr="005173BE">
        <w:rPr>
          <w:rFonts w:ascii="Calibri" w:eastAsia="Times New Roman" w:hAnsi="Calibri" w:cs="Times New Roman"/>
          <w:color w:val="454545"/>
          <w:sz w:val="22"/>
          <w:lang w:eastAsia="en-GB"/>
        </w:rPr>
        <w:t xml:space="preserve"> is designated as “FM 205-</w:t>
      </w:r>
      <w:r w:rsidRPr="005173BE">
        <w:rPr>
          <w:rFonts w:ascii="Calibri" w:eastAsia="Times New Roman" w:hAnsi="Calibri" w:cs="Times New Roman"/>
          <w:bCs/>
          <w:color w:val="454545"/>
          <w:sz w:val="22"/>
          <w:lang w:eastAsia="en-GB"/>
        </w:rPr>
        <w:t xml:space="preserve">16 </w:t>
      </w:r>
      <w:r w:rsidRPr="005173BE">
        <w:rPr>
          <w:rFonts w:ascii="Calibri" w:eastAsia="Times New Roman" w:hAnsi="Calibri" w:cs="Times New Roman"/>
          <w:color w:val="454545"/>
          <w:sz w:val="22"/>
          <w:lang w:eastAsia="en-GB"/>
        </w:rPr>
        <w:t>IWXXM-XML”.</w:t>
      </w:r>
    </w:p>
    <w:p w14:paraId="2612FDA5" w14:textId="77777777" w:rsidR="005173BE" w:rsidRPr="005173BE" w:rsidRDefault="005173BE" w:rsidP="005173BE">
      <w:pPr>
        <w:tabs>
          <w:tab w:val="clear" w:pos="1134"/>
        </w:tabs>
        <w:jc w:val="left"/>
        <w:rPr>
          <w:rFonts w:ascii="Calibri" w:eastAsia="Times New Roman" w:hAnsi="Calibri" w:cs="Times New Roman"/>
          <w:color w:val="454545"/>
          <w:sz w:val="22"/>
          <w:lang w:eastAsia="en-GB"/>
        </w:rPr>
      </w:pPr>
    </w:p>
    <w:p w14:paraId="41995F2F" w14:textId="77777777" w:rsidR="005173BE" w:rsidRPr="005173BE" w:rsidRDefault="005173BE" w:rsidP="00606C01">
      <w:pPr>
        <w:numPr>
          <w:ilvl w:val="0"/>
          <w:numId w:val="34"/>
        </w:numPr>
        <w:tabs>
          <w:tab w:val="clear" w:pos="1134"/>
        </w:tabs>
        <w:contextualSpacing/>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That WMO-No. 1127 “Guidelines on the Preparation and Promulgation of the WMO Technical Regulations” be amended to state that Technical Regulations should explicitly identify target technical specifications that Members are required or urged to implement based on the unique publication number of that specification; for example, referring to the particular Edition of GRIB “FM 92-XIV GRIB (GRIB edition 2)”.</w:t>
      </w:r>
    </w:p>
    <w:p w14:paraId="33E5696A" w14:textId="77777777" w:rsidR="005173BE" w:rsidRPr="005173BE" w:rsidRDefault="005173BE" w:rsidP="005173BE">
      <w:pPr>
        <w:tabs>
          <w:tab w:val="clear" w:pos="1134"/>
        </w:tabs>
        <w:jc w:val="left"/>
        <w:rPr>
          <w:rFonts w:ascii="Calibri" w:eastAsia="Times New Roman" w:hAnsi="Calibri" w:cs="Times New Roman"/>
          <w:color w:val="454545"/>
          <w:sz w:val="22"/>
          <w:lang w:eastAsia="en-GB"/>
        </w:rPr>
      </w:pPr>
    </w:p>
    <w:p w14:paraId="0309CB19" w14:textId="77777777" w:rsidR="005173BE" w:rsidRPr="005173BE" w:rsidRDefault="005173BE" w:rsidP="00606C01">
      <w:pPr>
        <w:numPr>
          <w:ilvl w:val="0"/>
          <w:numId w:val="34"/>
        </w:numPr>
        <w:tabs>
          <w:tab w:val="clear" w:pos="1134"/>
        </w:tabs>
        <w:contextualSpacing/>
        <w:jc w:val="left"/>
        <w:rPr>
          <w:rFonts w:ascii="Calibri" w:eastAsia="Times New Roman" w:hAnsi="Calibri" w:cs="Times New Roman"/>
          <w:color w:val="454545"/>
          <w:sz w:val="22"/>
          <w:lang w:eastAsia="en-GB"/>
        </w:rPr>
      </w:pPr>
      <w:bookmarkStart w:id="14" w:name="validation_procedure"/>
      <w:bookmarkEnd w:id="14"/>
      <w:r w:rsidRPr="005173BE">
        <w:rPr>
          <w:rFonts w:ascii="Calibri" w:eastAsia="Times New Roman" w:hAnsi="Calibri" w:cs="Times New Roman"/>
          <w:color w:val="454545"/>
          <w:sz w:val="22"/>
          <w:lang w:eastAsia="en-GB"/>
        </w:rPr>
        <w:t>That amendments to technical specifications include the following</w:t>
      </w:r>
      <w:r w:rsidRPr="005173BE">
        <w:rPr>
          <w:rFonts w:ascii="Calibri" w:eastAsia="Times New Roman" w:hAnsi="Calibri" w:cs="Times New Roman"/>
          <w:color w:val="454545"/>
          <w:sz w:val="22"/>
          <w:vertAlign w:val="superscript"/>
          <w:lang w:eastAsia="en-GB"/>
        </w:rPr>
        <w:footnoteReference w:id="1"/>
      </w:r>
      <w:r w:rsidRPr="005173BE">
        <w:rPr>
          <w:rFonts w:ascii="Calibri" w:eastAsia="Times New Roman" w:hAnsi="Calibri" w:cs="Times New Roman"/>
          <w:color w:val="454545"/>
          <w:sz w:val="22"/>
          <w:lang w:eastAsia="en-GB"/>
        </w:rPr>
        <w:t xml:space="preserve"> (noting that each Manual may differ in how these concerns are addressed):</w:t>
      </w:r>
      <w:bookmarkEnd w:id="13"/>
    </w:p>
    <w:p w14:paraId="29C12B6A" w14:textId="77777777" w:rsidR="005173BE" w:rsidRPr="005173BE" w:rsidRDefault="005173BE" w:rsidP="00606C01">
      <w:pPr>
        <w:numPr>
          <w:ilvl w:val="0"/>
          <w:numId w:val="28"/>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lastRenderedPageBreak/>
        <w:t xml:space="preserve">verification that compliance with each provision defined in the technical specification relates to a clearly defined requirement and is testable; </w:t>
      </w:r>
    </w:p>
    <w:p w14:paraId="72AB573A" w14:textId="77777777" w:rsidR="005173BE" w:rsidRPr="005173BE" w:rsidRDefault="005173BE" w:rsidP="00606C01">
      <w:pPr>
        <w:numPr>
          <w:ilvl w:val="0"/>
          <w:numId w:val="28"/>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evidence of compliance with the draft technical specification by independent implementations (e.g. a test report);</w:t>
      </w:r>
    </w:p>
    <w:p w14:paraId="323E351F" w14:textId="77777777" w:rsidR="005173BE" w:rsidRPr="005173BE" w:rsidRDefault="005173BE" w:rsidP="00606C01">
      <w:pPr>
        <w:numPr>
          <w:ilvl w:val="0"/>
          <w:numId w:val="28"/>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assessment of the needs of Members in implementing the draft technical specification</w:t>
      </w:r>
      <w:r w:rsidRPr="005173BE">
        <w:rPr>
          <w:rFonts w:ascii="Calibri" w:eastAsia="Calibri" w:hAnsi="Calibri" w:cs="Times New Roman"/>
          <w:color w:val="454545"/>
          <w:sz w:val="22"/>
          <w:vertAlign w:val="superscript"/>
          <w:lang w:eastAsia="en-GB"/>
        </w:rPr>
        <w:footnoteReference w:id="2"/>
      </w:r>
      <w:r w:rsidRPr="005173BE">
        <w:rPr>
          <w:rFonts w:ascii="Calibri" w:eastAsia="Calibri" w:hAnsi="Calibri" w:cs="Times New Roman"/>
          <w:color w:val="454545"/>
          <w:sz w:val="22"/>
          <w:lang w:eastAsia="en-GB"/>
        </w:rPr>
        <w:t xml:space="preserve"> (e.g. an implementation feasibility study that reviews technical readiness of Members); and</w:t>
      </w:r>
    </w:p>
    <w:p w14:paraId="1788B337" w14:textId="77777777" w:rsidR="005173BE" w:rsidRPr="005173BE" w:rsidRDefault="005173BE" w:rsidP="00606C01">
      <w:pPr>
        <w:numPr>
          <w:ilvl w:val="0"/>
          <w:numId w:val="28"/>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provision of the complementary material required to support Member implementation, as identified in that assessment.</w:t>
      </w:r>
    </w:p>
    <w:p w14:paraId="72500D5C" w14:textId="77777777" w:rsidR="005173BE" w:rsidRPr="005173BE" w:rsidRDefault="005173BE" w:rsidP="005173BE">
      <w:pPr>
        <w:tabs>
          <w:tab w:val="clear" w:pos="1134"/>
        </w:tabs>
        <w:jc w:val="left"/>
        <w:rPr>
          <w:rFonts w:ascii="Calibri" w:eastAsia="Times New Roman" w:hAnsi="Calibri" w:cs="Times New Roman"/>
          <w:b/>
          <w:color w:val="454545"/>
          <w:sz w:val="22"/>
          <w:lang w:eastAsia="en-GB"/>
        </w:rPr>
      </w:pPr>
    </w:p>
    <w:p w14:paraId="041D6E19"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br w:type="page"/>
      </w:r>
    </w:p>
    <w:p w14:paraId="7815694E"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lastRenderedPageBreak/>
        <w:t>Section 2: Planning and Communications</w:t>
      </w:r>
    </w:p>
    <w:p w14:paraId="6875C653" w14:textId="77777777" w:rsidR="005173BE" w:rsidRPr="005173BE" w:rsidRDefault="005173BE" w:rsidP="005173BE">
      <w:pPr>
        <w:tabs>
          <w:tab w:val="clear" w:pos="1134"/>
        </w:tabs>
        <w:jc w:val="left"/>
        <w:rPr>
          <w:rFonts w:ascii="Calibri" w:eastAsia="Calibri" w:hAnsi="Calibri" w:cs="Times New Roman"/>
          <w:sz w:val="24"/>
          <w:szCs w:val="24"/>
        </w:rPr>
      </w:pPr>
    </w:p>
    <w:p w14:paraId="09465B10"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rPr>
      </w:pPr>
      <w:r w:rsidRPr="005173BE">
        <w:rPr>
          <w:rFonts w:ascii="Calibri Light" w:eastAsia="Times New Roman" w:hAnsi="Calibri Light" w:cs="Times New Roman"/>
          <w:color w:val="1F3763"/>
          <w:sz w:val="24"/>
          <w:szCs w:val="24"/>
        </w:rPr>
        <w:t>Identification of issues</w:t>
      </w:r>
    </w:p>
    <w:p w14:paraId="6B20206B" w14:textId="77777777" w:rsidR="005173BE" w:rsidRPr="005173BE" w:rsidRDefault="005173BE" w:rsidP="005173BE">
      <w:pPr>
        <w:tabs>
          <w:tab w:val="clear" w:pos="1134"/>
        </w:tabs>
        <w:jc w:val="left"/>
        <w:rPr>
          <w:rFonts w:ascii="Calibri" w:eastAsia="Calibri" w:hAnsi="Calibri" w:cs="Times New Roman"/>
          <w:sz w:val="24"/>
          <w:szCs w:val="24"/>
        </w:rPr>
      </w:pPr>
    </w:p>
    <w:p w14:paraId="4A889E22" w14:textId="77777777" w:rsidR="005173BE" w:rsidRPr="005173BE" w:rsidRDefault="005173BE" w:rsidP="00606C01">
      <w:pPr>
        <w:numPr>
          <w:ilvl w:val="0"/>
          <w:numId w:val="22"/>
        </w:numPr>
        <w:tabs>
          <w:tab w:val="clear" w:pos="1134"/>
        </w:tabs>
        <w:contextualSpacing/>
        <w:jc w:val="left"/>
        <w:rPr>
          <w:rFonts w:ascii="Calibri" w:eastAsia="Calibri" w:hAnsi="Calibri" w:cs="Times New Roman"/>
          <w:color w:val="454545"/>
          <w:sz w:val="22"/>
          <w:lang w:eastAsia="en-GB"/>
        </w:rPr>
      </w:pPr>
      <w:bookmarkStart w:id="15" w:name="issue_2_i"/>
      <w:r w:rsidRPr="005173BE">
        <w:rPr>
          <w:rFonts w:ascii="Calibri" w:eastAsia="Calibri" w:hAnsi="Calibri" w:cs="Times New Roman"/>
          <w:color w:val="454545"/>
          <w:sz w:val="22"/>
          <w:lang w:eastAsia="en-GB"/>
        </w:rPr>
        <w:t>There is an increasing demand on the Commission to support Members in responding to strategic changes; the budget available to support the work of the Commission is not increasing.</w:t>
      </w:r>
      <w:bookmarkEnd w:id="15"/>
    </w:p>
    <w:p w14:paraId="76276287" w14:textId="77777777" w:rsidR="005173BE" w:rsidRPr="005173BE" w:rsidRDefault="005173BE" w:rsidP="00606C01">
      <w:pPr>
        <w:numPr>
          <w:ilvl w:val="0"/>
          <w:numId w:val="22"/>
        </w:numPr>
        <w:tabs>
          <w:tab w:val="clear" w:pos="1134"/>
        </w:tabs>
        <w:contextualSpacing/>
        <w:jc w:val="left"/>
        <w:rPr>
          <w:rFonts w:ascii="Calibri" w:eastAsia="Calibri" w:hAnsi="Calibri" w:cs="Times New Roman"/>
          <w:color w:val="454545"/>
          <w:sz w:val="22"/>
          <w:lang w:eastAsia="en-GB"/>
        </w:rPr>
      </w:pPr>
      <w:bookmarkStart w:id="16" w:name="issue_2_ii"/>
      <w:r w:rsidRPr="005173BE">
        <w:rPr>
          <w:rFonts w:ascii="Calibri" w:eastAsia="Calibri" w:hAnsi="Calibri" w:cs="Times New Roman"/>
          <w:color w:val="454545"/>
          <w:sz w:val="22"/>
          <w:lang w:eastAsia="en-GB"/>
        </w:rPr>
        <w:t>Members lack the forward visibility of planned and pending changes to Technical Regulations needed to be able to plan for implementation of those changes once adopted, or to engage with the designated committee during the preparation of those changes. </w:t>
      </w:r>
      <w:bookmarkEnd w:id="16"/>
    </w:p>
    <w:p w14:paraId="5FFBCFA0" w14:textId="77777777" w:rsidR="005173BE" w:rsidRPr="005173BE" w:rsidRDefault="005173BE" w:rsidP="00606C01">
      <w:pPr>
        <w:numPr>
          <w:ilvl w:val="0"/>
          <w:numId w:val="22"/>
        </w:numPr>
        <w:tabs>
          <w:tab w:val="clear" w:pos="1134"/>
        </w:tabs>
        <w:contextualSpacing/>
        <w:jc w:val="left"/>
        <w:rPr>
          <w:rFonts w:ascii="Calibri" w:eastAsia="Calibri" w:hAnsi="Calibri" w:cs="Times New Roman"/>
          <w:color w:val="454545"/>
          <w:sz w:val="22"/>
          <w:lang w:eastAsia="en-GB"/>
        </w:rPr>
      </w:pPr>
      <w:bookmarkStart w:id="17" w:name="issue_2_iii"/>
      <w:r w:rsidRPr="005173BE">
        <w:rPr>
          <w:rFonts w:ascii="Calibri" w:eastAsia="Calibri" w:hAnsi="Calibri" w:cs="Times New Roman"/>
          <w:color w:val="454545"/>
          <w:sz w:val="22"/>
          <w:lang w:eastAsia="en-GB"/>
        </w:rPr>
        <w:t>The adoption schedule for Technical Regulations is disconnected from the approval schedule for associated technical specification(s).</w:t>
      </w:r>
      <w:bookmarkEnd w:id="17"/>
    </w:p>
    <w:p w14:paraId="5A590D42" w14:textId="77777777" w:rsidR="005173BE" w:rsidRPr="005173BE" w:rsidRDefault="005173BE" w:rsidP="00606C01">
      <w:pPr>
        <w:numPr>
          <w:ilvl w:val="0"/>
          <w:numId w:val="22"/>
        </w:numPr>
        <w:tabs>
          <w:tab w:val="clear" w:pos="1134"/>
        </w:tabs>
        <w:contextualSpacing/>
        <w:jc w:val="left"/>
        <w:rPr>
          <w:rFonts w:ascii="Calibri" w:eastAsia="Calibri" w:hAnsi="Calibri" w:cs="Times New Roman"/>
          <w:color w:val="454545"/>
          <w:sz w:val="22"/>
          <w:lang w:eastAsia="en-GB"/>
        </w:rPr>
      </w:pPr>
      <w:bookmarkStart w:id="18" w:name="issue_2_iv"/>
      <w:r w:rsidRPr="005173BE">
        <w:rPr>
          <w:rFonts w:ascii="Calibri" w:eastAsia="Calibri" w:hAnsi="Calibri" w:cs="Times New Roman"/>
          <w:color w:val="454545"/>
          <w:sz w:val="22"/>
          <w:lang w:eastAsia="en-GB"/>
        </w:rPr>
        <w:t>The boundaries between the work of each Open Programme Area Group are blurring.</w:t>
      </w:r>
      <w:bookmarkEnd w:id="18"/>
    </w:p>
    <w:p w14:paraId="255E788A" w14:textId="77777777" w:rsidR="005173BE" w:rsidRPr="005173BE" w:rsidRDefault="005173BE" w:rsidP="00606C01">
      <w:pPr>
        <w:numPr>
          <w:ilvl w:val="0"/>
          <w:numId w:val="22"/>
        </w:numPr>
        <w:tabs>
          <w:tab w:val="clear" w:pos="1134"/>
        </w:tabs>
        <w:contextualSpacing/>
        <w:jc w:val="left"/>
        <w:rPr>
          <w:rFonts w:ascii="Calibri" w:eastAsia="Calibri" w:hAnsi="Calibri" w:cs="Times New Roman"/>
          <w:color w:val="454545"/>
          <w:sz w:val="22"/>
          <w:lang w:eastAsia="en-GB"/>
        </w:rPr>
      </w:pPr>
      <w:bookmarkStart w:id="19" w:name="issue_2_v"/>
      <w:r w:rsidRPr="005173BE">
        <w:rPr>
          <w:rFonts w:ascii="Calibri" w:eastAsia="Calibri" w:hAnsi="Calibri" w:cs="Times New Roman"/>
          <w:color w:val="454545"/>
          <w:sz w:val="22"/>
          <w:lang w:eastAsia="en-GB"/>
        </w:rPr>
        <w:t>The existing provisions for amending work plans and membership of the Commission’s constituent teams between Sessions are not well used, thereby reducing the ability of the Commission to respond to emerging issues in a timely manner.</w:t>
      </w:r>
      <w:bookmarkEnd w:id="19"/>
      <w:r w:rsidRPr="005173BE">
        <w:rPr>
          <w:rFonts w:ascii="Calibri" w:eastAsia="Calibri" w:hAnsi="Calibri" w:cs="Times New Roman"/>
          <w:color w:val="454545"/>
          <w:sz w:val="22"/>
          <w:lang w:eastAsia="en-GB"/>
        </w:rPr>
        <w:t xml:space="preserve"> </w:t>
      </w:r>
    </w:p>
    <w:p w14:paraId="34431EA0" w14:textId="77777777" w:rsidR="005173BE" w:rsidRPr="005173BE" w:rsidRDefault="005173BE" w:rsidP="00606C01">
      <w:pPr>
        <w:numPr>
          <w:ilvl w:val="0"/>
          <w:numId w:val="22"/>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usefulness of the “vote by correspondence” intersessional approval mechanism for amendments to Technical Regulations is severely limited by the absence of a communication strategy to achieve the associated quorum requirements.</w:t>
      </w:r>
    </w:p>
    <w:p w14:paraId="0DFAA776"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63F70A58"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754BFD1"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Recommendations</w:t>
      </w:r>
    </w:p>
    <w:p w14:paraId="294F7358" w14:textId="77777777" w:rsidR="005173BE" w:rsidRPr="005173BE" w:rsidRDefault="005173BE" w:rsidP="005173BE">
      <w:pPr>
        <w:tabs>
          <w:tab w:val="clear" w:pos="1134"/>
        </w:tabs>
        <w:jc w:val="left"/>
        <w:rPr>
          <w:rFonts w:ascii="Calibri" w:eastAsia="Calibri" w:hAnsi="Calibri" w:cs="Times New Roman"/>
          <w:sz w:val="24"/>
          <w:szCs w:val="24"/>
          <w:lang w:eastAsia="en-GB"/>
        </w:rPr>
      </w:pPr>
    </w:p>
    <w:p w14:paraId="6808B63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aim of these recommendations is to put in place a Commission-wide work plan and associated work item approval process. The work plan should be responsive to requirements that arise between Commission sessions and ensure prioritisation of resources in line with WMO strategic priorities. Work items within that plan should include appropriate phases e.g. development of experimental technical specification, engagement with the implementation community to validate technical specification, development of supporting material for Member implementation. Members and cooperating international organisations are encouraged to collaboratively develop concepts using WMO/CBS affiliated projects to achieve the necessary level of maturity required for assessment as a new work item. A CBS work plan with its associated timelines and implementation plans will facilitate communication and engagement with Members and regional associations.</w:t>
      </w:r>
    </w:p>
    <w:p w14:paraId="3142F4C8"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70B57B37" w14:textId="77777777" w:rsidR="005173BE" w:rsidRPr="005173BE" w:rsidRDefault="005173BE" w:rsidP="005173BE">
      <w:pPr>
        <w:tabs>
          <w:tab w:val="clear" w:pos="1134"/>
        </w:tabs>
        <w:jc w:val="left"/>
        <w:rPr>
          <w:rFonts w:ascii="Calibri" w:eastAsia="Calibri" w:hAnsi="Calibri" w:cs="Times New Roman"/>
          <w:color w:val="454545"/>
          <w:sz w:val="22"/>
          <w:u w:val="single"/>
          <w:lang w:eastAsia="en-GB"/>
        </w:rPr>
      </w:pPr>
      <w:r w:rsidRPr="005173BE">
        <w:rPr>
          <w:rFonts w:ascii="Calibri" w:eastAsia="Calibri" w:hAnsi="Calibri" w:cs="Times New Roman"/>
          <w:color w:val="454545"/>
          <w:sz w:val="22"/>
          <w:u w:val="single"/>
          <w:lang w:eastAsia="en-GB"/>
        </w:rPr>
        <w:t>It is recommended that the CBS Management Group</w:t>
      </w:r>
    </w:p>
    <w:p w14:paraId="7D44CFA8"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53DF68C6" w14:textId="77777777" w:rsidR="005173BE" w:rsidRPr="005173BE" w:rsidRDefault="005173BE" w:rsidP="00606C01">
      <w:pPr>
        <w:numPr>
          <w:ilvl w:val="0"/>
          <w:numId w:val="20"/>
        </w:numPr>
        <w:tabs>
          <w:tab w:val="clear" w:pos="1134"/>
        </w:tabs>
        <w:ind w:left="567" w:hanging="567"/>
        <w:contextualSpacing/>
        <w:jc w:val="left"/>
        <w:rPr>
          <w:rFonts w:ascii="Calibri" w:eastAsia="Calibri" w:hAnsi="Calibri" w:cs="Times New Roman"/>
          <w:color w:val="454545"/>
          <w:sz w:val="22"/>
          <w:lang w:eastAsia="en-GB"/>
        </w:rPr>
      </w:pPr>
      <w:r w:rsidRPr="005173BE">
        <w:rPr>
          <w:rFonts w:ascii="Calibri" w:eastAsia="Calibri" w:hAnsi="Calibri" w:cs="Times New Roman"/>
          <w:b/>
          <w:color w:val="454545"/>
          <w:sz w:val="22"/>
          <w:lang w:eastAsia="en-GB"/>
        </w:rPr>
        <w:t xml:space="preserve">Creates and maintains </w:t>
      </w:r>
      <w:r w:rsidRPr="005173BE">
        <w:rPr>
          <w:rFonts w:ascii="Calibri" w:eastAsia="Calibri" w:hAnsi="Calibri" w:cs="Times New Roman"/>
          <w:color w:val="454545"/>
          <w:sz w:val="22"/>
          <w:lang w:eastAsia="en-GB"/>
        </w:rPr>
        <w:t xml:space="preserve">a work plan which: </w:t>
      </w:r>
    </w:p>
    <w:p w14:paraId="3CC360CD" w14:textId="77777777" w:rsidR="005173BE" w:rsidRPr="005173BE" w:rsidRDefault="005173BE" w:rsidP="00606C01">
      <w:pPr>
        <w:numPr>
          <w:ilvl w:val="0"/>
          <w:numId w:val="23"/>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provides a clear overview of the work of the Commission;</w:t>
      </w:r>
    </w:p>
    <w:p w14:paraId="2E656F64" w14:textId="77777777" w:rsidR="005173BE" w:rsidRPr="005173BE" w:rsidRDefault="005173BE" w:rsidP="00606C01">
      <w:pPr>
        <w:numPr>
          <w:ilvl w:val="0"/>
          <w:numId w:val="23"/>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describes the constituent work items, specifying the objectives, deliverables, milestones, timescales and Manuals and/or Guides to be amended;</w:t>
      </w:r>
    </w:p>
    <w:p w14:paraId="046F1DC8" w14:textId="77777777" w:rsidR="005173BE" w:rsidRPr="005173BE" w:rsidRDefault="005173BE" w:rsidP="00606C01">
      <w:pPr>
        <w:numPr>
          <w:ilvl w:val="0"/>
          <w:numId w:val="23"/>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identifies the working body assigned to deliver each work item and describes the governance arrangements for that team (e.g. nominated chairperson and co-chair);</w:t>
      </w:r>
    </w:p>
    <w:p w14:paraId="35D63BF4" w14:textId="77777777" w:rsidR="005173BE" w:rsidRPr="005173BE" w:rsidRDefault="005173BE" w:rsidP="00606C01">
      <w:pPr>
        <w:numPr>
          <w:ilvl w:val="0"/>
          <w:numId w:val="23"/>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identifies the interdependencies between work items; and</w:t>
      </w:r>
    </w:p>
    <w:p w14:paraId="76C6BF40" w14:textId="77777777" w:rsidR="005173BE" w:rsidRPr="005173BE" w:rsidRDefault="005173BE" w:rsidP="00606C01">
      <w:pPr>
        <w:numPr>
          <w:ilvl w:val="0"/>
          <w:numId w:val="23"/>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includes a communications plan for planned and pending changes.</w:t>
      </w:r>
    </w:p>
    <w:p w14:paraId="41A4029F"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4C0557B7"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b/>
          <w:color w:val="454545"/>
          <w:sz w:val="22"/>
          <w:lang w:eastAsia="en-GB"/>
        </w:rPr>
      </w:pPr>
      <w:r w:rsidRPr="005173BE">
        <w:rPr>
          <w:rFonts w:ascii="Calibri" w:eastAsia="Calibri" w:hAnsi="Calibri" w:cs="Times New Roman"/>
          <w:b/>
          <w:color w:val="454545"/>
          <w:sz w:val="22"/>
          <w:lang w:eastAsia="en-GB"/>
        </w:rPr>
        <w:t xml:space="preserve">Rigorously assesses </w:t>
      </w:r>
      <w:r w:rsidRPr="005173BE">
        <w:rPr>
          <w:rFonts w:ascii="Calibri" w:eastAsia="Calibri" w:hAnsi="Calibri" w:cs="Times New Roman"/>
          <w:color w:val="454545"/>
          <w:sz w:val="22"/>
          <w:lang w:eastAsia="en-GB"/>
        </w:rPr>
        <w:t>the work plan to ensure that:</w:t>
      </w:r>
    </w:p>
    <w:p w14:paraId="0402EC0A" w14:textId="77777777" w:rsidR="005173BE" w:rsidRPr="005173BE" w:rsidRDefault="005173BE" w:rsidP="00606C01">
      <w:pPr>
        <w:numPr>
          <w:ilvl w:val="0"/>
          <w:numId w:val="29"/>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activities responding to the strategic drivers of WMO and the Commission can be prioritised; and </w:t>
      </w:r>
    </w:p>
    <w:p w14:paraId="7F25E5F7" w14:textId="77777777" w:rsidR="005173BE" w:rsidRPr="005173BE" w:rsidRDefault="005173BE" w:rsidP="00606C01">
      <w:pPr>
        <w:numPr>
          <w:ilvl w:val="0"/>
          <w:numId w:val="29"/>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necessary resources are in place to support those activities.</w:t>
      </w:r>
    </w:p>
    <w:p w14:paraId="6BF4269E"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07A7F33"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bookmarkStart w:id="20" w:name="_Ref474412746"/>
      <w:r w:rsidRPr="005173BE">
        <w:rPr>
          <w:rFonts w:ascii="Calibri" w:eastAsia="Calibri" w:hAnsi="Calibri" w:cs="Times New Roman"/>
          <w:b/>
          <w:color w:val="454545"/>
          <w:sz w:val="22"/>
          <w:lang w:eastAsia="en-GB"/>
        </w:rPr>
        <w:lastRenderedPageBreak/>
        <w:t>Ensures</w:t>
      </w:r>
      <w:r w:rsidRPr="005173BE">
        <w:rPr>
          <w:rFonts w:ascii="Calibri" w:eastAsia="Calibri" w:hAnsi="Calibri" w:cs="Times New Roman"/>
          <w:color w:val="454545"/>
          <w:sz w:val="22"/>
          <w:lang w:eastAsia="en-GB"/>
        </w:rPr>
        <w:t xml:space="preserve"> that communications with Members and regional associations include timely engagement on:</w:t>
      </w:r>
      <w:bookmarkEnd w:id="20"/>
    </w:p>
    <w:p w14:paraId="466E8E7C" w14:textId="77777777" w:rsidR="005173BE" w:rsidRPr="005173BE" w:rsidRDefault="005173BE" w:rsidP="00606C01">
      <w:pPr>
        <w:numPr>
          <w:ilvl w:val="0"/>
          <w:numId w:val="33"/>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content of the work plan;</w:t>
      </w:r>
    </w:p>
    <w:p w14:paraId="1A5D056A" w14:textId="77777777" w:rsidR="005173BE" w:rsidRPr="005173BE" w:rsidRDefault="005173BE" w:rsidP="00606C01">
      <w:pPr>
        <w:numPr>
          <w:ilvl w:val="0"/>
          <w:numId w:val="33"/>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development of a clear understanding of planned and pending changes, the benefits arising from those changes and the implications anticipated to arise from implementation – especially where implementation is expected to be resource intensive;</w:t>
      </w:r>
    </w:p>
    <w:p w14:paraId="7DA5693A" w14:textId="77777777" w:rsidR="005173BE" w:rsidRPr="005173BE" w:rsidRDefault="005173BE" w:rsidP="00606C01">
      <w:pPr>
        <w:numPr>
          <w:ilvl w:val="0"/>
          <w:numId w:val="33"/>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systematic identification and resolution of impediments to implementation experienced by Members; and</w:t>
      </w:r>
    </w:p>
    <w:p w14:paraId="4DC2DF57" w14:textId="77777777" w:rsidR="005173BE" w:rsidRPr="005173BE" w:rsidRDefault="005173BE" w:rsidP="00606C01">
      <w:pPr>
        <w:numPr>
          <w:ilvl w:val="0"/>
          <w:numId w:val="33"/>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planned approval schedule and mechanism envisaged</w:t>
      </w:r>
      <w:r w:rsidRPr="005173BE">
        <w:rPr>
          <w:rFonts w:ascii="Calibri" w:eastAsia="Calibri" w:hAnsi="Calibri" w:cs="Times New Roman"/>
          <w:color w:val="454545"/>
          <w:sz w:val="22"/>
          <w:vertAlign w:val="superscript"/>
          <w:lang w:eastAsia="en-GB"/>
        </w:rPr>
        <w:footnoteReference w:id="3"/>
      </w:r>
      <w:r w:rsidRPr="005173BE">
        <w:rPr>
          <w:rFonts w:ascii="Calibri" w:eastAsia="Calibri" w:hAnsi="Calibri" w:cs="Times New Roman"/>
          <w:color w:val="454545"/>
          <w:sz w:val="22"/>
          <w:lang w:eastAsia="en-GB"/>
        </w:rPr>
        <w:t xml:space="preserve"> – simple (fast-track), standard (between sessions), complex (during sessions) or vote by correspondence.   </w:t>
      </w:r>
    </w:p>
    <w:p w14:paraId="47FEDD74"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782849C"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r w:rsidRPr="005173BE">
        <w:rPr>
          <w:rFonts w:ascii="Calibri" w:eastAsia="Calibri" w:hAnsi="Calibri" w:cs="Times New Roman"/>
          <w:b/>
          <w:color w:val="454545"/>
          <w:sz w:val="22"/>
          <w:lang w:eastAsia="en-GB"/>
        </w:rPr>
        <w:t>Ensures</w:t>
      </w:r>
      <w:r w:rsidRPr="005173BE">
        <w:rPr>
          <w:rFonts w:ascii="Calibri" w:eastAsia="Calibri" w:hAnsi="Calibri" w:cs="Times New Roman"/>
          <w:color w:val="454545"/>
          <w:sz w:val="22"/>
          <w:lang w:eastAsia="en-GB"/>
        </w:rPr>
        <w:t xml:space="preserve"> that communications with Congress and Executive Council provide the necessary information to inform budgetary decisions concerning technical skills transfer and capacity building activities which support Member implementation of amendments to Technical Regulations.</w:t>
      </w:r>
    </w:p>
    <w:p w14:paraId="05260382"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E61337F"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r w:rsidRPr="005173BE">
        <w:rPr>
          <w:rFonts w:ascii="Calibri" w:eastAsia="Calibri" w:hAnsi="Calibri" w:cs="Times New Roman"/>
          <w:b/>
          <w:color w:val="454545"/>
          <w:sz w:val="22"/>
          <w:lang w:eastAsia="en-GB"/>
        </w:rPr>
        <w:t>Manages</w:t>
      </w:r>
      <w:r w:rsidRPr="005173BE">
        <w:rPr>
          <w:rFonts w:ascii="Calibri" w:eastAsia="Calibri" w:hAnsi="Calibri" w:cs="Times New Roman"/>
          <w:color w:val="454545"/>
          <w:sz w:val="22"/>
          <w:lang w:eastAsia="en-GB"/>
        </w:rPr>
        <w:t xml:space="preserve"> the interdependencies and risks of the work plan, ensuring the approval schedule and adoption schedule for interdependent amendments to Technical Regulations are aligned.</w:t>
      </w:r>
    </w:p>
    <w:p w14:paraId="12015B7E" w14:textId="77777777" w:rsidR="005173BE" w:rsidRPr="005173BE" w:rsidRDefault="005173BE" w:rsidP="005173BE">
      <w:pPr>
        <w:tabs>
          <w:tab w:val="clear" w:pos="1134"/>
        </w:tabs>
        <w:ind w:left="720"/>
        <w:contextualSpacing/>
        <w:jc w:val="left"/>
        <w:rPr>
          <w:rFonts w:ascii="Calibri" w:eastAsia="Calibri" w:hAnsi="Calibri" w:cs="Times New Roman"/>
          <w:color w:val="454545"/>
          <w:sz w:val="22"/>
          <w:lang w:eastAsia="en-GB"/>
        </w:rPr>
      </w:pPr>
    </w:p>
    <w:p w14:paraId="591FA7C5"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r w:rsidRPr="005173BE">
        <w:rPr>
          <w:rFonts w:ascii="Calibri" w:eastAsia="Calibri" w:hAnsi="Calibri" w:cs="Times New Roman"/>
          <w:b/>
          <w:color w:val="454545"/>
          <w:sz w:val="22"/>
          <w:lang w:eastAsia="en-GB"/>
        </w:rPr>
        <w:t>Works with</w:t>
      </w:r>
      <w:r w:rsidRPr="005173BE">
        <w:rPr>
          <w:rFonts w:ascii="Calibri" w:eastAsia="Calibri" w:hAnsi="Calibri" w:cs="Times New Roman"/>
          <w:color w:val="454545"/>
          <w:sz w:val="22"/>
          <w:lang w:eastAsia="en-GB"/>
        </w:rPr>
        <w:t xml:space="preserve"> the WMO Secretariat to ensure that Secretariat support is effectively allocated to help working bodies deliver their objectives.</w:t>
      </w:r>
    </w:p>
    <w:p w14:paraId="2E7416D8"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369D33FC"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47E02A61" w14:textId="77777777" w:rsidR="005173BE" w:rsidRPr="005173BE" w:rsidRDefault="005173BE" w:rsidP="005173BE">
      <w:pPr>
        <w:keepNext/>
        <w:tabs>
          <w:tab w:val="clear" w:pos="1134"/>
        </w:tabs>
        <w:jc w:val="left"/>
        <w:rPr>
          <w:rFonts w:ascii="Calibri" w:eastAsia="Calibri" w:hAnsi="Calibri" w:cs="Times New Roman"/>
          <w:sz w:val="24"/>
          <w:szCs w:val="24"/>
        </w:rPr>
      </w:pPr>
      <w:r w:rsidRPr="005173BE">
        <w:rPr>
          <w:rFonts w:ascii="Calibri" w:eastAsia="Calibri" w:hAnsi="Calibri" w:cs="Times New Roman"/>
          <w:noProof/>
          <w:color w:val="FF0000"/>
          <w:sz w:val="22"/>
          <w:lang w:val="en-US" w:eastAsia="zh-CN"/>
        </w:rPr>
        <w:drawing>
          <wp:inline distT="0" distB="0" distL="0" distR="0" wp14:anchorId="20164467" wp14:editId="114ADA58">
            <wp:extent cx="6025155" cy="997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45093" cy="1000590"/>
                    </a:xfrm>
                    <a:prstGeom prst="rect">
                      <a:avLst/>
                    </a:prstGeom>
                  </pic:spPr>
                </pic:pic>
              </a:graphicData>
            </a:graphic>
          </wp:inline>
        </w:drawing>
      </w:r>
    </w:p>
    <w:p w14:paraId="7DC6B14A" w14:textId="77777777" w:rsidR="005173BE" w:rsidRPr="005173BE" w:rsidRDefault="005173BE" w:rsidP="005173BE">
      <w:pPr>
        <w:tabs>
          <w:tab w:val="clear" w:pos="1134"/>
        </w:tabs>
        <w:spacing w:after="200"/>
        <w:jc w:val="left"/>
        <w:rPr>
          <w:rFonts w:ascii="Calibri" w:eastAsia="Calibri" w:hAnsi="Calibri" w:cs="Times New Roman"/>
          <w:i/>
          <w:iCs/>
          <w:color w:val="44546A"/>
          <w:sz w:val="18"/>
          <w:szCs w:val="18"/>
        </w:rPr>
      </w:pPr>
      <w:bookmarkStart w:id="21" w:name="_Ref475121091"/>
      <w:r w:rsidRPr="005173BE">
        <w:rPr>
          <w:rFonts w:ascii="Calibri" w:eastAsia="Calibri" w:hAnsi="Calibri" w:cs="Times New Roman"/>
          <w:i/>
          <w:iCs/>
          <w:color w:val="44546A"/>
          <w:sz w:val="18"/>
          <w:szCs w:val="18"/>
        </w:rPr>
        <w:t xml:space="preserve">Figure </w:t>
      </w:r>
      <w:r w:rsidRPr="005173BE">
        <w:rPr>
          <w:rFonts w:ascii="Calibri" w:eastAsia="Calibri" w:hAnsi="Calibri" w:cs="Times New Roman"/>
          <w:i/>
          <w:iCs/>
          <w:color w:val="44546A"/>
          <w:sz w:val="18"/>
          <w:szCs w:val="18"/>
        </w:rPr>
        <w:fldChar w:fldCharType="begin"/>
      </w:r>
      <w:r w:rsidRPr="005173BE">
        <w:rPr>
          <w:rFonts w:ascii="Calibri" w:eastAsia="Calibri" w:hAnsi="Calibri" w:cs="Times New Roman"/>
          <w:i/>
          <w:iCs/>
          <w:color w:val="44546A"/>
          <w:sz w:val="18"/>
          <w:szCs w:val="18"/>
        </w:rPr>
        <w:instrText xml:space="preserve"> SEQ Figure \* ARABIC </w:instrText>
      </w:r>
      <w:r w:rsidRPr="005173BE">
        <w:rPr>
          <w:rFonts w:ascii="Calibri" w:eastAsia="Calibri" w:hAnsi="Calibri" w:cs="Times New Roman"/>
          <w:i/>
          <w:iCs/>
          <w:color w:val="44546A"/>
          <w:sz w:val="18"/>
          <w:szCs w:val="18"/>
        </w:rPr>
        <w:fldChar w:fldCharType="separate"/>
      </w:r>
      <w:r w:rsidR="007F7A40">
        <w:rPr>
          <w:rFonts w:ascii="Calibri" w:eastAsia="Calibri" w:hAnsi="Calibri" w:cs="Times New Roman"/>
          <w:i/>
          <w:iCs/>
          <w:noProof/>
          <w:color w:val="44546A"/>
          <w:sz w:val="18"/>
          <w:szCs w:val="18"/>
        </w:rPr>
        <w:t>1</w:t>
      </w:r>
      <w:r w:rsidRPr="005173BE">
        <w:rPr>
          <w:rFonts w:ascii="Calibri" w:eastAsia="Calibri" w:hAnsi="Calibri" w:cs="Times New Roman"/>
          <w:i/>
          <w:iCs/>
          <w:noProof/>
          <w:color w:val="44546A"/>
          <w:sz w:val="18"/>
          <w:szCs w:val="18"/>
        </w:rPr>
        <w:fldChar w:fldCharType="end"/>
      </w:r>
      <w:bookmarkEnd w:id="21"/>
      <w:r w:rsidRPr="005173BE">
        <w:rPr>
          <w:rFonts w:ascii="Calibri" w:eastAsia="Calibri" w:hAnsi="Calibri" w:cs="Times New Roman"/>
          <w:i/>
          <w:iCs/>
          <w:color w:val="44546A"/>
          <w:sz w:val="18"/>
          <w:szCs w:val="18"/>
        </w:rPr>
        <w:t>: New work item proposal procedure</w:t>
      </w:r>
    </w:p>
    <w:p w14:paraId="4A8C4CDB" w14:textId="77777777" w:rsidR="005173BE" w:rsidRPr="005173BE" w:rsidRDefault="005173BE" w:rsidP="005173BE">
      <w:pPr>
        <w:tabs>
          <w:tab w:val="clear" w:pos="1134"/>
        </w:tabs>
        <w:jc w:val="left"/>
        <w:rPr>
          <w:rFonts w:ascii="Calibri" w:eastAsia="Calibri" w:hAnsi="Calibri" w:cs="Times New Roman"/>
          <w:color w:val="FF0000"/>
          <w:sz w:val="22"/>
          <w:lang w:eastAsia="en-GB"/>
        </w:rPr>
      </w:pPr>
    </w:p>
    <w:p w14:paraId="036D59D6"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bookmarkStart w:id="22" w:name="_Ref473664841"/>
      <w:r w:rsidRPr="005173BE">
        <w:rPr>
          <w:rFonts w:ascii="Calibri" w:eastAsia="Calibri" w:hAnsi="Calibri" w:cs="Times New Roman"/>
          <w:b/>
          <w:color w:val="454545"/>
          <w:sz w:val="22"/>
          <w:lang w:eastAsia="en-GB"/>
        </w:rPr>
        <w:t>Develops</w:t>
      </w:r>
      <w:r w:rsidRPr="005173BE">
        <w:rPr>
          <w:rFonts w:ascii="Calibri" w:eastAsia="Calibri" w:hAnsi="Calibri" w:cs="Times New Roman"/>
          <w:color w:val="454545"/>
          <w:sz w:val="22"/>
          <w:lang w:eastAsia="en-GB"/>
        </w:rPr>
        <w:t xml:space="preserve"> a procedure for managing new work item proposals (see </w:t>
      </w:r>
      <w:r w:rsidRPr="005173BE">
        <w:rPr>
          <w:rFonts w:ascii="Calibri" w:eastAsia="Calibri" w:hAnsi="Calibri" w:cs="Times New Roman"/>
          <w:color w:val="454545"/>
          <w:sz w:val="22"/>
          <w:szCs w:val="22"/>
          <w:u w:val="single"/>
          <w:lang w:eastAsia="en-GB"/>
        </w:rPr>
        <w:fldChar w:fldCharType="begin"/>
      </w:r>
      <w:r w:rsidRPr="005173BE">
        <w:rPr>
          <w:rFonts w:ascii="Calibri" w:eastAsia="Calibri" w:hAnsi="Calibri" w:cs="Times New Roman"/>
          <w:color w:val="454545"/>
          <w:sz w:val="22"/>
          <w:szCs w:val="22"/>
          <w:u w:val="single"/>
          <w:lang w:eastAsia="en-GB"/>
        </w:rPr>
        <w:instrText xml:space="preserve"> REF _Ref475121091 \h  \* MERGEFORMAT </w:instrText>
      </w:r>
      <w:r w:rsidRPr="005173BE">
        <w:rPr>
          <w:rFonts w:ascii="Calibri" w:eastAsia="Calibri" w:hAnsi="Calibri" w:cs="Times New Roman"/>
          <w:color w:val="454545"/>
          <w:sz w:val="22"/>
          <w:szCs w:val="22"/>
          <w:u w:val="single"/>
          <w:lang w:eastAsia="en-GB"/>
        </w:rPr>
      </w:r>
      <w:r w:rsidRPr="005173BE">
        <w:rPr>
          <w:rFonts w:ascii="Calibri" w:eastAsia="Calibri" w:hAnsi="Calibri" w:cs="Times New Roman"/>
          <w:color w:val="454545"/>
          <w:sz w:val="22"/>
          <w:szCs w:val="22"/>
          <w:u w:val="single"/>
          <w:lang w:eastAsia="en-GB"/>
        </w:rPr>
        <w:fldChar w:fldCharType="separate"/>
      </w:r>
      <w:r w:rsidR="007F7A40" w:rsidRPr="007F7A40">
        <w:rPr>
          <w:rFonts w:ascii="Calibri" w:eastAsia="Calibri" w:hAnsi="Calibri" w:cs="Times New Roman"/>
          <w:sz w:val="22"/>
          <w:szCs w:val="22"/>
          <w:u w:val="single"/>
        </w:rPr>
        <w:t xml:space="preserve">Figure </w:t>
      </w:r>
      <w:r w:rsidR="007F7A40" w:rsidRPr="007F7A40">
        <w:rPr>
          <w:rFonts w:ascii="Calibri" w:eastAsia="Calibri" w:hAnsi="Calibri" w:cs="Times New Roman"/>
          <w:noProof/>
          <w:sz w:val="22"/>
          <w:szCs w:val="22"/>
          <w:u w:val="single"/>
        </w:rPr>
        <w:t>1</w:t>
      </w:r>
      <w:r w:rsidRPr="005173BE">
        <w:rPr>
          <w:rFonts w:ascii="Calibri" w:eastAsia="Calibri" w:hAnsi="Calibri" w:cs="Times New Roman"/>
          <w:color w:val="454545"/>
          <w:sz w:val="22"/>
          <w:szCs w:val="22"/>
          <w:u w:val="single"/>
          <w:lang w:eastAsia="en-GB"/>
        </w:rPr>
        <w:fldChar w:fldCharType="end"/>
      </w:r>
      <w:r w:rsidRPr="005173BE">
        <w:rPr>
          <w:rFonts w:ascii="Calibri" w:eastAsia="Calibri" w:hAnsi="Calibri" w:cs="Times New Roman"/>
          <w:color w:val="454545"/>
          <w:sz w:val="22"/>
          <w:lang w:eastAsia="en-GB"/>
        </w:rPr>
        <w:t>) that defines:</w:t>
      </w:r>
      <w:bookmarkEnd w:id="22"/>
    </w:p>
    <w:p w14:paraId="151C05EA" w14:textId="77777777" w:rsidR="005173BE" w:rsidRPr="005173BE" w:rsidRDefault="005173BE" w:rsidP="00606C01">
      <w:pPr>
        <w:numPr>
          <w:ilvl w:val="0"/>
          <w:numId w:val="26"/>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who can submit a new work item proposal;</w:t>
      </w:r>
    </w:p>
    <w:p w14:paraId="6F1BAB0F" w14:textId="77777777" w:rsidR="005173BE" w:rsidRPr="005173BE" w:rsidRDefault="005173BE" w:rsidP="00606C01">
      <w:pPr>
        <w:numPr>
          <w:ilvl w:val="0"/>
          <w:numId w:val="26"/>
        </w:numPr>
        <w:tabs>
          <w:tab w:val="clear" w:pos="1134"/>
        </w:tabs>
        <w:contextualSpacing/>
        <w:jc w:val="left"/>
        <w:rPr>
          <w:rFonts w:ascii="Calibri" w:eastAsia="Calibri" w:hAnsi="Calibri" w:cs="Times New Roman"/>
          <w:color w:val="454545"/>
          <w:sz w:val="22"/>
          <w:lang w:eastAsia="en-GB"/>
        </w:rPr>
      </w:pPr>
      <w:bookmarkStart w:id="23" w:name="_Ref474312578"/>
      <w:r w:rsidRPr="005173BE">
        <w:rPr>
          <w:rFonts w:ascii="Calibri" w:eastAsia="Calibri" w:hAnsi="Calibri" w:cs="Times New Roman"/>
          <w:color w:val="454545"/>
          <w:sz w:val="22"/>
          <w:lang w:eastAsia="en-GB"/>
        </w:rPr>
        <w:t>the framework for assessment of new work item proposals (e.g. strategic fit, overlap with other existing or proposed work items, timescales, resource availability, implementation feasibility for Members who are likely to implement);</w:t>
      </w:r>
      <w:bookmarkEnd w:id="23"/>
    </w:p>
    <w:p w14:paraId="137E627A" w14:textId="77777777" w:rsidR="005173BE" w:rsidRPr="005173BE" w:rsidRDefault="005173BE" w:rsidP="00606C01">
      <w:pPr>
        <w:numPr>
          <w:ilvl w:val="0"/>
          <w:numId w:val="26"/>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process and authority for approval of new work items, including potential consultation with Members, and escalation path for dispute resolution;</w:t>
      </w:r>
    </w:p>
    <w:p w14:paraId="729497E4" w14:textId="77777777" w:rsidR="005173BE" w:rsidRPr="005173BE" w:rsidRDefault="005173BE" w:rsidP="00606C01">
      <w:pPr>
        <w:numPr>
          <w:ilvl w:val="0"/>
          <w:numId w:val="26"/>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criteria used to determine which working body an approved work item should be allocated to or whether, if none are deemed suitable, a new working body should be established – noting that the Management Group may adjust the working structures of the Commission (e.g. to create new working bodies) to meet evolving requirements of Members (Resolution 1 (CBS-16)), and that chairpersons of Open Programme Area Groups and expert teams may establish task teams of a limited duration to address specific aspects of their work plan (Decision 33 (CBS-16)); and</w:t>
      </w:r>
    </w:p>
    <w:p w14:paraId="49940129" w14:textId="77777777" w:rsidR="005173BE" w:rsidRPr="005173BE" w:rsidRDefault="005173BE" w:rsidP="00606C01">
      <w:pPr>
        <w:numPr>
          <w:ilvl w:val="0"/>
          <w:numId w:val="26"/>
        </w:numPr>
        <w:tabs>
          <w:tab w:val="clear" w:pos="1134"/>
        </w:tabs>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lastRenderedPageBreak/>
        <w:t>how details of the work item, its associated working body, constraints and key milestone schedule are incorporated into the work plan of the Commission and communicated to Members (e.g. through the WMO website, National Focal Points and appropriate mailing lists).</w:t>
      </w:r>
    </w:p>
    <w:p w14:paraId="4DFD5B22"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0B9E0E02"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r w:rsidRPr="005173BE">
        <w:rPr>
          <w:rFonts w:ascii="Calibri" w:eastAsia="Calibri" w:hAnsi="Calibri" w:cs="Times New Roman"/>
          <w:b/>
          <w:color w:val="454545"/>
          <w:sz w:val="22"/>
          <w:lang w:eastAsia="en-GB"/>
        </w:rPr>
        <w:t>Provides</w:t>
      </w:r>
      <w:r w:rsidRPr="005173BE">
        <w:rPr>
          <w:rFonts w:ascii="Calibri" w:eastAsia="Calibri" w:hAnsi="Calibri" w:cs="Times New Roman"/>
          <w:color w:val="454545"/>
          <w:sz w:val="22"/>
          <w:lang w:eastAsia="en-GB"/>
        </w:rPr>
        <w:t xml:space="preserve"> guidelines to Members outlining both the work item submission procedure and the criteria, including strategic fit, against which work item proposals will be assessed.</w:t>
      </w:r>
    </w:p>
    <w:p w14:paraId="498C105C"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 </w:t>
      </w:r>
    </w:p>
    <w:p w14:paraId="1D5C64A7"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r w:rsidRPr="005173BE">
        <w:rPr>
          <w:rFonts w:ascii="Calibri" w:eastAsia="Calibri" w:hAnsi="Calibri" w:cs="Times New Roman"/>
          <w:b/>
          <w:color w:val="454545"/>
          <w:sz w:val="22"/>
          <w:lang w:eastAsia="en-GB"/>
        </w:rPr>
        <w:t>Reviews</w:t>
      </w:r>
      <w:r w:rsidRPr="005173BE">
        <w:rPr>
          <w:rFonts w:ascii="Calibri" w:eastAsia="Calibri" w:hAnsi="Calibri" w:cs="Times New Roman"/>
          <w:color w:val="454545"/>
          <w:sz w:val="22"/>
          <w:lang w:eastAsia="en-GB"/>
        </w:rPr>
        <w:t xml:space="preserve"> new work item proposals per the defined procedure (see recommendation </w:t>
      </w:r>
      <w:r w:rsidRPr="005173BE">
        <w:rPr>
          <w:rFonts w:ascii="Calibri" w:eastAsia="Calibri" w:hAnsi="Calibri" w:cs="Times New Roman"/>
          <w:sz w:val="24"/>
          <w:szCs w:val="24"/>
        </w:rPr>
        <w:fldChar w:fldCharType="begin"/>
      </w:r>
      <w:r w:rsidRPr="005173BE">
        <w:rPr>
          <w:rFonts w:ascii="Calibri" w:eastAsia="Calibri" w:hAnsi="Calibri" w:cs="Times New Roman"/>
          <w:sz w:val="24"/>
          <w:szCs w:val="24"/>
        </w:rPr>
        <w:instrText xml:space="preserve"> REF _Ref473664841 \r \p \h  \* MERGEFORMAT </w:instrText>
      </w:r>
      <w:r w:rsidRPr="005173BE">
        <w:rPr>
          <w:rFonts w:ascii="Calibri" w:eastAsia="Calibri" w:hAnsi="Calibri" w:cs="Times New Roman"/>
          <w:sz w:val="24"/>
          <w:szCs w:val="24"/>
        </w:rPr>
      </w:r>
      <w:r w:rsidRPr="005173BE">
        <w:rPr>
          <w:rFonts w:ascii="Calibri" w:eastAsia="Calibri" w:hAnsi="Calibri" w:cs="Times New Roman"/>
          <w:sz w:val="24"/>
          <w:szCs w:val="24"/>
        </w:rPr>
        <w:fldChar w:fldCharType="separate"/>
      </w:r>
      <w:r w:rsidR="007F7A40" w:rsidRPr="007F7A40">
        <w:rPr>
          <w:rFonts w:ascii="Calibri" w:eastAsia="Calibri" w:hAnsi="Calibri" w:cs="Times New Roman" w:hint="cs"/>
          <w:color w:val="454545"/>
          <w:sz w:val="22"/>
          <w:u w:val="single"/>
          <w:cs/>
          <w:lang w:eastAsia="en-GB"/>
        </w:rPr>
        <w:t>‎</w:t>
      </w:r>
      <w:r w:rsidR="007F7A40" w:rsidRPr="007F7A40">
        <w:rPr>
          <w:rFonts w:ascii="Calibri" w:eastAsia="Calibri" w:hAnsi="Calibri" w:cs="Times New Roman"/>
          <w:color w:val="454545"/>
          <w:sz w:val="22"/>
          <w:u w:val="single"/>
          <w:lang w:eastAsia="en-GB"/>
        </w:rPr>
        <w:t xml:space="preserve">17 </w:t>
      </w:r>
      <w:r w:rsidR="007F7A40">
        <w:rPr>
          <w:rFonts w:ascii="Calibri" w:eastAsia="Calibri" w:hAnsi="Calibri" w:cs="Times New Roman"/>
          <w:sz w:val="24"/>
          <w:szCs w:val="24"/>
        </w:rPr>
        <w:t>above</w:t>
      </w:r>
      <w:r w:rsidRPr="005173BE">
        <w:rPr>
          <w:rFonts w:ascii="Calibri" w:eastAsia="Calibri" w:hAnsi="Calibri" w:cs="Times New Roman"/>
          <w:sz w:val="24"/>
          <w:szCs w:val="24"/>
        </w:rPr>
        <w:fldChar w:fldCharType="end"/>
      </w:r>
      <w:r w:rsidRPr="005173BE">
        <w:rPr>
          <w:rFonts w:ascii="Calibri" w:eastAsia="Calibri" w:hAnsi="Calibri" w:cs="Times New Roman"/>
          <w:color w:val="454545"/>
          <w:sz w:val="22"/>
          <w:lang w:eastAsia="en-GB"/>
        </w:rPr>
        <w:t>) as they are submitted, thereby contributing to a timely response to emerging issues.</w:t>
      </w:r>
    </w:p>
    <w:p w14:paraId="7C8E1C3A"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72DDDACC"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r w:rsidRPr="005173BE">
        <w:rPr>
          <w:rFonts w:ascii="Calibri" w:eastAsia="Calibri" w:hAnsi="Calibri" w:cs="Times New Roman"/>
          <w:b/>
          <w:color w:val="454545"/>
          <w:sz w:val="22"/>
          <w:lang w:eastAsia="en-GB"/>
        </w:rPr>
        <w:t>Ensures</w:t>
      </w:r>
      <w:r w:rsidRPr="005173BE">
        <w:rPr>
          <w:rFonts w:ascii="Calibri" w:eastAsia="Calibri" w:hAnsi="Calibri" w:cs="Times New Roman"/>
          <w:color w:val="454545"/>
          <w:sz w:val="22"/>
          <w:lang w:eastAsia="en-GB"/>
        </w:rPr>
        <w:t xml:space="preserve"> that work items are effectively monitored and evaluated and that necessary changes to work items (e.g. scope, timescales or deliverables, etc.) are managed in respect of the overall work plan.</w:t>
      </w:r>
    </w:p>
    <w:p w14:paraId="441FBC8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0901043"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r w:rsidRPr="005173BE">
        <w:rPr>
          <w:rFonts w:ascii="Calibri" w:eastAsia="Calibri" w:hAnsi="Calibri" w:cs="Times New Roman"/>
          <w:b/>
          <w:color w:val="454545"/>
          <w:sz w:val="22"/>
          <w:lang w:eastAsia="en-GB"/>
        </w:rPr>
        <w:t>Requests</w:t>
      </w:r>
      <w:r w:rsidRPr="005173BE">
        <w:rPr>
          <w:rFonts w:ascii="Calibri" w:eastAsia="Calibri" w:hAnsi="Calibri" w:cs="Times New Roman"/>
          <w:color w:val="454545"/>
          <w:sz w:val="22"/>
          <w:lang w:eastAsia="en-GB"/>
        </w:rPr>
        <w:t xml:space="preserve"> that </w:t>
      </w:r>
      <w:r w:rsidRPr="005173BE">
        <w:rPr>
          <w:rFonts w:ascii="Calibri" w:eastAsia="Times New Roman" w:hAnsi="Calibri" w:cs="Times New Roman"/>
          <w:color w:val="454545"/>
          <w:sz w:val="22"/>
          <w:lang w:eastAsia="en-GB"/>
        </w:rPr>
        <w:t xml:space="preserve">proposers of new work items gather and submit all the necessary information required for assessment of their proposed new work item, for example, through completion of the </w:t>
      </w:r>
      <w:hyperlink r:id="rId13" w:history="1">
        <w:r w:rsidRPr="005173BE">
          <w:rPr>
            <w:rFonts w:ascii="Calibri" w:eastAsia="Times New Roman" w:hAnsi="Calibri" w:cs="Times New Roman"/>
            <w:color w:val="000000"/>
            <w:sz w:val="22"/>
            <w:u w:val="single"/>
            <w:lang w:eastAsia="en-GB"/>
          </w:rPr>
          <w:t>discovery</w:t>
        </w:r>
      </w:hyperlink>
      <w:r w:rsidRPr="005173BE">
        <w:rPr>
          <w:rFonts w:ascii="Calibri" w:eastAsia="Times New Roman" w:hAnsi="Calibri" w:cs="Times New Roman"/>
          <w:color w:val="454545"/>
          <w:sz w:val="22"/>
          <w:lang w:eastAsia="en-GB"/>
        </w:rPr>
        <w:t xml:space="preserve"> and </w:t>
      </w:r>
      <w:hyperlink r:id="rId14" w:history="1">
        <w:r w:rsidRPr="005173BE">
          <w:rPr>
            <w:rFonts w:ascii="Calibri" w:eastAsia="Times New Roman" w:hAnsi="Calibri" w:cs="Times New Roman"/>
            <w:color w:val="000000"/>
            <w:sz w:val="22"/>
            <w:u w:val="single"/>
            <w:lang w:eastAsia="en-GB"/>
          </w:rPr>
          <w:t>alpha</w:t>
        </w:r>
      </w:hyperlink>
      <w:r w:rsidRPr="005173BE">
        <w:rPr>
          <w:rFonts w:ascii="Calibri" w:eastAsia="Times New Roman" w:hAnsi="Calibri" w:cs="Times New Roman"/>
          <w:color w:val="454545"/>
          <w:sz w:val="22"/>
          <w:lang w:eastAsia="en-GB"/>
        </w:rPr>
        <w:t xml:space="preserve"> phases of the agile delivery process.</w:t>
      </w:r>
    </w:p>
    <w:p w14:paraId="01CC9AEF"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216065F8" w14:textId="77777777" w:rsidR="005173BE" w:rsidRPr="005173BE" w:rsidRDefault="005173BE" w:rsidP="00606C01">
      <w:pPr>
        <w:numPr>
          <w:ilvl w:val="0"/>
          <w:numId w:val="20"/>
        </w:numPr>
        <w:tabs>
          <w:tab w:val="clear" w:pos="1134"/>
        </w:tabs>
        <w:ind w:hanging="720"/>
        <w:contextualSpacing/>
        <w:jc w:val="left"/>
        <w:rPr>
          <w:rFonts w:ascii="Calibri" w:eastAsia="Calibri" w:hAnsi="Calibri" w:cs="Times New Roman"/>
          <w:color w:val="454545"/>
          <w:sz w:val="22"/>
          <w:lang w:eastAsia="en-GB"/>
        </w:rPr>
      </w:pPr>
      <w:r w:rsidRPr="005173BE">
        <w:rPr>
          <w:rFonts w:ascii="Calibri" w:eastAsia="Calibri" w:hAnsi="Calibri" w:cs="Times New Roman"/>
          <w:b/>
          <w:color w:val="454545"/>
          <w:sz w:val="22"/>
          <w:lang w:eastAsia="en-GB"/>
        </w:rPr>
        <w:t xml:space="preserve">Encourages </w:t>
      </w:r>
      <w:r w:rsidRPr="005173BE">
        <w:rPr>
          <w:rFonts w:ascii="Calibri" w:eastAsia="Calibri" w:hAnsi="Calibri" w:cs="Times New Roman"/>
          <w:color w:val="454545"/>
          <w:sz w:val="22"/>
          <w:lang w:eastAsia="en-GB"/>
        </w:rPr>
        <w:t>proposers of new work items to prepare their proposals in an open and collaborative manner</w:t>
      </w:r>
      <w:r w:rsidRPr="005173BE">
        <w:rPr>
          <w:rFonts w:ascii="Calibri" w:eastAsia="Times New Roman" w:hAnsi="Calibri" w:cs="Times New Roman"/>
          <w:color w:val="454545"/>
          <w:sz w:val="22"/>
          <w:lang w:eastAsia="en-GB"/>
        </w:rPr>
        <w:t>, for example, under the governance of another Standards Development Organisation (SDO) or by way of a WMO/CBS affiliated project, as described in Decision 15 (CBS-16).</w:t>
      </w:r>
    </w:p>
    <w:p w14:paraId="0A3495D8"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E65332C" w14:textId="77777777" w:rsidR="005173BE" w:rsidRPr="005173BE" w:rsidRDefault="005173BE" w:rsidP="005173BE">
      <w:pPr>
        <w:tabs>
          <w:tab w:val="clear" w:pos="1134"/>
        </w:tabs>
        <w:jc w:val="left"/>
        <w:rPr>
          <w:rFonts w:ascii="Calibri Light" w:eastAsia="Times New Roman" w:hAnsi="Calibri Light" w:cs="Times New Roman"/>
          <w:color w:val="2F5496"/>
          <w:sz w:val="26"/>
          <w:szCs w:val="26"/>
          <w:lang w:eastAsia="en-GB"/>
        </w:rPr>
      </w:pPr>
      <w:r w:rsidRPr="005173BE">
        <w:rPr>
          <w:rFonts w:ascii="Calibri" w:eastAsia="Times New Roman" w:hAnsi="Calibri" w:cs="Times New Roman"/>
          <w:sz w:val="24"/>
          <w:szCs w:val="24"/>
        </w:rPr>
        <w:br w:type="page"/>
      </w:r>
    </w:p>
    <w:p w14:paraId="2B68DF33"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lastRenderedPageBreak/>
        <w:t>Section 3. Resourcing Working Bodies of the Commission</w:t>
      </w:r>
    </w:p>
    <w:p w14:paraId="7147748D"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p>
    <w:p w14:paraId="5D4F3AEF"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rPr>
      </w:pPr>
      <w:r w:rsidRPr="005173BE">
        <w:rPr>
          <w:rFonts w:ascii="Calibri Light" w:eastAsia="Times New Roman" w:hAnsi="Calibri Light" w:cs="Times New Roman"/>
          <w:color w:val="1F3763"/>
          <w:sz w:val="24"/>
          <w:szCs w:val="24"/>
        </w:rPr>
        <w:t>Identification of issues</w:t>
      </w:r>
    </w:p>
    <w:p w14:paraId="4394CA73" w14:textId="77777777" w:rsidR="005173BE" w:rsidRPr="005173BE" w:rsidRDefault="005173BE" w:rsidP="00606C01">
      <w:pPr>
        <w:numPr>
          <w:ilvl w:val="0"/>
          <w:numId w:val="30"/>
        </w:numPr>
        <w:tabs>
          <w:tab w:val="clear" w:pos="1134"/>
        </w:tabs>
        <w:contextualSpacing/>
        <w:jc w:val="left"/>
        <w:rPr>
          <w:rFonts w:ascii="Calibri" w:eastAsia="Calibri" w:hAnsi="Calibri" w:cs="Times New Roman"/>
          <w:color w:val="454545"/>
          <w:sz w:val="22"/>
          <w:lang w:eastAsia="en-GB"/>
        </w:rPr>
      </w:pPr>
      <w:bookmarkStart w:id="24" w:name="issue_3_i"/>
      <w:r w:rsidRPr="005173BE">
        <w:rPr>
          <w:rFonts w:ascii="Calibri" w:eastAsia="Calibri" w:hAnsi="Calibri" w:cs="Times New Roman"/>
          <w:color w:val="454545"/>
          <w:sz w:val="22"/>
          <w:lang w:eastAsia="en-GB"/>
        </w:rPr>
        <w:t>There is a chronic (and sometimes acute) lack of experts with the necessary skills and capabilities to deliver technical work items of the Commission.</w:t>
      </w:r>
      <w:bookmarkEnd w:id="24"/>
    </w:p>
    <w:p w14:paraId="3E277FA2" w14:textId="77777777" w:rsidR="005173BE" w:rsidRPr="005173BE" w:rsidRDefault="005173BE" w:rsidP="00606C01">
      <w:pPr>
        <w:numPr>
          <w:ilvl w:val="0"/>
          <w:numId w:val="30"/>
        </w:numPr>
        <w:tabs>
          <w:tab w:val="clear" w:pos="1134"/>
        </w:tabs>
        <w:contextualSpacing/>
        <w:jc w:val="left"/>
        <w:rPr>
          <w:rFonts w:ascii="Calibri" w:eastAsia="Calibri" w:hAnsi="Calibri" w:cs="Times New Roman"/>
          <w:color w:val="454545"/>
          <w:sz w:val="22"/>
          <w:lang w:eastAsia="en-GB"/>
        </w:rPr>
      </w:pPr>
      <w:bookmarkStart w:id="25" w:name="issue_3_ii"/>
      <w:r w:rsidRPr="005173BE">
        <w:rPr>
          <w:rFonts w:ascii="Calibri" w:eastAsia="Calibri" w:hAnsi="Calibri" w:cs="Times New Roman"/>
          <w:color w:val="454545"/>
          <w:sz w:val="22"/>
          <w:lang w:eastAsia="en-GB"/>
        </w:rPr>
        <w:t>There is a lack of consistency in the collaboration tools provided to support experts in conducting the work of the Commission which impedes the flow of information between experts and provides a barrier to participation.</w:t>
      </w:r>
      <w:bookmarkEnd w:id="25"/>
    </w:p>
    <w:p w14:paraId="0C584C3C"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3271603B"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Recommendations</w:t>
      </w:r>
    </w:p>
    <w:p w14:paraId="42858762"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7A78D2D"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While there is a listing of Member nominated experts gathered at the start of each session of the Commission, these recommendations propose that a more comprehensive, detailed and populated database of resources be established to support the Commission in delivering its work plan. A new National Focal Point to co-ordinate, populate and update national database entries is recommended. Experts from the broader weather enterprise are envisaged for inclusion in the database. Open, transparent and collaborative modes of working, combined with a common collaboration platform should simplify information sharing between experts participating in the work of the Commission, thereby reducing barriers to participation. </w:t>
      </w:r>
    </w:p>
    <w:p w14:paraId="11DFB14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4DA06734" w14:textId="77777777" w:rsidR="005173BE" w:rsidRPr="005173BE" w:rsidRDefault="005173BE" w:rsidP="005173BE">
      <w:pPr>
        <w:tabs>
          <w:tab w:val="clear" w:pos="1134"/>
        </w:tabs>
        <w:jc w:val="left"/>
        <w:rPr>
          <w:rFonts w:ascii="Calibri" w:eastAsia="Calibri" w:hAnsi="Calibri" w:cs="Times New Roman"/>
          <w:color w:val="454545"/>
          <w:sz w:val="22"/>
          <w:u w:val="single"/>
          <w:lang w:eastAsia="en-GB"/>
        </w:rPr>
      </w:pPr>
      <w:r w:rsidRPr="005173BE">
        <w:rPr>
          <w:rFonts w:ascii="Calibri" w:eastAsia="Calibri" w:hAnsi="Calibri" w:cs="Times New Roman"/>
          <w:color w:val="454545"/>
          <w:sz w:val="22"/>
          <w:u w:val="single"/>
          <w:lang w:eastAsia="en-GB"/>
        </w:rPr>
        <w:t>It is recommended that the CBS Management Group</w:t>
      </w:r>
    </w:p>
    <w:p w14:paraId="1DA40624"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388C5B29" w14:textId="77777777" w:rsidR="005173BE" w:rsidRPr="005173BE" w:rsidRDefault="005173BE" w:rsidP="00606C01">
      <w:pPr>
        <w:numPr>
          <w:ilvl w:val="0"/>
          <w:numId w:val="16"/>
        </w:numPr>
        <w:tabs>
          <w:tab w:val="clear" w:pos="1134"/>
        </w:tabs>
        <w:ind w:hanging="720"/>
        <w:jc w:val="left"/>
        <w:rPr>
          <w:rFonts w:ascii="Calibri" w:eastAsia="Times New Roman" w:hAnsi="Calibri" w:cs="Times New Roman"/>
          <w:b/>
          <w:color w:val="454545"/>
          <w:sz w:val="22"/>
          <w:lang w:eastAsia="en-GB"/>
        </w:rPr>
      </w:pPr>
      <w:r w:rsidRPr="005173BE">
        <w:rPr>
          <w:rFonts w:ascii="Calibri" w:eastAsia="Times New Roman" w:hAnsi="Calibri" w:cs="Times New Roman"/>
          <w:b/>
          <w:color w:val="454545"/>
          <w:sz w:val="22"/>
          <w:lang w:eastAsia="en-GB"/>
        </w:rPr>
        <w:t xml:space="preserve">Oversees the establishment of </w:t>
      </w:r>
      <w:r w:rsidRPr="005173BE">
        <w:rPr>
          <w:rFonts w:ascii="Calibri" w:eastAsia="Times New Roman" w:hAnsi="Calibri" w:cs="Times New Roman"/>
          <w:color w:val="454545"/>
          <w:sz w:val="22"/>
          <w:lang w:eastAsia="en-GB"/>
        </w:rPr>
        <w:t>a database of CBS experts which Members and cooperating international organisations can self-administer, providing details of relevant experience and qualifications for experts which may be drawn on when determining participation in the working bodies of the Commission – noting that membership of expert teams and task teams should be drawn from experts nominated by Members and cooperating international organisations, and that nominated experts may be invited to join any team (Decision 33 (CBS-16)).</w:t>
      </w:r>
    </w:p>
    <w:p w14:paraId="7B9203B1" w14:textId="77777777" w:rsidR="005173BE" w:rsidRPr="005173BE" w:rsidRDefault="005173BE" w:rsidP="005173BE">
      <w:pPr>
        <w:tabs>
          <w:tab w:val="clear" w:pos="1134"/>
        </w:tabs>
        <w:jc w:val="left"/>
        <w:rPr>
          <w:rFonts w:ascii="Calibri" w:eastAsia="Times New Roman" w:hAnsi="Calibri" w:cs="Times New Roman"/>
          <w:b/>
          <w:color w:val="454545"/>
          <w:sz w:val="22"/>
          <w:lang w:eastAsia="en-GB"/>
        </w:rPr>
      </w:pPr>
    </w:p>
    <w:p w14:paraId="2BA4884D" w14:textId="77777777" w:rsidR="005173BE" w:rsidRPr="005173BE" w:rsidRDefault="005173BE" w:rsidP="00606C01">
      <w:pPr>
        <w:numPr>
          <w:ilvl w:val="0"/>
          <w:numId w:val="16"/>
        </w:numPr>
        <w:tabs>
          <w:tab w:val="clear" w:pos="1134"/>
        </w:tabs>
        <w:ind w:hanging="720"/>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 xml:space="preserve">Facilitates the request by WMO for </w:t>
      </w:r>
      <w:r w:rsidRPr="005173BE">
        <w:rPr>
          <w:rFonts w:ascii="Calibri" w:eastAsia="Times New Roman" w:hAnsi="Calibri" w:cs="Times New Roman"/>
          <w:color w:val="454545"/>
          <w:sz w:val="22"/>
          <w:lang w:eastAsia="en-GB"/>
        </w:rPr>
        <w:t>expert nominations from Members to the database of CBS experts, outlining the key skills required, and encouraging of experts outside their NMHSs to be nominated, for example, from other governmental agencies, private sector, academia and third sector organisations, and individual citizens.</w:t>
      </w:r>
    </w:p>
    <w:p w14:paraId="620DB422" w14:textId="77777777" w:rsidR="005173BE" w:rsidRPr="005173BE" w:rsidRDefault="005173BE" w:rsidP="005173BE">
      <w:pPr>
        <w:tabs>
          <w:tab w:val="clear" w:pos="1134"/>
        </w:tabs>
        <w:jc w:val="left"/>
        <w:rPr>
          <w:rFonts w:ascii="Calibri" w:eastAsia="Times New Roman" w:hAnsi="Calibri" w:cs="Times New Roman"/>
          <w:color w:val="454545"/>
          <w:sz w:val="22"/>
          <w:lang w:eastAsia="en-GB"/>
        </w:rPr>
      </w:pPr>
    </w:p>
    <w:p w14:paraId="42C4651A" w14:textId="740EF919" w:rsidR="005173BE" w:rsidRPr="005173BE" w:rsidRDefault="005173BE" w:rsidP="00606C01">
      <w:pPr>
        <w:numPr>
          <w:ilvl w:val="0"/>
          <w:numId w:val="16"/>
        </w:numPr>
        <w:tabs>
          <w:tab w:val="clear" w:pos="1134"/>
        </w:tabs>
        <w:ind w:hanging="720"/>
        <w:jc w:val="left"/>
        <w:rPr>
          <w:rFonts w:ascii="Calibri" w:eastAsia="Times New Roman" w:hAnsi="Calibri" w:cs="Times New Roman"/>
          <w:b/>
          <w:color w:val="454545"/>
          <w:sz w:val="22"/>
          <w:lang w:eastAsia="en-GB"/>
        </w:rPr>
      </w:pPr>
      <w:r w:rsidRPr="005173BE">
        <w:rPr>
          <w:rFonts w:ascii="Calibri" w:eastAsia="Times New Roman" w:hAnsi="Calibri" w:cs="Times New Roman"/>
          <w:color w:val="454545"/>
          <w:sz w:val="22"/>
          <w:lang w:eastAsia="en-GB"/>
        </w:rPr>
        <w:t xml:space="preserve">Facilitates the </w:t>
      </w:r>
      <w:r w:rsidRPr="005173BE">
        <w:rPr>
          <w:rFonts w:ascii="Calibri" w:eastAsia="Times New Roman" w:hAnsi="Calibri" w:cs="Times New Roman"/>
          <w:b/>
          <w:color w:val="454545"/>
          <w:sz w:val="22"/>
          <w:lang w:eastAsia="en-GB"/>
        </w:rPr>
        <w:t xml:space="preserve">identification of, and communication with, </w:t>
      </w:r>
      <w:r w:rsidRPr="005173BE">
        <w:rPr>
          <w:rFonts w:ascii="Calibri" w:eastAsia="Times New Roman" w:hAnsi="Calibri" w:cs="Times New Roman"/>
          <w:color w:val="454545"/>
          <w:sz w:val="22"/>
          <w:lang w:eastAsia="en-GB"/>
        </w:rPr>
        <w:t>cooperating international organisations, and other organisations developing</w:t>
      </w:r>
      <w:r w:rsidR="00E41824">
        <w:rPr>
          <w:rFonts w:ascii="Calibri" w:eastAsia="Times New Roman" w:hAnsi="Calibri" w:cs="Times New Roman"/>
          <w:color w:val="454545"/>
          <w:sz w:val="22"/>
          <w:lang w:eastAsia="en-GB"/>
        </w:rPr>
        <w:t>,</w:t>
      </w:r>
      <w:r w:rsidRPr="005173BE">
        <w:rPr>
          <w:rFonts w:ascii="Calibri" w:eastAsia="Times New Roman" w:hAnsi="Calibri" w:cs="Times New Roman"/>
          <w:color w:val="454545"/>
          <w:sz w:val="22"/>
          <w:lang w:eastAsia="en-GB"/>
        </w:rPr>
        <w:t xml:space="preserve"> delivering</w:t>
      </w:r>
      <w:r w:rsidR="00E41824">
        <w:rPr>
          <w:rFonts w:ascii="Calibri" w:eastAsia="Times New Roman" w:hAnsi="Calibri" w:cs="Times New Roman"/>
          <w:color w:val="454545"/>
          <w:sz w:val="22"/>
          <w:lang w:eastAsia="en-GB"/>
        </w:rPr>
        <w:t xml:space="preserve"> or supporting</w:t>
      </w:r>
      <w:r w:rsidRPr="005173BE">
        <w:rPr>
          <w:rFonts w:ascii="Calibri" w:eastAsia="Times New Roman" w:hAnsi="Calibri" w:cs="Times New Roman"/>
          <w:color w:val="454545"/>
          <w:sz w:val="22"/>
          <w:lang w:eastAsia="en-GB"/>
        </w:rPr>
        <w:t xml:space="preserve"> hydrological or meteorological services in the “weather enterprise”</w:t>
      </w:r>
      <w:r w:rsidR="00E41824">
        <w:rPr>
          <w:rFonts w:ascii="Calibri" w:eastAsia="Times New Roman" w:hAnsi="Calibri" w:cs="Times New Roman"/>
          <w:color w:val="454545"/>
          <w:sz w:val="22"/>
          <w:lang w:eastAsia="en-GB"/>
        </w:rPr>
        <w:t>,</w:t>
      </w:r>
      <w:r w:rsidRPr="005173BE">
        <w:rPr>
          <w:rFonts w:ascii="Calibri" w:eastAsia="Times New Roman" w:hAnsi="Calibri" w:cs="Times New Roman"/>
          <w:color w:val="454545"/>
          <w:sz w:val="22"/>
          <w:lang w:eastAsia="en-GB"/>
        </w:rPr>
        <w:t xml:space="preserve"> with a view to inclusion of their experts in the database. This activity will become part of the role of the National Focal Points when appropriate (see recommendation </w:t>
      </w:r>
      <w:r w:rsidRPr="005173BE">
        <w:rPr>
          <w:rFonts w:ascii="Calibri" w:eastAsia="Times New Roman" w:hAnsi="Calibri" w:cs="Times New Roman"/>
          <w:color w:val="454545"/>
          <w:sz w:val="22"/>
          <w:lang w:eastAsia="en-GB"/>
        </w:rPr>
        <w:fldChar w:fldCharType="begin"/>
      </w:r>
      <w:r w:rsidRPr="005173BE">
        <w:rPr>
          <w:rFonts w:ascii="Calibri" w:eastAsia="Times New Roman" w:hAnsi="Calibri" w:cs="Times New Roman"/>
          <w:color w:val="454545"/>
          <w:sz w:val="22"/>
          <w:lang w:eastAsia="en-GB"/>
        </w:rPr>
        <w:instrText xml:space="preserve"> REF _Ref473647918 \r \p \h </w:instrText>
      </w:r>
      <w:r w:rsidRPr="005173BE">
        <w:rPr>
          <w:rFonts w:ascii="Calibri" w:eastAsia="Times New Roman" w:hAnsi="Calibri" w:cs="Times New Roman"/>
          <w:color w:val="454545"/>
          <w:sz w:val="22"/>
          <w:lang w:eastAsia="en-GB"/>
        </w:rPr>
      </w:r>
      <w:r w:rsidRPr="005173BE">
        <w:rPr>
          <w:rFonts w:ascii="Calibri" w:eastAsia="Times New Roman" w:hAnsi="Calibri" w:cs="Times New Roman"/>
          <w:color w:val="454545"/>
          <w:sz w:val="22"/>
          <w:lang w:eastAsia="en-GB"/>
        </w:rPr>
        <w:fldChar w:fldCharType="separate"/>
      </w:r>
      <w:r w:rsidR="007F7A40">
        <w:rPr>
          <w:rFonts w:ascii="Calibri" w:eastAsia="Times New Roman" w:hAnsi="Calibri" w:cs="Times New Roman" w:hint="eastAsia"/>
          <w:color w:val="454545"/>
          <w:sz w:val="22"/>
          <w:cs/>
          <w:lang w:eastAsia="en-GB"/>
        </w:rPr>
        <w:t>‎</w:t>
      </w:r>
      <w:r w:rsidR="007F7A40">
        <w:rPr>
          <w:rFonts w:ascii="Calibri" w:eastAsia="Times New Roman" w:hAnsi="Calibri" w:cs="Times New Roman"/>
          <w:color w:val="454545"/>
          <w:sz w:val="22"/>
          <w:lang w:eastAsia="en-GB"/>
        </w:rPr>
        <w:t>28 below</w:t>
      </w:r>
      <w:r w:rsidRPr="005173BE">
        <w:rPr>
          <w:rFonts w:ascii="Calibri" w:eastAsia="Times New Roman" w:hAnsi="Calibri" w:cs="Times New Roman"/>
          <w:color w:val="454545"/>
          <w:sz w:val="22"/>
          <w:lang w:eastAsia="en-GB"/>
        </w:rPr>
        <w:fldChar w:fldCharType="end"/>
      </w:r>
      <w:r w:rsidRPr="005173BE">
        <w:rPr>
          <w:rFonts w:ascii="Calibri" w:eastAsia="Times New Roman" w:hAnsi="Calibri" w:cs="Times New Roman"/>
          <w:color w:val="454545"/>
          <w:sz w:val="22"/>
          <w:lang w:eastAsia="en-GB"/>
        </w:rPr>
        <w:t>).</w:t>
      </w:r>
    </w:p>
    <w:p w14:paraId="03676DBE" w14:textId="77777777" w:rsidR="005173BE" w:rsidRPr="005173BE" w:rsidRDefault="005173BE" w:rsidP="005173BE">
      <w:pPr>
        <w:tabs>
          <w:tab w:val="clear" w:pos="1134"/>
        </w:tabs>
        <w:jc w:val="left"/>
        <w:rPr>
          <w:rFonts w:ascii="Calibri" w:eastAsia="Times New Roman" w:hAnsi="Calibri" w:cs="Times New Roman"/>
          <w:color w:val="454545"/>
          <w:sz w:val="22"/>
          <w:lang w:eastAsia="en-GB"/>
        </w:rPr>
      </w:pPr>
    </w:p>
    <w:p w14:paraId="31E9B697" w14:textId="77777777" w:rsidR="005173BE" w:rsidRPr="005173BE" w:rsidRDefault="005173BE" w:rsidP="005173BE">
      <w:pPr>
        <w:tabs>
          <w:tab w:val="clear" w:pos="1134"/>
        </w:tabs>
        <w:jc w:val="left"/>
        <w:rPr>
          <w:rFonts w:ascii="Calibri" w:eastAsia="Times New Roman" w:hAnsi="Calibri" w:cs="Times New Roman"/>
          <w:b/>
          <w:i/>
          <w:color w:val="454545"/>
          <w:sz w:val="22"/>
          <w:lang w:eastAsia="en-GB"/>
        </w:rPr>
      </w:pPr>
      <w:r w:rsidRPr="005173BE">
        <w:rPr>
          <w:rFonts w:ascii="Calibri" w:eastAsia="Times New Roman" w:hAnsi="Calibri" w:cs="Times New Roman"/>
          <w:i/>
          <w:color w:val="454545"/>
          <w:sz w:val="22"/>
          <w:lang w:eastAsia="en-GB"/>
        </w:rPr>
        <w:t>Note: General Regulation, 36 (a): An invitation to any person in accordance with Regulations 33, 34 or 35 to participate in the work of a working group shall require the prior concurrence of the Permanent Representative of the country in which the person lives.</w:t>
      </w:r>
      <w:r w:rsidRPr="005173BE">
        <w:rPr>
          <w:rFonts w:ascii="Calibri" w:eastAsia="Times New Roman" w:hAnsi="Calibri" w:cs="Times New Roman"/>
          <w:b/>
          <w:i/>
          <w:color w:val="454545"/>
          <w:sz w:val="22"/>
          <w:lang w:eastAsia="en-GB"/>
        </w:rPr>
        <w:t xml:space="preserve"> </w:t>
      </w:r>
    </w:p>
    <w:p w14:paraId="6E0E8AE8" w14:textId="77777777" w:rsidR="005173BE" w:rsidRPr="005173BE" w:rsidRDefault="005173BE" w:rsidP="005173BE">
      <w:pPr>
        <w:tabs>
          <w:tab w:val="clear" w:pos="1134"/>
        </w:tabs>
        <w:jc w:val="left"/>
        <w:rPr>
          <w:rFonts w:ascii="Calibri" w:eastAsia="Times New Roman" w:hAnsi="Calibri" w:cs="Times New Roman"/>
          <w:b/>
          <w:color w:val="454545"/>
          <w:sz w:val="22"/>
          <w:lang w:eastAsia="en-GB"/>
        </w:rPr>
      </w:pPr>
    </w:p>
    <w:p w14:paraId="3EF3CE22" w14:textId="77777777" w:rsidR="005173BE" w:rsidRPr="005173BE" w:rsidRDefault="005173BE" w:rsidP="00606C01">
      <w:pPr>
        <w:numPr>
          <w:ilvl w:val="0"/>
          <w:numId w:val="16"/>
        </w:numPr>
        <w:tabs>
          <w:tab w:val="clear" w:pos="1134"/>
        </w:tabs>
        <w:ind w:hanging="720"/>
        <w:jc w:val="left"/>
        <w:rPr>
          <w:rFonts w:ascii="Calibri" w:eastAsia="Times New Roman" w:hAnsi="Calibri" w:cs="Times New Roman"/>
          <w:b/>
          <w:color w:val="454545"/>
          <w:sz w:val="22"/>
          <w:lang w:eastAsia="en-GB"/>
        </w:rPr>
      </w:pPr>
      <w:bookmarkStart w:id="26" w:name="_Ref474401873"/>
      <w:r w:rsidRPr="005173BE">
        <w:rPr>
          <w:rFonts w:ascii="Calibri" w:eastAsia="Times New Roman" w:hAnsi="Calibri" w:cs="Times New Roman"/>
          <w:b/>
          <w:color w:val="454545"/>
          <w:sz w:val="22"/>
          <w:lang w:eastAsia="en-GB"/>
        </w:rPr>
        <w:t>Ensures</w:t>
      </w:r>
      <w:r w:rsidRPr="005173BE">
        <w:rPr>
          <w:rFonts w:ascii="Calibri" w:eastAsia="Times New Roman" w:hAnsi="Calibri" w:cs="Times New Roman"/>
          <w:color w:val="454545"/>
          <w:sz w:val="22"/>
          <w:lang w:eastAsia="en-GB"/>
        </w:rPr>
        <w:t xml:space="preserve"> that participating CBS experts are informed of the requirement that their contribution to the work of the Commission is in accordance with their specialised knowledge; that their role is not as representatives serving their national or organisational </w:t>
      </w:r>
      <w:r w:rsidRPr="005173BE">
        <w:rPr>
          <w:rFonts w:ascii="Calibri" w:eastAsia="Times New Roman" w:hAnsi="Calibri" w:cs="Times New Roman"/>
          <w:color w:val="454545"/>
          <w:sz w:val="22"/>
          <w:lang w:eastAsia="en-GB"/>
        </w:rPr>
        <w:lastRenderedPageBreak/>
        <w:t>interests, and that they behave in a professional manner that results in a positive and productive experience for all</w:t>
      </w:r>
      <w:r w:rsidRPr="005173BE">
        <w:rPr>
          <w:rFonts w:ascii="Calibri" w:eastAsia="Times New Roman" w:hAnsi="Calibri" w:cs="Times New Roman"/>
          <w:color w:val="454545"/>
          <w:sz w:val="22"/>
          <w:vertAlign w:val="superscript"/>
          <w:lang w:eastAsia="en-GB"/>
        </w:rPr>
        <w:footnoteReference w:id="4"/>
      </w:r>
      <w:r w:rsidRPr="005173BE">
        <w:rPr>
          <w:rFonts w:ascii="Calibri" w:eastAsia="Times New Roman" w:hAnsi="Calibri" w:cs="Times New Roman"/>
          <w:color w:val="454545"/>
          <w:sz w:val="22"/>
          <w:lang w:eastAsia="en-GB"/>
        </w:rPr>
        <w:t>.</w:t>
      </w:r>
      <w:bookmarkEnd w:id="26"/>
    </w:p>
    <w:p w14:paraId="2A37BEE7" w14:textId="77777777" w:rsidR="005173BE" w:rsidRPr="005173BE" w:rsidRDefault="005173BE" w:rsidP="005173BE">
      <w:pPr>
        <w:tabs>
          <w:tab w:val="clear" w:pos="1134"/>
        </w:tabs>
        <w:ind w:left="720"/>
        <w:jc w:val="left"/>
        <w:rPr>
          <w:rFonts w:ascii="Calibri" w:eastAsia="Times New Roman" w:hAnsi="Calibri" w:cs="Times New Roman"/>
          <w:b/>
          <w:color w:val="454545"/>
          <w:sz w:val="22"/>
          <w:lang w:eastAsia="en-GB"/>
        </w:rPr>
      </w:pPr>
    </w:p>
    <w:p w14:paraId="37A36183" w14:textId="77777777" w:rsidR="005173BE" w:rsidRPr="005173BE" w:rsidRDefault="005173BE" w:rsidP="00606C01">
      <w:pPr>
        <w:numPr>
          <w:ilvl w:val="0"/>
          <w:numId w:val="16"/>
        </w:numPr>
        <w:tabs>
          <w:tab w:val="clear" w:pos="1134"/>
        </w:tabs>
        <w:ind w:hanging="720"/>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Requests</w:t>
      </w:r>
      <w:r w:rsidRPr="005173BE">
        <w:rPr>
          <w:rFonts w:ascii="Calibri" w:eastAsia="Times New Roman" w:hAnsi="Calibri" w:cs="Times New Roman"/>
          <w:color w:val="454545"/>
          <w:sz w:val="22"/>
          <w:lang w:eastAsia="en-GB"/>
        </w:rPr>
        <w:t xml:space="preserve"> the WMO Secretariat to identify or develop a policy regarding the handling of patents</w:t>
      </w:r>
      <w:r w:rsidRPr="005173BE">
        <w:rPr>
          <w:rFonts w:ascii="Calibri" w:eastAsia="Times New Roman" w:hAnsi="Calibri" w:cs="Times New Roman"/>
          <w:color w:val="454545"/>
          <w:sz w:val="22"/>
          <w:vertAlign w:val="superscript"/>
          <w:lang w:eastAsia="en-GB"/>
        </w:rPr>
        <w:footnoteReference w:id="5"/>
      </w:r>
      <w:r w:rsidRPr="005173BE">
        <w:rPr>
          <w:rFonts w:ascii="Calibri" w:eastAsia="Times New Roman" w:hAnsi="Calibri" w:cs="Times New Roman"/>
          <w:color w:val="454545"/>
          <w:sz w:val="22"/>
          <w:lang w:eastAsia="en-GB"/>
        </w:rPr>
        <w:t xml:space="preserve"> in the development of WMO Technical Regulations to address any intellectual property issues arising from involvement of, among others, representatives of private sector organisations.</w:t>
      </w:r>
    </w:p>
    <w:p w14:paraId="11E09DE8" w14:textId="77777777" w:rsidR="005173BE" w:rsidRPr="005173BE" w:rsidRDefault="005173BE" w:rsidP="005173BE">
      <w:pPr>
        <w:tabs>
          <w:tab w:val="clear" w:pos="1134"/>
        </w:tabs>
        <w:jc w:val="left"/>
        <w:rPr>
          <w:rFonts w:ascii="Calibri" w:eastAsia="Times New Roman" w:hAnsi="Calibri" w:cs="Times New Roman"/>
          <w:b/>
          <w:color w:val="454545"/>
          <w:sz w:val="22"/>
          <w:lang w:eastAsia="en-GB"/>
        </w:rPr>
      </w:pPr>
    </w:p>
    <w:p w14:paraId="71169369" w14:textId="77777777" w:rsidR="005173BE" w:rsidRPr="005173BE" w:rsidRDefault="005173BE" w:rsidP="00606C01">
      <w:pPr>
        <w:numPr>
          <w:ilvl w:val="0"/>
          <w:numId w:val="16"/>
        </w:numPr>
        <w:tabs>
          <w:tab w:val="clear" w:pos="1134"/>
        </w:tabs>
        <w:ind w:hanging="720"/>
        <w:jc w:val="left"/>
        <w:rPr>
          <w:rFonts w:ascii="Calibri" w:eastAsia="Times New Roman" w:hAnsi="Calibri" w:cs="Times New Roman"/>
          <w:b/>
          <w:color w:val="454545"/>
          <w:sz w:val="22"/>
          <w:lang w:eastAsia="en-GB"/>
        </w:rPr>
      </w:pPr>
      <w:bookmarkStart w:id="27" w:name="_Ref473647918"/>
      <w:r w:rsidRPr="005173BE">
        <w:rPr>
          <w:rFonts w:ascii="Calibri" w:eastAsia="Times New Roman" w:hAnsi="Calibri" w:cs="Times New Roman"/>
          <w:b/>
          <w:color w:val="454545"/>
          <w:sz w:val="22"/>
          <w:lang w:eastAsia="en-GB"/>
        </w:rPr>
        <w:t xml:space="preserve">Oversees the designation </w:t>
      </w:r>
      <w:r w:rsidRPr="005173BE">
        <w:rPr>
          <w:rFonts w:ascii="Calibri" w:eastAsia="Times New Roman" w:hAnsi="Calibri" w:cs="Times New Roman"/>
          <w:color w:val="454545"/>
          <w:sz w:val="22"/>
          <w:lang w:eastAsia="en-GB"/>
        </w:rPr>
        <w:t>of</w:t>
      </w:r>
      <w:r w:rsidRPr="005173BE">
        <w:rPr>
          <w:rFonts w:ascii="Calibri" w:eastAsia="Times New Roman" w:hAnsi="Calibri" w:cs="Times New Roman"/>
          <w:b/>
          <w:color w:val="454545"/>
          <w:sz w:val="22"/>
          <w:lang w:eastAsia="en-GB"/>
        </w:rPr>
        <w:t xml:space="preserve"> </w:t>
      </w:r>
      <w:r w:rsidRPr="005173BE">
        <w:rPr>
          <w:rFonts w:ascii="Calibri" w:eastAsia="Times New Roman" w:hAnsi="Calibri" w:cs="Times New Roman"/>
          <w:color w:val="454545"/>
          <w:sz w:val="22"/>
          <w:lang w:eastAsia="en-GB"/>
        </w:rPr>
        <w:t>National Focal Points (NFP) that are responsible for coordination of expert participation in the work of the Commission</w:t>
      </w:r>
      <w:r w:rsidRPr="005173BE">
        <w:rPr>
          <w:rFonts w:ascii="Calibri" w:eastAsia="Times New Roman" w:hAnsi="Calibri" w:cs="Times New Roman"/>
          <w:color w:val="454545"/>
          <w:sz w:val="22"/>
          <w:vertAlign w:val="superscript"/>
          <w:lang w:eastAsia="en-GB"/>
        </w:rPr>
        <w:footnoteReference w:id="6"/>
      </w:r>
      <w:r w:rsidRPr="005173BE">
        <w:rPr>
          <w:rFonts w:ascii="Calibri" w:eastAsia="Times New Roman" w:hAnsi="Calibri" w:cs="Times New Roman"/>
          <w:color w:val="454545"/>
          <w:sz w:val="22"/>
          <w:lang w:eastAsia="en-GB"/>
        </w:rPr>
        <w:t>, including:</w:t>
      </w:r>
      <w:bookmarkEnd w:id="27"/>
    </w:p>
    <w:p w14:paraId="0A2223F3" w14:textId="77777777" w:rsidR="005173BE" w:rsidRPr="005173BE" w:rsidRDefault="005173BE" w:rsidP="00606C01">
      <w:pPr>
        <w:numPr>
          <w:ilvl w:val="0"/>
          <w:numId w:val="27"/>
        </w:numPr>
        <w:tabs>
          <w:tab w:val="clear" w:pos="1134"/>
        </w:tabs>
        <w:ind w:left="993" w:hanging="284"/>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soliciting nominations from within their Member state for registration in the database of CBS experts;</w:t>
      </w:r>
    </w:p>
    <w:p w14:paraId="5AC9DE0B" w14:textId="3A14A047" w:rsidR="005173BE" w:rsidRPr="005173BE" w:rsidRDefault="005173BE" w:rsidP="00606C01">
      <w:pPr>
        <w:numPr>
          <w:ilvl w:val="0"/>
          <w:numId w:val="27"/>
        </w:numPr>
        <w:tabs>
          <w:tab w:val="clear" w:pos="1134"/>
        </w:tabs>
        <w:ind w:left="993" w:hanging="284"/>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building effective working relationships with key non-NMHS organisations and individuals, such as those </w:t>
      </w:r>
      <w:r w:rsidR="00E41824">
        <w:rPr>
          <w:rFonts w:ascii="Calibri" w:eastAsia="Calibri" w:hAnsi="Calibri" w:cs="Times New Roman"/>
          <w:color w:val="454545"/>
          <w:sz w:val="22"/>
          <w:lang w:eastAsia="en-GB"/>
        </w:rPr>
        <w:t xml:space="preserve">developing, </w:t>
      </w:r>
      <w:r w:rsidRPr="005173BE">
        <w:rPr>
          <w:rFonts w:ascii="Calibri" w:eastAsia="Calibri" w:hAnsi="Calibri" w:cs="Times New Roman"/>
          <w:color w:val="454545"/>
          <w:sz w:val="22"/>
          <w:lang w:eastAsia="en-GB"/>
        </w:rPr>
        <w:t>delivering</w:t>
      </w:r>
      <w:r w:rsidR="00E41824">
        <w:rPr>
          <w:rFonts w:ascii="Calibri" w:eastAsia="Calibri" w:hAnsi="Calibri" w:cs="Times New Roman"/>
          <w:color w:val="454545"/>
          <w:sz w:val="22"/>
          <w:lang w:eastAsia="en-GB"/>
        </w:rPr>
        <w:t xml:space="preserve"> or supporting</w:t>
      </w:r>
      <w:r w:rsidRPr="005173BE">
        <w:rPr>
          <w:rFonts w:ascii="Calibri" w:eastAsia="Calibri" w:hAnsi="Calibri" w:cs="Times New Roman"/>
          <w:color w:val="454545"/>
          <w:sz w:val="22"/>
          <w:lang w:eastAsia="en-GB"/>
        </w:rPr>
        <w:t xml:space="preserve"> hydrological or meteorological services in the “weather enterprise”, to encourage expert participation; and</w:t>
      </w:r>
    </w:p>
    <w:p w14:paraId="0D5831C1" w14:textId="77777777" w:rsidR="005173BE" w:rsidRPr="005173BE" w:rsidRDefault="005173BE" w:rsidP="00606C01">
      <w:pPr>
        <w:numPr>
          <w:ilvl w:val="0"/>
          <w:numId w:val="27"/>
        </w:numPr>
        <w:tabs>
          <w:tab w:val="clear" w:pos="1134"/>
        </w:tabs>
        <w:ind w:left="993" w:hanging="284"/>
        <w:contextualSpacing/>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 xml:space="preserve">proposing in an agreed time-frame, on behalf of their PR, registered experts to lead or participate in working bodies of the Commission based on an understanding of the terms of reference for that working body, details of associated work items, the duration of any commitment, the skills required and dialogue with registered experts to determine their availability and willingness to participate. </w:t>
      </w:r>
    </w:p>
    <w:p w14:paraId="0B795FDB"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ab/>
      </w:r>
    </w:p>
    <w:p w14:paraId="4A5F0483" w14:textId="74A13853" w:rsidR="005173BE" w:rsidRPr="005173BE" w:rsidRDefault="005173BE" w:rsidP="00606C01">
      <w:pPr>
        <w:numPr>
          <w:ilvl w:val="0"/>
          <w:numId w:val="16"/>
        </w:numPr>
        <w:tabs>
          <w:tab w:val="clear" w:pos="1134"/>
        </w:tabs>
        <w:ind w:hanging="720"/>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 xml:space="preserve">Facilitates </w:t>
      </w:r>
      <w:r w:rsidRPr="005173BE">
        <w:rPr>
          <w:rFonts w:ascii="Calibri" w:eastAsia="Times New Roman" w:hAnsi="Calibri" w:cs="Times New Roman"/>
          <w:color w:val="454545"/>
          <w:sz w:val="22"/>
          <w:lang w:eastAsia="en-GB"/>
        </w:rPr>
        <w:t>the</w:t>
      </w:r>
      <w:r w:rsidRPr="005173BE">
        <w:rPr>
          <w:rFonts w:ascii="Calibri" w:eastAsia="Times New Roman" w:hAnsi="Calibri" w:cs="Times New Roman"/>
          <w:b/>
          <w:color w:val="454545"/>
          <w:sz w:val="22"/>
          <w:lang w:eastAsia="en-GB"/>
        </w:rPr>
        <w:t xml:space="preserve"> </w:t>
      </w:r>
      <w:r w:rsidRPr="005173BE">
        <w:rPr>
          <w:rFonts w:ascii="Calibri" w:eastAsia="Times New Roman" w:hAnsi="Calibri" w:cs="Times New Roman"/>
          <w:color w:val="454545"/>
          <w:sz w:val="22"/>
          <w:lang w:eastAsia="en-GB"/>
        </w:rPr>
        <w:t>establishment of any necessary agreements with industry bodies (along the lines already in place with the Association of Hydro-Meteorological Equipment Industry (HMEI)) to enable experts representing such bodies to participate in the activities of a working body. </w:t>
      </w:r>
    </w:p>
    <w:p w14:paraId="3A3CF905" w14:textId="77777777" w:rsidR="005173BE" w:rsidRPr="005173BE" w:rsidRDefault="005173BE" w:rsidP="005173BE">
      <w:pPr>
        <w:tabs>
          <w:tab w:val="clear" w:pos="1134"/>
        </w:tabs>
        <w:jc w:val="left"/>
        <w:rPr>
          <w:rFonts w:ascii="Calibri" w:eastAsia="Times New Roman" w:hAnsi="Calibri" w:cs="Times New Roman"/>
          <w:color w:val="454545"/>
          <w:sz w:val="22"/>
          <w:lang w:eastAsia="en-GB"/>
        </w:rPr>
      </w:pPr>
    </w:p>
    <w:p w14:paraId="502A1014" w14:textId="77777777" w:rsidR="005173BE" w:rsidRPr="005173BE" w:rsidRDefault="005173BE" w:rsidP="00606C01">
      <w:pPr>
        <w:numPr>
          <w:ilvl w:val="0"/>
          <w:numId w:val="16"/>
        </w:numPr>
        <w:tabs>
          <w:tab w:val="clear" w:pos="1134"/>
        </w:tabs>
        <w:ind w:hanging="720"/>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 xml:space="preserve">Oversees the provision </w:t>
      </w:r>
      <w:r w:rsidRPr="005173BE">
        <w:rPr>
          <w:rFonts w:ascii="Calibri" w:eastAsia="Times New Roman" w:hAnsi="Calibri" w:cs="Times New Roman"/>
          <w:color w:val="454545"/>
          <w:sz w:val="22"/>
          <w:lang w:eastAsia="en-GB"/>
        </w:rPr>
        <w:t xml:space="preserve">of a common collaboration platform that can be used by all working bodies of the Commission for discussions, issue &amp; progress tracking, co-editing of documents and information sharing. </w:t>
      </w:r>
    </w:p>
    <w:p w14:paraId="78B7B23E" w14:textId="77777777" w:rsidR="005173BE" w:rsidRPr="005173BE" w:rsidRDefault="005173BE" w:rsidP="005173BE">
      <w:pPr>
        <w:tabs>
          <w:tab w:val="clear" w:pos="1134"/>
        </w:tabs>
        <w:jc w:val="left"/>
        <w:rPr>
          <w:rFonts w:ascii="Calibri" w:eastAsia="Calibri" w:hAnsi="Calibri" w:cs="Times New Roman"/>
          <w:color w:val="454545"/>
          <w:sz w:val="22"/>
          <w:u w:val="single"/>
          <w:lang w:eastAsia="en-GB"/>
        </w:rPr>
      </w:pPr>
    </w:p>
    <w:p w14:paraId="3A3DF2B4" w14:textId="77777777" w:rsidR="005173BE" w:rsidRPr="005173BE" w:rsidRDefault="005173BE" w:rsidP="00606C01">
      <w:pPr>
        <w:numPr>
          <w:ilvl w:val="0"/>
          <w:numId w:val="16"/>
        </w:numPr>
        <w:tabs>
          <w:tab w:val="clear" w:pos="1134"/>
        </w:tabs>
        <w:ind w:hanging="720"/>
        <w:jc w:val="left"/>
        <w:rPr>
          <w:rFonts w:ascii="Calibri" w:eastAsia="Times New Roman" w:hAnsi="Calibri" w:cs="Times New Roman"/>
          <w:color w:val="454545"/>
          <w:sz w:val="22"/>
          <w:lang w:eastAsia="en-GB"/>
        </w:rPr>
      </w:pPr>
      <w:r w:rsidRPr="005173BE">
        <w:rPr>
          <w:rFonts w:ascii="Calibri" w:eastAsia="Calibri" w:hAnsi="Calibri" w:cs="Times New Roman"/>
          <w:color w:val="454545"/>
          <w:sz w:val="22"/>
          <w:lang w:eastAsia="en-GB"/>
        </w:rPr>
        <w:t xml:space="preserve">Through the relevant </w:t>
      </w:r>
      <w:r w:rsidRPr="005173BE">
        <w:rPr>
          <w:rFonts w:ascii="Calibri" w:eastAsia="Times New Roman" w:hAnsi="Calibri" w:cs="Times New Roman"/>
          <w:color w:val="454545"/>
          <w:sz w:val="22"/>
          <w:lang w:eastAsia="en-GB"/>
        </w:rPr>
        <w:t xml:space="preserve">Open Programme Area Groups and their constituent </w:t>
      </w:r>
      <w:r w:rsidRPr="005173BE">
        <w:rPr>
          <w:rFonts w:ascii="Calibri" w:eastAsia="Calibri" w:hAnsi="Calibri" w:cs="Times New Roman"/>
          <w:color w:val="454545"/>
          <w:sz w:val="22"/>
          <w:lang w:eastAsia="en-GB"/>
        </w:rPr>
        <w:t xml:space="preserve">teams, </w:t>
      </w:r>
      <w:r w:rsidRPr="005173BE">
        <w:rPr>
          <w:rFonts w:ascii="Calibri" w:eastAsia="Calibri" w:hAnsi="Calibri" w:cs="Times New Roman"/>
          <w:b/>
          <w:color w:val="454545"/>
          <w:sz w:val="22"/>
          <w:lang w:eastAsia="en-GB"/>
        </w:rPr>
        <w:t>ensures</w:t>
      </w:r>
      <w:r w:rsidRPr="005173BE">
        <w:rPr>
          <w:rFonts w:ascii="Calibri" w:eastAsia="Calibri" w:hAnsi="Calibri" w:cs="Times New Roman"/>
          <w:color w:val="454545"/>
          <w:sz w:val="22"/>
          <w:lang w:eastAsia="en-GB"/>
        </w:rPr>
        <w:t xml:space="preserve"> that chairpersons of working bodies:</w:t>
      </w:r>
    </w:p>
    <w:p w14:paraId="7594B8BB" w14:textId="77777777" w:rsidR="005173BE" w:rsidRPr="005173BE" w:rsidRDefault="005173BE" w:rsidP="005173BE">
      <w:pPr>
        <w:tabs>
          <w:tab w:val="clear" w:pos="1134"/>
        </w:tabs>
        <w:jc w:val="left"/>
        <w:rPr>
          <w:rFonts w:ascii="Calibri" w:eastAsia="Times New Roman" w:hAnsi="Calibri" w:cs="Times New Roman"/>
          <w:color w:val="454545"/>
          <w:sz w:val="22"/>
          <w:lang w:eastAsia="en-GB"/>
        </w:rPr>
      </w:pPr>
    </w:p>
    <w:p w14:paraId="657FD9DD" w14:textId="77777777" w:rsidR="005173BE" w:rsidRPr="005173BE" w:rsidRDefault="005173BE" w:rsidP="00606C01">
      <w:pPr>
        <w:numPr>
          <w:ilvl w:val="0"/>
          <w:numId w:val="38"/>
        </w:numPr>
        <w:tabs>
          <w:tab w:val="clear" w:pos="1134"/>
        </w:tabs>
        <w:contextualSpacing/>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conduct the activities of their working body in an open, transparent and collaborative manner;</w:t>
      </w:r>
    </w:p>
    <w:p w14:paraId="74D5DDE8" w14:textId="77777777" w:rsidR="005173BE" w:rsidRPr="005173BE" w:rsidRDefault="005173BE" w:rsidP="00606C01">
      <w:pPr>
        <w:numPr>
          <w:ilvl w:val="0"/>
          <w:numId w:val="38"/>
        </w:numPr>
        <w:tabs>
          <w:tab w:val="clear" w:pos="1134"/>
        </w:tabs>
        <w:contextualSpacing/>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remain aware of the potential for individual experts to seek influence over Technical Regulations for their own national or organisational benefit, should mitigate this risk through robust peer review of draft recommendations, and take appropriate action (such as removal of an expert from the team) if such behaviour is persistently observed; and</w:t>
      </w:r>
    </w:p>
    <w:p w14:paraId="4BAEF954" w14:textId="77777777" w:rsidR="005173BE" w:rsidRPr="005173BE" w:rsidRDefault="005173BE" w:rsidP="00606C01">
      <w:pPr>
        <w:numPr>
          <w:ilvl w:val="0"/>
          <w:numId w:val="38"/>
        </w:numPr>
        <w:tabs>
          <w:tab w:val="clear" w:pos="1134"/>
        </w:tabs>
        <w:contextualSpacing/>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encourage interested experts who wish to participate in a working body to register in the database of experts (if they have not done so already) and contact their National Focal Point to request their assignment to that working body.</w:t>
      </w:r>
    </w:p>
    <w:p w14:paraId="129FE2A9" w14:textId="77777777" w:rsidR="005173BE" w:rsidRPr="005173BE" w:rsidRDefault="005173BE" w:rsidP="005173BE">
      <w:pPr>
        <w:tabs>
          <w:tab w:val="clear" w:pos="1134"/>
        </w:tabs>
        <w:jc w:val="left"/>
        <w:rPr>
          <w:rFonts w:ascii="Calibri" w:eastAsia="Times New Roman" w:hAnsi="Calibri" w:cs="Times New Roman"/>
          <w:color w:val="454545"/>
          <w:sz w:val="22"/>
          <w:lang w:eastAsia="en-GB"/>
        </w:rPr>
      </w:pPr>
    </w:p>
    <w:p w14:paraId="65B1EC42"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Section 4. Supporting Information</w:t>
      </w:r>
    </w:p>
    <w:p w14:paraId="75C18713" w14:textId="77777777" w:rsidR="005173BE" w:rsidRPr="005173BE" w:rsidRDefault="005173BE" w:rsidP="005173BE">
      <w:pPr>
        <w:tabs>
          <w:tab w:val="clear" w:pos="1134"/>
        </w:tabs>
        <w:jc w:val="left"/>
        <w:rPr>
          <w:rFonts w:ascii="Calibri" w:eastAsia="Calibri" w:hAnsi="Calibri" w:cs="Times New Roman"/>
          <w:sz w:val="22"/>
          <w:szCs w:val="24"/>
        </w:rPr>
      </w:pPr>
    </w:p>
    <w:p w14:paraId="1C67E1B6" w14:textId="77777777" w:rsidR="005173BE" w:rsidRPr="005173BE" w:rsidRDefault="005173BE" w:rsidP="005173BE">
      <w:pPr>
        <w:tabs>
          <w:tab w:val="clear" w:pos="1134"/>
        </w:tabs>
        <w:jc w:val="left"/>
        <w:rPr>
          <w:rFonts w:ascii="Calibri" w:eastAsia="Calibri" w:hAnsi="Calibri" w:cs="Times New Roman"/>
          <w:sz w:val="22"/>
          <w:szCs w:val="22"/>
        </w:rPr>
      </w:pPr>
      <w:r w:rsidRPr="005173BE">
        <w:rPr>
          <w:rFonts w:ascii="Calibri" w:eastAsia="Calibri" w:hAnsi="Calibri" w:cs="Times New Roman"/>
          <w:sz w:val="22"/>
          <w:szCs w:val="22"/>
        </w:rPr>
        <w:t xml:space="preserve">A fuller assessment of existing WMO governance framework is provided in </w:t>
      </w:r>
      <w:r w:rsidRPr="005173BE">
        <w:rPr>
          <w:rFonts w:ascii="Calibri" w:eastAsia="Calibri" w:hAnsi="Calibri" w:cs="Times New Roman"/>
          <w:sz w:val="22"/>
          <w:szCs w:val="22"/>
          <w:u w:val="single"/>
        </w:rPr>
        <w:fldChar w:fldCharType="begin"/>
      </w:r>
      <w:r w:rsidRPr="005173BE">
        <w:rPr>
          <w:rFonts w:ascii="Calibri" w:eastAsia="Calibri" w:hAnsi="Calibri" w:cs="Times New Roman"/>
          <w:sz w:val="22"/>
          <w:szCs w:val="22"/>
          <w:u w:val="single"/>
        </w:rPr>
        <w:instrText xml:space="preserve"> REF Annex_3 \h  \* MERGEFORMAT </w:instrText>
      </w:r>
      <w:r w:rsidRPr="005173BE">
        <w:rPr>
          <w:rFonts w:ascii="Calibri" w:eastAsia="Calibri" w:hAnsi="Calibri" w:cs="Times New Roman"/>
          <w:sz w:val="22"/>
          <w:szCs w:val="22"/>
          <w:u w:val="single"/>
        </w:rPr>
      </w:r>
      <w:r w:rsidRPr="005173BE">
        <w:rPr>
          <w:rFonts w:ascii="Calibri" w:eastAsia="Calibri" w:hAnsi="Calibri" w:cs="Times New Roman"/>
          <w:sz w:val="22"/>
          <w:szCs w:val="22"/>
          <w:u w:val="single"/>
        </w:rPr>
        <w:fldChar w:fldCharType="separate"/>
      </w:r>
      <w:r w:rsidR="007F7A40" w:rsidRPr="007F7A40">
        <w:rPr>
          <w:rFonts w:ascii="Calibri" w:eastAsia="Calibri" w:hAnsi="Calibri" w:cs="Times New Roman"/>
          <w:sz w:val="22"/>
          <w:szCs w:val="22"/>
          <w:u w:val="single"/>
        </w:rPr>
        <w:t>Appendix C</w:t>
      </w:r>
      <w:r w:rsidRPr="005173BE">
        <w:rPr>
          <w:rFonts w:ascii="Calibri" w:eastAsia="Calibri" w:hAnsi="Calibri" w:cs="Times New Roman"/>
          <w:sz w:val="22"/>
          <w:szCs w:val="22"/>
          <w:u w:val="single"/>
        </w:rPr>
        <w:fldChar w:fldCharType="end"/>
      </w:r>
      <w:r w:rsidRPr="005173BE">
        <w:rPr>
          <w:rFonts w:ascii="Calibri" w:eastAsia="Calibri" w:hAnsi="Calibri" w:cs="Times New Roman"/>
          <w:sz w:val="22"/>
          <w:szCs w:val="22"/>
        </w:rPr>
        <w:t xml:space="preserve">. </w:t>
      </w:r>
    </w:p>
    <w:p w14:paraId="584AB5B1" w14:textId="77777777" w:rsidR="005173BE" w:rsidRPr="005173BE" w:rsidRDefault="005173BE" w:rsidP="005173BE">
      <w:pPr>
        <w:tabs>
          <w:tab w:val="clear" w:pos="1134"/>
        </w:tabs>
        <w:jc w:val="left"/>
        <w:rPr>
          <w:rFonts w:ascii="Calibri" w:eastAsia="Calibri" w:hAnsi="Calibri" w:cs="Times New Roman"/>
          <w:sz w:val="22"/>
          <w:szCs w:val="22"/>
        </w:rPr>
      </w:pPr>
    </w:p>
    <w:p w14:paraId="45293871" w14:textId="77777777" w:rsidR="005173BE" w:rsidRPr="005173BE" w:rsidRDefault="005173BE" w:rsidP="005173BE">
      <w:pPr>
        <w:tabs>
          <w:tab w:val="clear" w:pos="1134"/>
        </w:tabs>
        <w:jc w:val="left"/>
        <w:rPr>
          <w:rFonts w:ascii="Calibri" w:eastAsia="Calibri" w:hAnsi="Calibri" w:cs="Times New Roman"/>
          <w:sz w:val="22"/>
          <w:szCs w:val="22"/>
        </w:rPr>
      </w:pPr>
      <w:r w:rsidRPr="005173BE">
        <w:rPr>
          <w:rFonts w:ascii="Calibri" w:eastAsia="Calibri" w:hAnsi="Calibri" w:cs="Times New Roman"/>
          <w:sz w:val="22"/>
          <w:szCs w:val="22"/>
        </w:rPr>
        <w:t xml:space="preserve">Examples supporting the issues identified within the previous sections are provided in </w:t>
      </w:r>
      <w:r w:rsidRPr="005173BE">
        <w:rPr>
          <w:rFonts w:ascii="Calibri" w:eastAsia="Calibri" w:hAnsi="Calibri" w:cs="Times New Roman"/>
          <w:sz w:val="22"/>
          <w:szCs w:val="22"/>
          <w:u w:val="single"/>
        </w:rPr>
        <w:fldChar w:fldCharType="begin"/>
      </w:r>
      <w:r w:rsidRPr="005173BE">
        <w:rPr>
          <w:rFonts w:ascii="Calibri" w:eastAsia="Calibri" w:hAnsi="Calibri" w:cs="Times New Roman"/>
          <w:sz w:val="22"/>
          <w:szCs w:val="22"/>
          <w:u w:val="single"/>
        </w:rPr>
        <w:instrText xml:space="preserve"> REF Annex_4 \h  \* MERGEFORMAT </w:instrText>
      </w:r>
      <w:r w:rsidRPr="005173BE">
        <w:rPr>
          <w:rFonts w:ascii="Calibri" w:eastAsia="Calibri" w:hAnsi="Calibri" w:cs="Times New Roman"/>
          <w:sz w:val="22"/>
          <w:szCs w:val="22"/>
          <w:u w:val="single"/>
        </w:rPr>
      </w:r>
      <w:r w:rsidRPr="005173BE">
        <w:rPr>
          <w:rFonts w:ascii="Calibri" w:eastAsia="Calibri" w:hAnsi="Calibri" w:cs="Times New Roman"/>
          <w:sz w:val="22"/>
          <w:szCs w:val="22"/>
          <w:u w:val="single"/>
        </w:rPr>
        <w:fldChar w:fldCharType="separate"/>
      </w:r>
      <w:r w:rsidR="007F7A40" w:rsidRPr="007F7A40">
        <w:rPr>
          <w:rFonts w:ascii="Calibri" w:eastAsia="Calibri" w:hAnsi="Calibri" w:cs="Times New Roman"/>
          <w:sz w:val="22"/>
          <w:szCs w:val="22"/>
          <w:u w:val="single"/>
        </w:rPr>
        <w:t>Appendix D</w:t>
      </w:r>
      <w:r w:rsidRPr="005173BE">
        <w:rPr>
          <w:rFonts w:ascii="Calibri" w:eastAsia="Calibri" w:hAnsi="Calibri" w:cs="Times New Roman"/>
          <w:sz w:val="22"/>
          <w:szCs w:val="22"/>
          <w:u w:val="single"/>
        </w:rPr>
        <w:fldChar w:fldCharType="end"/>
      </w:r>
      <w:r w:rsidRPr="005173BE">
        <w:rPr>
          <w:rFonts w:ascii="Calibri" w:eastAsia="Calibri" w:hAnsi="Calibri" w:cs="Times New Roman"/>
          <w:sz w:val="22"/>
          <w:szCs w:val="22"/>
        </w:rPr>
        <w:t>.</w:t>
      </w:r>
    </w:p>
    <w:p w14:paraId="59672B87" w14:textId="77777777" w:rsidR="005173BE" w:rsidRPr="005173BE" w:rsidRDefault="005173BE" w:rsidP="005173BE">
      <w:pPr>
        <w:tabs>
          <w:tab w:val="clear" w:pos="1134"/>
        </w:tabs>
        <w:jc w:val="left"/>
        <w:rPr>
          <w:rFonts w:ascii="Calibri" w:eastAsia="Calibri" w:hAnsi="Calibri" w:cs="Times New Roman"/>
          <w:sz w:val="22"/>
          <w:szCs w:val="22"/>
        </w:rPr>
      </w:pPr>
    </w:p>
    <w:p w14:paraId="65FDCA22" w14:textId="77777777" w:rsidR="005173BE" w:rsidRPr="005173BE" w:rsidRDefault="005173BE" w:rsidP="005173BE">
      <w:pPr>
        <w:tabs>
          <w:tab w:val="clear" w:pos="1134"/>
        </w:tabs>
        <w:jc w:val="left"/>
        <w:rPr>
          <w:rFonts w:ascii="Calibri" w:eastAsia="Calibri" w:hAnsi="Calibri" w:cs="Times New Roman"/>
          <w:sz w:val="22"/>
          <w:szCs w:val="22"/>
        </w:rPr>
      </w:pPr>
      <w:r w:rsidRPr="005173BE">
        <w:rPr>
          <w:rFonts w:ascii="Calibri" w:eastAsia="Calibri" w:hAnsi="Calibri" w:cs="Times New Roman"/>
          <w:sz w:val="22"/>
          <w:szCs w:val="22"/>
        </w:rPr>
        <w:t xml:space="preserve">The considerations of TT-ATG have some overlap with those of the Executive Council Working Group on Strategic and Operational Planning (EC WG-SOP). However, Management Group should be aware that TT-ATG is concerned with </w:t>
      </w:r>
      <w:r w:rsidRPr="005173BE">
        <w:rPr>
          <w:rFonts w:ascii="Calibri" w:eastAsia="Calibri" w:hAnsi="Calibri" w:cs="Times New Roman"/>
          <w:i/>
          <w:iCs/>
          <w:sz w:val="22"/>
          <w:szCs w:val="22"/>
        </w:rPr>
        <w:t>technical</w:t>
      </w:r>
      <w:r w:rsidRPr="005173BE">
        <w:rPr>
          <w:rFonts w:ascii="Calibri" w:eastAsia="Calibri" w:hAnsi="Calibri" w:cs="Times New Roman"/>
          <w:sz w:val="22"/>
          <w:szCs w:val="22"/>
        </w:rPr>
        <w:t xml:space="preserve"> governance, particularly the management of change to Technical Regulations, whereas EC WG-SOP has a broader remit covering the overall WMO structure and function.</w:t>
      </w:r>
    </w:p>
    <w:p w14:paraId="5440705D" w14:textId="77777777" w:rsidR="005173BE" w:rsidRPr="005173BE" w:rsidRDefault="005173BE" w:rsidP="005173BE">
      <w:pPr>
        <w:tabs>
          <w:tab w:val="clear" w:pos="1134"/>
        </w:tabs>
        <w:jc w:val="left"/>
        <w:rPr>
          <w:rFonts w:ascii="Calibri" w:eastAsia="Calibri" w:hAnsi="Calibri" w:cs="Times New Roman"/>
          <w:sz w:val="22"/>
          <w:szCs w:val="24"/>
        </w:rPr>
      </w:pPr>
    </w:p>
    <w:p w14:paraId="47237CD9"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rPr>
      </w:pPr>
      <w:r w:rsidRPr="005173BE">
        <w:rPr>
          <w:rFonts w:ascii="Calibri Light" w:eastAsia="Times New Roman" w:hAnsi="Calibri Light" w:cs="Times New Roman"/>
          <w:color w:val="1F3763"/>
          <w:sz w:val="24"/>
          <w:szCs w:val="24"/>
        </w:rPr>
        <w:t>Relevant resolutions and decisions</w:t>
      </w:r>
    </w:p>
    <w:p w14:paraId="37795B3D"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Resolution 17 (Cg-II)</w:t>
      </w:r>
    </w:p>
    <w:p w14:paraId="45ADF4CC"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Resolution 18 (Cg-II)</w:t>
      </w:r>
    </w:p>
    <w:p w14:paraId="3D951472"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Resolution 21 (Cg-17)</w:t>
      </w:r>
    </w:p>
    <w:p w14:paraId="1B3E2731"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Resolution 12 (EC-68)</w:t>
      </w:r>
    </w:p>
    <w:p w14:paraId="3A724B1B"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Resolution 1 (CBS-16)</w:t>
      </w:r>
    </w:p>
    <w:p w14:paraId="4DB82F83"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Recommendation 25 (CBS-16)</w:t>
      </w:r>
    </w:p>
    <w:p w14:paraId="2E03933A"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Recommendation 42 (CBS-16)</w:t>
      </w:r>
    </w:p>
    <w:p w14:paraId="5A33DB5B"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Decision 15 (CBS-16)</w:t>
      </w:r>
    </w:p>
    <w:p w14:paraId="1273103F"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Decision 33 (CBS-16)</w:t>
      </w:r>
    </w:p>
    <w:p w14:paraId="634300B9" w14:textId="77777777" w:rsidR="005173BE" w:rsidRPr="005173BE" w:rsidRDefault="005173BE" w:rsidP="00606C01">
      <w:pPr>
        <w:numPr>
          <w:ilvl w:val="0"/>
          <w:numId w:val="32"/>
        </w:numPr>
        <w:tabs>
          <w:tab w:val="clear" w:pos="1134"/>
        </w:tabs>
        <w:contextualSpacing/>
        <w:jc w:val="left"/>
        <w:rPr>
          <w:rFonts w:ascii="Calibri" w:eastAsia="Calibri" w:hAnsi="Calibri" w:cs="Times New Roman"/>
          <w:sz w:val="22"/>
          <w:szCs w:val="22"/>
        </w:rPr>
      </w:pPr>
      <w:r w:rsidRPr="005173BE">
        <w:rPr>
          <w:rFonts w:ascii="Calibri" w:eastAsia="Calibri" w:hAnsi="Calibri" w:cs="Times New Roman"/>
          <w:sz w:val="22"/>
          <w:szCs w:val="22"/>
        </w:rPr>
        <w:t>Decision 34 (CBS-16)</w:t>
      </w:r>
    </w:p>
    <w:p w14:paraId="1C7FB01F" w14:textId="77777777" w:rsidR="005173BE" w:rsidRPr="005173BE" w:rsidRDefault="005173BE" w:rsidP="005173BE">
      <w:pPr>
        <w:tabs>
          <w:tab w:val="clear" w:pos="1134"/>
        </w:tabs>
        <w:jc w:val="left"/>
        <w:rPr>
          <w:rFonts w:ascii="Calibri Light" w:eastAsia="Times New Roman" w:hAnsi="Calibri Light" w:cs="Times New Roman"/>
          <w:color w:val="2F5496"/>
          <w:sz w:val="36"/>
          <w:szCs w:val="32"/>
        </w:rPr>
      </w:pPr>
    </w:p>
    <w:p w14:paraId="699452DA"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rPr>
      </w:pPr>
      <w:bookmarkStart w:id="28" w:name="glossary"/>
      <w:r w:rsidRPr="005173BE">
        <w:rPr>
          <w:rFonts w:ascii="Calibri Light" w:eastAsia="Times New Roman" w:hAnsi="Calibri Light" w:cs="Times New Roman"/>
          <w:color w:val="1F3763"/>
          <w:sz w:val="24"/>
          <w:szCs w:val="24"/>
        </w:rPr>
        <w:t>Glossary of terms</w:t>
      </w:r>
      <w:bookmarkEnd w:id="28"/>
    </w:p>
    <w:p w14:paraId="7A3B5ADF"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Technical Regulations</w:t>
      </w:r>
      <w:r w:rsidRPr="005173BE">
        <w:rPr>
          <w:rFonts w:ascii="Calibri" w:eastAsia="Times New Roman" w:hAnsi="Calibri" w:cs="Times New Roman"/>
          <w:color w:val="454545"/>
          <w:sz w:val="22"/>
          <w:lang w:eastAsia="en-GB"/>
        </w:rPr>
        <w:t xml:space="preserve">: designed to ensure adequate uniformity and standardisation in practices and procedures, and comprising both </w:t>
      </w:r>
      <w:r w:rsidRPr="005173BE">
        <w:rPr>
          <w:rFonts w:ascii="Calibri" w:eastAsia="Times New Roman" w:hAnsi="Calibri" w:cs="Times New Roman"/>
          <w:color w:val="454545"/>
          <w:sz w:val="22"/>
          <w:u w:val="single"/>
          <w:lang w:eastAsia="en-GB"/>
        </w:rPr>
        <w:t>standards</w:t>
      </w:r>
      <w:r w:rsidRPr="005173BE">
        <w:rPr>
          <w:rFonts w:ascii="Calibri" w:eastAsia="Times New Roman" w:hAnsi="Calibri" w:cs="Times New Roman"/>
          <w:color w:val="454545"/>
          <w:sz w:val="22"/>
          <w:lang w:eastAsia="en-GB"/>
        </w:rPr>
        <w:t xml:space="preserve"> and </w:t>
      </w:r>
      <w:r w:rsidRPr="005173BE">
        <w:rPr>
          <w:rFonts w:ascii="Calibri" w:eastAsia="Times New Roman" w:hAnsi="Calibri" w:cs="Times New Roman"/>
          <w:color w:val="454545"/>
          <w:sz w:val="22"/>
          <w:u w:val="single"/>
          <w:lang w:eastAsia="en-GB"/>
        </w:rPr>
        <w:t>recommendations</w:t>
      </w:r>
      <w:r w:rsidRPr="005173BE">
        <w:rPr>
          <w:rFonts w:ascii="Calibri" w:eastAsia="Times New Roman" w:hAnsi="Calibri" w:cs="Times New Roman"/>
          <w:color w:val="454545"/>
          <w:sz w:val="22"/>
          <w:lang w:eastAsia="en-GB"/>
        </w:rPr>
        <w:t>, as defined in Resolution 17 (Cg-II)</w:t>
      </w:r>
    </w:p>
    <w:p w14:paraId="521A0982"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Annex</w:t>
      </w:r>
      <w:r w:rsidRPr="005173BE">
        <w:rPr>
          <w:rFonts w:ascii="Calibri" w:eastAsia="Times New Roman" w:hAnsi="Calibri" w:cs="Times New Roman"/>
          <w:color w:val="454545"/>
          <w:sz w:val="22"/>
          <w:lang w:eastAsia="en-GB"/>
        </w:rPr>
        <w:t xml:space="preserve">: see </w:t>
      </w:r>
      <w:r w:rsidRPr="005173BE">
        <w:rPr>
          <w:rFonts w:ascii="Calibri" w:eastAsia="Times New Roman" w:hAnsi="Calibri" w:cs="Times New Roman"/>
          <w:color w:val="454545"/>
          <w:sz w:val="22"/>
          <w:u w:val="single"/>
          <w:lang w:eastAsia="en-GB"/>
        </w:rPr>
        <w:t>Manual</w:t>
      </w:r>
    </w:p>
    <w:p w14:paraId="4BEB9AAA"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Manual</w:t>
      </w:r>
      <w:r w:rsidRPr="005173BE">
        <w:rPr>
          <w:rFonts w:ascii="Calibri" w:eastAsia="Times New Roman" w:hAnsi="Calibri" w:cs="Times New Roman"/>
          <w:color w:val="454545"/>
          <w:sz w:val="22"/>
          <w:lang w:eastAsia="en-GB"/>
        </w:rPr>
        <w:t xml:space="preserve">: Annex to the Technical Regulations containing regulatory material having the status of </w:t>
      </w:r>
      <w:r w:rsidRPr="005173BE">
        <w:rPr>
          <w:rFonts w:ascii="Calibri" w:eastAsia="Times New Roman" w:hAnsi="Calibri" w:cs="Times New Roman"/>
          <w:color w:val="454545"/>
          <w:sz w:val="22"/>
          <w:u w:val="single"/>
          <w:lang w:eastAsia="en-GB"/>
        </w:rPr>
        <w:t>standard</w:t>
      </w:r>
      <w:r w:rsidRPr="005173BE">
        <w:rPr>
          <w:rFonts w:ascii="Calibri" w:eastAsia="Times New Roman" w:hAnsi="Calibri" w:cs="Times New Roman"/>
          <w:color w:val="454545"/>
          <w:sz w:val="22"/>
          <w:lang w:eastAsia="en-GB"/>
        </w:rPr>
        <w:t xml:space="preserve"> or </w:t>
      </w:r>
      <w:r w:rsidRPr="005173BE">
        <w:rPr>
          <w:rFonts w:ascii="Calibri" w:eastAsia="Times New Roman" w:hAnsi="Calibri" w:cs="Times New Roman"/>
          <w:color w:val="454545"/>
          <w:sz w:val="22"/>
          <w:u w:val="single"/>
          <w:lang w:eastAsia="en-GB"/>
        </w:rPr>
        <w:t>recommendation</w:t>
      </w:r>
      <w:r w:rsidRPr="005173BE">
        <w:rPr>
          <w:rFonts w:ascii="Calibri" w:eastAsia="Times New Roman" w:hAnsi="Calibri" w:cs="Times New Roman"/>
          <w:color w:val="454545"/>
          <w:sz w:val="22"/>
          <w:lang w:eastAsia="en-GB"/>
        </w:rPr>
        <w:t>; Annexes are established by decision of Congress</w:t>
      </w:r>
    </w:p>
    <w:p w14:paraId="28994ED1"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Appendix</w:t>
      </w:r>
      <w:r w:rsidRPr="005173BE">
        <w:rPr>
          <w:rFonts w:ascii="Calibri" w:eastAsia="Times New Roman" w:hAnsi="Calibri" w:cs="Times New Roman"/>
          <w:color w:val="454545"/>
          <w:sz w:val="22"/>
          <w:lang w:eastAsia="en-GB"/>
        </w:rPr>
        <w:t>: appear in Technical Regulations or Manuals and have the same status as the Regulations to which they refer</w:t>
      </w:r>
    </w:p>
    <w:p w14:paraId="1C716059"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Attachment</w:t>
      </w:r>
      <w:r w:rsidRPr="005173BE">
        <w:rPr>
          <w:rFonts w:ascii="Calibri" w:eastAsia="Times New Roman" w:hAnsi="Calibri" w:cs="Times New Roman"/>
          <w:color w:val="454545"/>
          <w:sz w:val="22"/>
          <w:lang w:eastAsia="en-GB"/>
        </w:rPr>
        <w:t xml:space="preserve">: non-regulatory complements to Technical Regulations which usually contain detailed guidelines related to </w:t>
      </w:r>
      <w:r w:rsidRPr="005173BE">
        <w:rPr>
          <w:rFonts w:ascii="Calibri" w:eastAsia="Times New Roman" w:hAnsi="Calibri" w:cs="Times New Roman"/>
          <w:color w:val="454545"/>
          <w:sz w:val="22"/>
          <w:u w:val="single"/>
          <w:lang w:eastAsia="en-GB"/>
        </w:rPr>
        <w:t>standards</w:t>
      </w:r>
      <w:r w:rsidRPr="005173BE">
        <w:rPr>
          <w:rFonts w:ascii="Calibri" w:eastAsia="Times New Roman" w:hAnsi="Calibri" w:cs="Times New Roman"/>
          <w:i/>
          <w:iCs/>
          <w:color w:val="454545"/>
          <w:sz w:val="22"/>
          <w:lang w:eastAsia="en-GB"/>
        </w:rPr>
        <w:t xml:space="preserve"> </w:t>
      </w:r>
      <w:r w:rsidRPr="005173BE">
        <w:rPr>
          <w:rFonts w:ascii="Calibri" w:eastAsia="Times New Roman" w:hAnsi="Calibri" w:cs="Times New Roman"/>
          <w:color w:val="454545"/>
          <w:sz w:val="22"/>
          <w:lang w:eastAsia="en-GB"/>
        </w:rPr>
        <w:t xml:space="preserve">and </w:t>
      </w:r>
      <w:r w:rsidRPr="005173BE">
        <w:rPr>
          <w:rFonts w:ascii="Calibri" w:eastAsia="Times New Roman" w:hAnsi="Calibri" w:cs="Times New Roman"/>
          <w:color w:val="454545"/>
          <w:sz w:val="22"/>
          <w:u w:val="single"/>
          <w:lang w:eastAsia="en-GB"/>
        </w:rPr>
        <w:t>recommendations</w:t>
      </w:r>
      <w:r w:rsidRPr="005173BE">
        <w:rPr>
          <w:rFonts w:ascii="Calibri" w:eastAsia="Times New Roman" w:hAnsi="Calibri" w:cs="Times New Roman"/>
          <w:i/>
          <w:iCs/>
          <w:color w:val="454545"/>
          <w:sz w:val="22"/>
          <w:lang w:eastAsia="en-GB"/>
        </w:rPr>
        <w:t> </w:t>
      </w:r>
    </w:p>
    <w:p w14:paraId="448A078E"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Note</w:t>
      </w:r>
      <w:r w:rsidRPr="005173BE">
        <w:rPr>
          <w:rFonts w:ascii="Calibri" w:eastAsia="Times New Roman" w:hAnsi="Calibri" w:cs="Times New Roman"/>
          <w:color w:val="454545"/>
          <w:sz w:val="22"/>
          <w:lang w:eastAsia="en-GB"/>
        </w:rPr>
        <w:t>: non-regulatory explanatory material which often includes references to other parts of the publication or to other publications </w:t>
      </w:r>
    </w:p>
    <w:p w14:paraId="7E50A886"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Guides</w:t>
      </w:r>
      <w:r w:rsidRPr="005173BE">
        <w:rPr>
          <w:rFonts w:ascii="Calibri" w:eastAsia="Times New Roman" w:hAnsi="Calibri" w:cs="Times New Roman"/>
          <w:color w:val="454545"/>
          <w:sz w:val="22"/>
          <w:lang w:eastAsia="en-GB"/>
        </w:rPr>
        <w:t xml:space="preserve">: publications which describe practices, procedures and specifications which Members are </w:t>
      </w:r>
      <w:r w:rsidRPr="005173BE">
        <w:rPr>
          <w:rFonts w:ascii="Calibri" w:eastAsia="Times New Roman" w:hAnsi="Calibri" w:cs="Times New Roman"/>
          <w:b/>
          <w:bCs/>
          <w:color w:val="454545"/>
          <w:sz w:val="22"/>
          <w:lang w:eastAsia="en-GB"/>
        </w:rPr>
        <w:t>invited</w:t>
      </w:r>
      <w:r w:rsidRPr="005173BE">
        <w:rPr>
          <w:rFonts w:ascii="Calibri" w:eastAsia="Times New Roman" w:hAnsi="Calibri" w:cs="Times New Roman"/>
          <w:color w:val="454545"/>
          <w:sz w:val="22"/>
          <w:lang w:eastAsia="en-GB"/>
        </w:rPr>
        <w:t xml:space="preserve"> to follow or implement in establishing and conducting their arrangements for compliance with the Technical Regulations, as defined in Resolution 18 (Cg-II)</w:t>
      </w:r>
    </w:p>
    <w:p w14:paraId="775E29FE"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Provision</w:t>
      </w:r>
      <w:r w:rsidRPr="005173BE">
        <w:rPr>
          <w:rFonts w:ascii="Calibri" w:eastAsia="Times New Roman" w:hAnsi="Calibri" w:cs="Times New Roman"/>
          <w:color w:val="454545"/>
          <w:sz w:val="22"/>
          <w:lang w:eastAsia="en-GB"/>
        </w:rPr>
        <w:t xml:space="preserve">: term used to express </w:t>
      </w:r>
      <w:r w:rsidRPr="005173BE">
        <w:rPr>
          <w:rFonts w:ascii="Calibri" w:eastAsia="Times New Roman" w:hAnsi="Calibri" w:cs="Times New Roman"/>
          <w:color w:val="454545"/>
          <w:sz w:val="22"/>
          <w:u w:val="single"/>
          <w:lang w:eastAsia="en-GB"/>
        </w:rPr>
        <w:t>standards</w:t>
      </w:r>
      <w:r w:rsidRPr="005173BE">
        <w:rPr>
          <w:rFonts w:ascii="Calibri" w:eastAsia="Times New Roman" w:hAnsi="Calibri" w:cs="Times New Roman"/>
          <w:color w:val="454545"/>
          <w:sz w:val="22"/>
          <w:lang w:eastAsia="en-GB"/>
        </w:rPr>
        <w:t xml:space="preserve"> and </w:t>
      </w:r>
      <w:r w:rsidRPr="005173BE">
        <w:rPr>
          <w:rFonts w:ascii="Calibri" w:eastAsia="Times New Roman" w:hAnsi="Calibri" w:cs="Times New Roman"/>
          <w:color w:val="454545"/>
          <w:sz w:val="22"/>
          <w:u w:val="single"/>
          <w:lang w:eastAsia="en-GB"/>
        </w:rPr>
        <w:t>recommendations</w:t>
      </w:r>
      <w:r w:rsidRPr="005173BE">
        <w:rPr>
          <w:rFonts w:ascii="Calibri" w:eastAsia="Times New Roman" w:hAnsi="Calibri" w:cs="Times New Roman"/>
          <w:color w:val="454545"/>
          <w:sz w:val="22"/>
          <w:lang w:eastAsia="en-GB"/>
        </w:rPr>
        <w:t xml:space="preserve"> contained in the Technical Regulations and their annexes, and also the (non-regulatory) practices, procedures and specifications contained in WMO guides</w:t>
      </w:r>
    </w:p>
    <w:p w14:paraId="727DE54A"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Recommended</w:t>
      </w:r>
      <w:r w:rsidRPr="005173BE">
        <w:rPr>
          <w:rFonts w:ascii="Calibri" w:eastAsia="Times New Roman" w:hAnsi="Calibri" w:cs="Times New Roman"/>
          <w:color w:val="454545"/>
          <w:sz w:val="22"/>
          <w:lang w:eastAsia="en-GB"/>
        </w:rPr>
        <w:t xml:space="preserve"> </w:t>
      </w:r>
      <w:r w:rsidRPr="005173BE">
        <w:rPr>
          <w:rFonts w:ascii="Calibri" w:eastAsia="Times New Roman" w:hAnsi="Calibri" w:cs="Times New Roman"/>
          <w:b/>
          <w:color w:val="454545"/>
          <w:sz w:val="22"/>
          <w:lang w:eastAsia="en-GB"/>
        </w:rPr>
        <w:t>practice and procedure</w:t>
      </w:r>
      <w:r w:rsidRPr="005173BE">
        <w:rPr>
          <w:rFonts w:ascii="Calibri" w:eastAsia="Times New Roman" w:hAnsi="Calibri" w:cs="Times New Roman"/>
          <w:color w:val="454545"/>
          <w:sz w:val="22"/>
          <w:lang w:eastAsia="en-GB"/>
        </w:rPr>
        <w:t xml:space="preserve">: a provision that Members are </w:t>
      </w:r>
      <w:r w:rsidRPr="005173BE">
        <w:rPr>
          <w:rFonts w:ascii="Calibri" w:eastAsia="Times New Roman" w:hAnsi="Calibri" w:cs="Times New Roman"/>
          <w:b/>
          <w:bCs/>
          <w:color w:val="454545"/>
          <w:sz w:val="22"/>
          <w:lang w:eastAsia="en-GB"/>
        </w:rPr>
        <w:t>urged</w:t>
      </w:r>
      <w:r w:rsidRPr="005173BE">
        <w:rPr>
          <w:rFonts w:ascii="Calibri" w:eastAsia="Times New Roman" w:hAnsi="Calibri" w:cs="Times New Roman"/>
          <w:color w:val="454545"/>
          <w:sz w:val="22"/>
          <w:lang w:eastAsia="en-GB"/>
        </w:rPr>
        <w:t xml:space="preserve"> to comply with; distinguished using the term </w:t>
      </w:r>
      <w:r w:rsidRPr="005173BE">
        <w:rPr>
          <w:rFonts w:ascii="Calibri" w:eastAsia="Times New Roman" w:hAnsi="Calibri" w:cs="Times New Roman"/>
          <w:b/>
          <w:bCs/>
          <w:i/>
          <w:iCs/>
          <w:color w:val="454545"/>
          <w:sz w:val="22"/>
          <w:lang w:eastAsia="en-GB"/>
        </w:rPr>
        <w:t xml:space="preserve">should </w:t>
      </w:r>
      <w:r w:rsidRPr="005173BE">
        <w:rPr>
          <w:rFonts w:ascii="Calibri" w:eastAsia="Times New Roman" w:hAnsi="Calibri" w:cs="Times New Roman"/>
          <w:color w:val="454545"/>
          <w:sz w:val="22"/>
          <w:lang w:eastAsia="en-GB"/>
        </w:rPr>
        <w:t>in the English text of Technical Regulations and by suitable equivalent terms in the Arabic, Chinese, French, Russian and Spanish texts  </w:t>
      </w:r>
    </w:p>
    <w:p w14:paraId="62D23700"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Recommendation</w:t>
      </w:r>
      <w:r w:rsidRPr="005173BE">
        <w:rPr>
          <w:rFonts w:ascii="Calibri" w:eastAsia="Times New Roman" w:hAnsi="Calibri" w:cs="Times New Roman"/>
          <w:color w:val="454545"/>
          <w:sz w:val="22"/>
          <w:lang w:eastAsia="en-GB"/>
        </w:rPr>
        <w:t>: used for brevity in place of “</w:t>
      </w:r>
      <w:r w:rsidRPr="005173BE">
        <w:rPr>
          <w:rFonts w:ascii="Calibri" w:eastAsia="Times New Roman" w:hAnsi="Calibri" w:cs="Times New Roman"/>
          <w:color w:val="454545"/>
          <w:sz w:val="22"/>
          <w:u w:val="single"/>
          <w:lang w:eastAsia="en-GB"/>
        </w:rPr>
        <w:t>recommended practice and procedure</w:t>
      </w:r>
      <w:r w:rsidRPr="005173BE">
        <w:rPr>
          <w:rFonts w:ascii="Calibri" w:eastAsia="Times New Roman" w:hAnsi="Calibri" w:cs="Times New Roman"/>
          <w:color w:val="454545"/>
          <w:sz w:val="22"/>
          <w:lang w:eastAsia="en-GB"/>
        </w:rPr>
        <w:t>”</w:t>
      </w:r>
    </w:p>
    <w:p w14:paraId="3594E33A"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lastRenderedPageBreak/>
        <w:t>Standard practice and procedure</w:t>
      </w:r>
      <w:r w:rsidRPr="005173BE">
        <w:rPr>
          <w:rFonts w:ascii="Calibri" w:eastAsia="Times New Roman" w:hAnsi="Calibri" w:cs="Times New Roman"/>
          <w:color w:val="454545"/>
          <w:sz w:val="22"/>
          <w:lang w:eastAsia="en-GB"/>
        </w:rPr>
        <w:t xml:space="preserve">: a </w:t>
      </w:r>
      <w:r w:rsidRPr="005173BE">
        <w:rPr>
          <w:rFonts w:ascii="Calibri" w:eastAsia="Times New Roman" w:hAnsi="Calibri" w:cs="Times New Roman"/>
          <w:color w:val="454545"/>
          <w:sz w:val="22"/>
          <w:u w:val="single"/>
          <w:lang w:eastAsia="en-GB"/>
        </w:rPr>
        <w:t>provision</w:t>
      </w:r>
      <w:r w:rsidRPr="005173BE">
        <w:rPr>
          <w:rFonts w:ascii="Calibri" w:eastAsia="Times New Roman" w:hAnsi="Calibri" w:cs="Times New Roman"/>
          <w:color w:val="454545"/>
          <w:sz w:val="22"/>
          <w:lang w:eastAsia="en-GB"/>
        </w:rPr>
        <w:t xml:space="preserve"> that Members are </w:t>
      </w:r>
      <w:r w:rsidRPr="005173BE">
        <w:rPr>
          <w:rFonts w:ascii="Calibri" w:eastAsia="Times New Roman" w:hAnsi="Calibri" w:cs="Times New Roman"/>
          <w:b/>
          <w:bCs/>
          <w:color w:val="454545"/>
          <w:sz w:val="22"/>
          <w:lang w:eastAsia="en-GB"/>
        </w:rPr>
        <w:t>required</w:t>
      </w:r>
      <w:r w:rsidRPr="005173BE">
        <w:rPr>
          <w:rFonts w:ascii="Calibri" w:eastAsia="Times New Roman" w:hAnsi="Calibri" w:cs="Times New Roman"/>
          <w:color w:val="454545"/>
          <w:sz w:val="22"/>
          <w:lang w:eastAsia="en-GB"/>
        </w:rPr>
        <w:t xml:space="preserve"> to follow or implement, therefore having the status of requirements</w:t>
      </w:r>
      <w:r w:rsidRPr="005173BE">
        <w:rPr>
          <w:rFonts w:ascii="Calibri" w:eastAsia="Times New Roman" w:hAnsi="Calibri" w:cs="Times New Roman"/>
          <w:b/>
          <w:bCs/>
          <w:color w:val="454545"/>
          <w:sz w:val="22"/>
          <w:lang w:eastAsia="en-GB"/>
        </w:rPr>
        <w:t xml:space="preserve"> </w:t>
      </w:r>
      <w:r w:rsidRPr="005173BE">
        <w:rPr>
          <w:rFonts w:ascii="Calibri" w:eastAsia="Times New Roman" w:hAnsi="Calibri" w:cs="Times New Roman"/>
          <w:color w:val="454545"/>
          <w:sz w:val="22"/>
          <w:lang w:eastAsia="en-GB"/>
        </w:rPr>
        <w:t xml:space="preserve">in a technical resolution in respect of which Article 9(b) of the Convention is applicable and is therefore considered a binding agreement for Members; distinguished using the term </w:t>
      </w:r>
      <w:r w:rsidRPr="005173BE">
        <w:rPr>
          <w:rFonts w:ascii="Calibri" w:eastAsia="Times New Roman" w:hAnsi="Calibri" w:cs="Times New Roman"/>
          <w:b/>
          <w:bCs/>
          <w:i/>
          <w:iCs/>
          <w:color w:val="454545"/>
          <w:sz w:val="22"/>
          <w:lang w:eastAsia="en-GB"/>
        </w:rPr>
        <w:t xml:space="preserve">shall </w:t>
      </w:r>
      <w:r w:rsidRPr="005173BE">
        <w:rPr>
          <w:rFonts w:ascii="Calibri" w:eastAsia="Times New Roman" w:hAnsi="Calibri" w:cs="Times New Roman"/>
          <w:color w:val="454545"/>
          <w:sz w:val="22"/>
          <w:lang w:eastAsia="en-GB"/>
        </w:rPr>
        <w:t>in the English text of Technical Regulations and by suitable equivalent terms in the Arabic, Chinese, French, Russian and Spanish texts </w:t>
      </w:r>
    </w:p>
    <w:p w14:paraId="2BDDF4F3"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Standard</w:t>
      </w:r>
      <w:r w:rsidRPr="005173BE">
        <w:rPr>
          <w:rFonts w:ascii="Calibri" w:eastAsia="Times New Roman" w:hAnsi="Calibri" w:cs="Times New Roman"/>
          <w:color w:val="454545"/>
          <w:sz w:val="22"/>
          <w:lang w:eastAsia="en-GB"/>
        </w:rPr>
        <w:t>: used for brevity in place of “</w:t>
      </w:r>
      <w:r w:rsidRPr="005173BE">
        <w:rPr>
          <w:rFonts w:ascii="Calibri" w:eastAsia="Times New Roman" w:hAnsi="Calibri" w:cs="Times New Roman"/>
          <w:color w:val="454545"/>
          <w:sz w:val="22"/>
          <w:u w:val="single"/>
          <w:lang w:eastAsia="en-GB"/>
        </w:rPr>
        <w:t>standard practice and procedure</w:t>
      </w:r>
      <w:r w:rsidRPr="005173BE">
        <w:rPr>
          <w:rFonts w:ascii="Calibri" w:eastAsia="Times New Roman" w:hAnsi="Calibri" w:cs="Times New Roman"/>
          <w:color w:val="454545"/>
          <w:sz w:val="22"/>
          <w:lang w:eastAsia="en-GB"/>
        </w:rPr>
        <w:t>”</w:t>
      </w:r>
    </w:p>
    <w:p w14:paraId="7D0ACFB0"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Technical specification</w:t>
      </w:r>
      <w:r w:rsidRPr="005173BE">
        <w:rPr>
          <w:rFonts w:ascii="Calibri" w:eastAsia="Times New Roman" w:hAnsi="Calibri" w:cs="Times New Roman"/>
          <w:color w:val="454545"/>
          <w:sz w:val="22"/>
          <w:lang w:eastAsia="en-GB"/>
        </w:rPr>
        <w:t xml:space="preserve">: </w:t>
      </w:r>
      <w:r w:rsidRPr="005173BE">
        <w:rPr>
          <w:rFonts w:ascii="Calibri" w:eastAsia="Calibri" w:hAnsi="Calibri" w:cs="Times New Roman"/>
          <w:color w:val="454545"/>
          <w:sz w:val="22"/>
          <w:lang w:eastAsia="en-GB"/>
        </w:rPr>
        <w:t>a versioned set of technical requirements for a product, process or function</w:t>
      </w:r>
      <w:r w:rsidRPr="005173BE">
        <w:rPr>
          <w:rFonts w:ascii="Calibri" w:eastAsia="Times New Roman" w:hAnsi="Calibri" w:cs="Times New Roman"/>
          <w:color w:val="454545"/>
          <w:sz w:val="22"/>
          <w:lang w:eastAsia="en-GB"/>
        </w:rPr>
        <w:t xml:space="preserve"> </w:t>
      </w:r>
    </w:p>
    <w:p w14:paraId="22CE82BC" w14:textId="77777777" w:rsidR="005173BE" w:rsidRPr="005173BE" w:rsidRDefault="005173BE" w:rsidP="00606C01">
      <w:pPr>
        <w:numPr>
          <w:ilvl w:val="0"/>
          <w:numId w:val="10"/>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color w:val="454545"/>
          <w:sz w:val="22"/>
          <w:lang w:eastAsia="en-GB"/>
        </w:rPr>
        <w:t xml:space="preserve">Technical governance: </w:t>
      </w:r>
      <w:r w:rsidRPr="005173BE">
        <w:rPr>
          <w:rFonts w:ascii="Calibri" w:eastAsia="Times New Roman" w:hAnsi="Calibri" w:cs="Times New Roman"/>
          <w:color w:val="454545"/>
          <w:sz w:val="22"/>
          <w:lang w:eastAsia="en-GB"/>
        </w:rPr>
        <w:t>procedures and working arrangements relating to the management of change to and implementation of Technical Regulations</w:t>
      </w:r>
    </w:p>
    <w:p w14:paraId="677A1A12" w14:textId="77777777" w:rsidR="005173BE" w:rsidRPr="005173BE" w:rsidRDefault="005173BE" w:rsidP="005173BE">
      <w:pPr>
        <w:tabs>
          <w:tab w:val="clear" w:pos="1134"/>
        </w:tabs>
        <w:jc w:val="left"/>
        <w:rPr>
          <w:rFonts w:ascii="Calibri" w:eastAsia="Calibri" w:hAnsi="Calibri" w:cs="Times New Roman"/>
          <w:sz w:val="24"/>
          <w:szCs w:val="24"/>
        </w:rPr>
      </w:pPr>
    </w:p>
    <w:p w14:paraId="52471215" w14:textId="77777777" w:rsidR="005173BE" w:rsidRPr="005173BE" w:rsidRDefault="005173BE" w:rsidP="005173BE">
      <w:pPr>
        <w:tabs>
          <w:tab w:val="clear" w:pos="1134"/>
        </w:tabs>
        <w:jc w:val="left"/>
        <w:rPr>
          <w:rFonts w:ascii="Calibri Light" w:eastAsia="Times New Roman" w:hAnsi="Calibri Light" w:cs="Times New Roman"/>
          <w:color w:val="2F5496"/>
          <w:sz w:val="36"/>
          <w:szCs w:val="32"/>
        </w:rPr>
      </w:pPr>
    </w:p>
    <w:p w14:paraId="0B8D9EE7" w14:textId="77777777" w:rsidR="005173BE" w:rsidRPr="005173BE" w:rsidRDefault="005173BE" w:rsidP="005173BE">
      <w:pPr>
        <w:tabs>
          <w:tab w:val="clear" w:pos="1134"/>
        </w:tabs>
        <w:jc w:val="left"/>
        <w:rPr>
          <w:rFonts w:ascii="Calibri Light" w:eastAsia="Times New Roman" w:hAnsi="Calibri Light" w:cs="Times New Roman"/>
          <w:color w:val="2F5496"/>
          <w:sz w:val="36"/>
          <w:szCs w:val="32"/>
        </w:rPr>
      </w:pPr>
      <w:r w:rsidRPr="005173BE">
        <w:rPr>
          <w:rFonts w:ascii="Calibri" w:eastAsia="Calibri" w:hAnsi="Calibri" w:cs="Times New Roman"/>
          <w:sz w:val="36"/>
          <w:szCs w:val="24"/>
        </w:rPr>
        <w:br w:type="page"/>
      </w:r>
    </w:p>
    <w:p w14:paraId="5315AD47" w14:textId="60180391" w:rsidR="005173BE" w:rsidRPr="005173BE" w:rsidRDefault="005173BE" w:rsidP="005173BE">
      <w:pPr>
        <w:keepNext/>
        <w:keepLines/>
        <w:tabs>
          <w:tab w:val="clear" w:pos="1134"/>
        </w:tabs>
        <w:spacing w:before="240"/>
        <w:jc w:val="left"/>
        <w:outlineLvl w:val="0"/>
        <w:rPr>
          <w:rFonts w:ascii="Calibri Light" w:eastAsia="Times New Roman" w:hAnsi="Calibri Light" w:cs="Times New Roman"/>
          <w:color w:val="2F5496"/>
          <w:sz w:val="36"/>
          <w:szCs w:val="32"/>
        </w:rPr>
      </w:pPr>
      <w:bookmarkStart w:id="29" w:name="Annex_1"/>
      <w:r w:rsidRPr="005173BE">
        <w:rPr>
          <w:rFonts w:ascii="Calibri Light" w:eastAsia="Times New Roman" w:hAnsi="Calibri Light" w:cs="Times New Roman"/>
          <w:color w:val="2F5496"/>
          <w:sz w:val="36"/>
          <w:szCs w:val="32"/>
        </w:rPr>
        <w:lastRenderedPageBreak/>
        <w:t>A</w:t>
      </w:r>
      <w:r w:rsidR="00A805BE">
        <w:rPr>
          <w:rFonts w:ascii="Calibri Light" w:eastAsia="Times New Roman" w:hAnsi="Calibri Light" w:cs="Times New Roman"/>
          <w:color w:val="2F5496"/>
          <w:sz w:val="36"/>
          <w:szCs w:val="32"/>
        </w:rPr>
        <w:t>ppendix</w:t>
      </w:r>
      <w:r w:rsidR="0062093B">
        <w:rPr>
          <w:rFonts w:ascii="Calibri Light" w:eastAsia="Times New Roman" w:hAnsi="Calibri Light" w:cs="Times New Roman"/>
          <w:color w:val="2F5496"/>
          <w:sz w:val="36"/>
          <w:szCs w:val="32"/>
        </w:rPr>
        <w:t xml:space="preserve"> A</w:t>
      </w:r>
      <w:bookmarkEnd w:id="29"/>
      <w:r w:rsidRPr="005173BE">
        <w:rPr>
          <w:rFonts w:ascii="Calibri Light" w:eastAsia="Times New Roman" w:hAnsi="Calibri Light" w:cs="Times New Roman"/>
          <w:color w:val="2F5496"/>
          <w:sz w:val="36"/>
          <w:szCs w:val="32"/>
        </w:rPr>
        <w:t>: Participants of CBS Task Team on Approaches to Technical Governance</w:t>
      </w:r>
    </w:p>
    <w:p w14:paraId="01A560D4" w14:textId="77777777" w:rsidR="005173BE" w:rsidRPr="005173BE" w:rsidRDefault="005173BE" w:rsidP="005173BE">
      <w:pPr>
        <w:tabs>
          <w:tab w:val="clear" w:pos="1134"/>
        </w:tabs>
        <w:jc w:val="left"/>
        <w:rPr>
          <w:rFonts w:ascii="Calibri" w:eastAsia="Calibri" w:hAnsi="Calibri" w:cs="Times New Roman"/>
          <w:sz w:val="24"/>
          <w:szCs w:val="24"/>
        </w:rPr>
      </w:pPr>
    </w:p>
    <w:p w14:paraId="408044EF" w14:textId="77777777" w:rsidR="005173BE" w:rsidRPr="005173BE" w:rsidRDefault="005173BE" w:rsidP="005173BE">
      <w:pPr>
        <w:tabs>
          <w:tab w:val="clear" w:pos="1134"/>
        </w:tabs>
        <w:ind w:left="360"/>
        <w:jc w:val="left"/>
        <w:rPr>
          <w:rFonts w:ascii="Calibri" w:eastAsia="Calibri" w:hAnsi="Calibri" w:cs="Times New Roman"/>
          <w:sz w:val="24"/>
          <w:szCs w:val="24"/>
        </w:rPr>
        <w:sectPr w:rsidR="005173BE" w:rsidRPr="005173BE" w:rsidSect="00110703">
          <w:footerReference w:type="even" r:id="rId15"/>
          <w:footerReference w:type="default" r:id="rId16"/>
          <w:pgSz w:w="11900" w:h="16840"/>
          <w:pgMar w:top="1440" w:right="1440" w:bottom="1440" w:left="1440" w:header="708" w:footer="708" w:gutter="0"/>
          <w:cols w:space="708"/>
          <w:docGrid w:linePitch="360"/>
        </w:sectPr>
      </w:pPr>
    </w:p>
    <w:p w14:paraId="13E16D34"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b/>
          <w:sz w:val="24"/>
          <w:szCs w:val="24"/>
        </w:rPr>
        <w:lastRenderedPageBreak/>
        <w:t>Jeremy TANDY</w:t>
      </w:r>
      <w:r w:rsidRPr="005173BE">
        <w:rPr>
          <w:rFonts w:ascii="Calibri" w:eastAsia="Calibri" w:hAnsi="Calibri" w:cs="Times New Roman"/>
          <w:sz w:val="24"/>
          <w:szCs w:val="24"/>
        </w:rPr>
        <w:t xml:space="preserve">, chair </w:t>
      </w:r>
    </w:p>
    <w:p w14:paraId="4A2723CE"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(United Kingdom)</w:t>
      </w:r>
    </w:p>
    <w:p w14:paraId="5A956D5A"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3190F588" w14:textId="77777777" w:rsidR="005173BE" w:rsidRPr="005173BE" w:rsidRDefault="005173BE" w:rsidP="005173BE">
      <w:pPr>
        <w:tabs>
          <w:tab w:val="clear" w:pos="1134"/>
        </w:tabs>
        <w:ind w:left="360"/>
        <w:jc w:val="left"/>
        <w:rPr>
          <w:rFonts w:ascii="Calibri" w:eastAsia="Calibri" w:hAnsi="Calibri" w:cs="Times New Roman"/>
          <w:b/>
          <w:sz w:val="24"/>
          <w:szCs w:val="24"/>
        </w:rPr>
      </w:pPr>
      <w:r w:rsidRPr="005173BE">
        <w:rPr>
          <w:rFonts w:ascii="Calibri" w:eastAsia="Calibri" w:hAnsi="Calibri" w:cs="Times New Roman"/>
          <w:b/>
          <w:sz w:val="24"/>
          <w:szCs w:val="24"/>
        </w:rPr>
        <w:t xml:space="preserve">Jon GILL </w:t>
      </w:r>
    </w:p>
    <w:p w14:paraId="21282219"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(Australia)</w:t>
      </w:r>
    </w:p>
    <w:p w14:paraId="1BB0DBB2"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6AE9017F" w14:textId="77777777" w:rsidR="005173BE" w:rsidRPr="005173BE" w:rsidRDefault="005173BE" w:rsidP="005173BE">
      <w:pPr>
        <w:tabs>
          <w:tab w:val="clear" w:pos="1134"/>
        </w:tabs>
        <w:ind w:left="360"/>
        <w:jc w:val="left"/>
        <w:rPr>
          <w:rFonts w:ascii="Calibri" w:eastAsia="Calibri" w:hAnsi="Calibri" w:cs="Times New Roman"/>
          <w:b/>
          <w:sz w:val="24"/>
          <w:szCs w:val="24"/>
        </w:rPr>
      </w:pPr>
      <w:r w:rsidRPr="005173BE">
        <w:rPr>
          <w:rFonts w:ascii="Calibri" w:eastAsia="Calibri" w:hAnsi="Calibri" w:cs="Times New Roman"/>
          <w:b/>
          <w:sz w:val="24"/>
          <w:szCs w:val="24"/>
        </w:rPr>
        <w:t xml:space="preserve">Heather AUCOIN </w:t>
      </w:r>
    </w:p>
    <w:p w14:paraId="07EB4A12"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(Canada)</w:t>
      </w:r>
    </w:p>
    <w:p w14:paraId="68853B6D"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5A45A8DA" w14:textId="77777777" w:rsidR="005173BE" w:rsidRPr="007F7A40" w:rsidRDefault="005173BE" w:rsidP="005173BE">
      <w:pPr>
        <w:tabs>
          <w:tab w:val="clear" w:pos="1134"/>
        </w:tabs>
        <w:ind w:left="360"/>
        <w:jc w:val="left"/>
        <w:rPr>
          <w:rFonts w:ascii="Calibri" w:eastAsia="Calibri" w:hAnsi="Calibri" w:cs="Times New Roman"/>
          <w:b/>
          <w:sz w:val="24"/>
          <w:szCs w:val="24"/>
          <w:lang w:val="fr-CH"/>
        </w:rPr>
      </w:pPr>
      <w:r w:rsidRPr="007F7A40">
        <w:rPr>
          <w:rFonts w:ascii="Calibri" w:eastAsia="Calibri" w:hAnsi="Calibri" w:cs="Times New Roman"/>
          <w:b/>
          <w:sz w:val="24"/>
          <w:szCs w:val="24"/>
          <w:lang w:val="fr-CH"/>
        </w:rPr>
        <w:t xml:space="preserve">Yves PELLETIER </w:t>
      </w:r>
    </w:p>
    <w:p w14:paraId="3D6B8E62"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r w:rsidRPr="007F7A40">
        <w:rPr>
          <w:rFonts w:ascii="Calibri" w:eastAsia="Calibri" w:hAnsi="Calibri" w:cs="Times New Roman"/>
          <w:sz w:val="24"/>
          <w:szCs w:val="24"/>
          <w:lang w:val="fr-CH"/>
        </w:rPr>
        <w:t>(Canada)</w:t>
      </w:r>
    </w:p>
    <w:p w14:paraId="6242219D"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p>
    <w:p w14:paraId="1E105FF9" w14:textId="77777777" w:rsidR="005173BE" w:rsidRPr="007F7A40" w:rsidRDefault="005173BE" w:rsidP="005173BE">
      <w:pPr>
        <w:tabs>
          <w:tab w:val="clear" w:pos="1134"/>
        </w:tabs>
        <w:ind w:left="360"/>
        <w:jc w:val="left"/>
        <w:rPr>
          <w:rFonts w:ascii="Calibri" w:eastAsia="Calibri" w:hAnsi="Calibri" w:cs="Times New Roman"/>
          <w:b/>
          <w:sz w:val="24"/>
          <w:szCs w:val="24"/>
          <w:lang w:val="fr-CH"/>
        </w:rPr>
      </w:pPr>
      <w:proofErr w:type="spellStart"/>
      <w:r w:rsidRPr="007F7A40">
        <w:rPr>
          <w:rFonts w:ascii="Calibri" w:eastAsia="Calibri" w:hAnsi="Calibri" w:cs="Times New Roman"/>
          <w:b/>
          <w:sz w:val="24"/>
          <w:szCs w:val="24"/>
          <w:lang w:val="fr-CH"/>
        </w:rPr>
        <w:t>Xianghua</w:t>
      </w:r>
      <w:proofErr w:type="spellEnd"/>
      <w:r w:rsidRPr="007F7A40">
        <w:rPr>
          <w:rFonts w:ascii="Calibri" w:eastAsia="Calibri" w:hAnsi="Calibri" w:cs="Times New Roman"/>
          <w:b/>
          <w:sz w:val="24"/>
          <w:szCs w:val="24"/>
          <w:lang w:val="fr-CH"/>
        </w:rPr>
        <w:t xml:space="preserve"> XU </w:t>
      </w:r>
    </w:p>
    <w:p w14:paraId="753EA86C"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r w:rsidRPr="007F7A40">
        <w:rPr>
          <w:rFonts w:ascii="Calibri" w:eastAsia="Calibri" w:hAnsi="Calibri" w:cs="Times New Roman"/>
          <w:sz w:val="24"/>
          <w:szCs w:val="24"/>
          <w:lang w:val="fr-CH"/>
        </w:rPr>
        <w:t>(China)</w:t>
      </w:r>
    </w:p>
    <w:p w14:paraId="7FD036AF"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p>
    <w:p w14:paraId="71CED6BA" w14:textId="77777777" w:rsidR="005173BE" w:rsidRPr="007F7A40" w:rsidRDefault="005173BE" w:rsidP="005173BE">
      <w:pPr>
        <w:tabs>
          <w:tab w:val="clear" w:pos="1134"/>
        </w:tabs>
        <w:ind w:left="360"/>
        <w:jc w:val="left"/>
        <w:rPr>
          <w:rFonts w:ascii="Calibri" w:eastAsia="Calibri" w:hAnsi="Calibri" w:cs="Times New Roman"/>
          <w:b/>
          <w:sz w:val="24"/>
          <w:szCs w:val="24"/>
          <w:lang w:val="fr-CH"/>
        </w:rPr>
      </w:pPr>
      <w:r w:rsidRPr="007F7A40">
        <w:rPr>
          <w:rFonts w:ascii="Calibri" w:eastAsia="Calibri" w:hAnsi="Calibri" w:cs="Times New Roman"/>
          <w:b/>
          <w:sz w:val="24"/>
          <w:szCs w:val="24"/>
          <w:lang w:val="fr-CH"/>
        </w:rPr>
        <w:t xml:space="preserve">Matteo DELL’ACQUA </w:t>
      </w:r>
    </w:p>
    <w:p w14:paraId="271080DA"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r w:rsidRPr="007F7A40">
        <w:rPr>
          <w:rFonts w:ascii="Calibri" w:eastAsia="Calibri" w:hAnsi="Calibri" w:cs="Times New Roman"/>
          <w:sz w:val="24"/>
          <w:szCs w:val="24"/>
          <w:lang w:val="fr-CH"/>
        </w:rPr>
        <w:t>(France)</w:t>
      </w:r>
    </w:p>
    <w:p w14:paraId="3F2BF899"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p>
    <w:p w14:paraId="14ECD16A" w14:textId="77777777" w:rsidR="005173BE" w:rsidRPr="007F7A40" w:rsidRDefault="005173BE" w:rsidP="005173BE">
      <w:pPr>
        <w:tabs>
          <w:tab w:val="clear" w:pos="1134"/>
        </w:tabs>
        <w:ind w:left="360"/>
        <w:jc w:val="left"/>
        <w:rPr>
          <w:rFonts w:ascii="Calibri" w:eastAsia="Calibri" w:hAnsi="Calibri" w:cs="Times New Roman"/>
          <w:b/>
          <w:sz w:val="24"/>
          <w:szCs w:val="24"/>
          <w:lang w:val="fr-CH"/>
        </w:rPr>
      </w:pPr>
      <w:r w:rsidRPr="007F7A40">
        <w:rPr>
          <w:rFonts w:ascii="Calibri" w:eastAsia="Calibri" w:hAnsi="Calibri" w:cs="Times New Roman"/>
          <w:b/>
          <w:sz w:val="24"/>
          <w:szCs w:val="24"/>
          <w:lang w:val="fr-CH"/>
        </w:rPr>
        <w:t xml:space="preserve">Sarah O’REILLY </w:t>
      </w:r>
    </w:p>
    <w:p w14:paraId="5C2A7C17"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r w:rsidRPr="007F7A40">
        <w:rPr>
          <w:rFonts w:ascii="Calibri" w:eastAsia="Calibri" w:hAnsi="Calibri" w:cs="Times New Roman"/>
          <w:sz w:val="24"/>
          <w:szCs w:val="24"/>
          <w:lang w:val="fr-CH"/>
        </w:rPr>
        <w:t>(Ireland)</w:t>
      </w:r>
    </w:p>
    <w:p w14:paraId="64E75B1D"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p>
    <w:p w14:paraId="1A9F62CB" w14:textId="77777777" w:rsidR="005173BE" w:rsidRPr="005173BE" w:rsidRDefault="005173BE" w:rsidP="005173BE">
      <w:pPr>
        <w:tabs>
          <w:tab w:val="clear" w:pos="1134"/>
        </w:tabs>
        <w:ind w:left="360"/>
        <w:jc w:val="left"/>
        <w:rPr>
          <w:rFonts w:ascii="Calibri" w:eastAsia="Calibri" w:hAnsi="Calibri" w:cs="Times New Roman"/>
          <w:b/>
          <w:sz w:val="24"/>
          <w:szCs w:val="24"/>
        </w:rPr>
      </w:pPr>
      <w:proofErr w:type="spellStart"/>
      <w:r w:rsidRPr="005173BE">
        <w:rPr>
          <w:rFonts w:ascii="Calibri" w:eastAsia="Calibri" w:hAnsi="Calibri" w:cs="Times New Roman"/>
          <w:b/>
          <w:sz w:val="24"/>
          <w:szCs w:val="24"/>
        </w:rPr>
        <w:t>Jitsuko</w:t>
      </w:r>
      <w:proofErr w:type="spellEnd"/>
      <w:r w:rsidRPr="005173BE">
        <w:rPr>
          <w:rFonts w:ascii="Calibri" w:eastAsia="Calibri" w:hAnsi="Calibri" w:cs="Times New Roman"/>
          <w:b/>
          <w:sz w:val="24"/>
          <w:szCs w:val="24"/>
        </w:rPr>
        <w:t xml:space="preserve"> HASEGAWA </w:t>
      </w:r>
    </w:p>
    <w:p w14:paraId="6F9DD7DD"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(Japan)</w:t>
      </w:r>
    </w:p>
    <w:p w14:paraId="156F3C7D"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67703CFB" w14:textId="77777777" w:rsidR="005173BE" w:rsidRPr="005173BE" w:rsidRDefault="005173BE" w:rsidP="005173BE">
      <w:pPr>
        <w:tabs>
          <w:tab w:val="clear" w:pos="1134"/>
        </w:tabs>
        <w:ind w:left="360"/>
        <w:jc w:val="left"/>
        <w:rPr>
          <w:rFonts w:ascii="Calibri" w:eastAsia="Calibri" w:hAnsi="Calibri" w:cs="Times New Roman"/>
          <w:b/>
          <w:sz w:val="24"/>
          <w:szCs w:val="24"/>
        </w:rPr>
      </w:pPr>
      <w:r w:rsidRPr="005173BE">
        <w:rPr>
          <w:rFonts w:ascii="Calibri" w:eastAsia="Calibri" w:hAnsi="Calibri" w:cs="Times New Roman"/>
          <w:b/>
          <w:sz w:val="24"/>
          <w:szCs w:val="24"/>
        </w:rPr>
        <w:lastRenderedPageBreak/>
        <w:t xml:space="preserve">Jan-Willem NOTEBOOM </w:t>
      </w:r>
    </w:p>
    <w:p w14:paraId="57E06484"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(Netherlands)</w:t>
      </w:r>
    </w:p>
    <w:p w14:paraId="567CF50B"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12D17FB7" w14:textId="77777777" w:rsidR="005173BE" w:rsidRPr="005173BE" w:rsidRDefault="005173BE" w:rsidP="005173BE">
      <w:pPr>
        <w:tabs>
          <w:tab w:val="clear" w:pos="1134"/>
        </w:tabs>
        <w:ind w:left="360"/>
        <w:jc w:val="left"/>
        <w:rPr>
          <w:rFonts w:ascii="Calibri" w:eastAsia="Calibri" w:hAnsi="Calibri" w:cs="Times New Roman"/>
          <w:b/>
          <w:sz w:val="24"/>
          <w:szCs w:val="24"/>
        </w:rPr>
      </w:pPr>
      <w:r w:rsidRPr="005173BE">
        <w:rPr>
          <w:rFonts w:ascii="Calibri" w:eastAsia="Calibri" w:hAnsi="Calibri" w:cs="Times New Roman"/>
          <w:b/>
          <w:sz w:val="24"/>
          <w:szCs w:val="24"/>
        </w:rPr>
        <w:t xml:space="preserve">Kevin ALDER </w:t>
      </w:r>
    </w:p>
    <w:p w14:paraId="0A1D455C"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(New Zealand)</w:t>
      </w:r>
    </w:p>
    <w:p w14:paraId="1FFA7E8A"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67D53CBC" w14:textId="77777777" w:rsidR="005173BE" w:rsidRPr="005173BE" w:rsidRDefault="005173BE" w:rsidP="005173BE">
      <w:pPr>
        <w:tabs>
          <w:tab w:val="clear" w:pos="1134"/>
        </w:tabs>
        <w:ind w:left="360"/>
        <w:jc w:val="left"/>
        <w:rPr>
          <w:rFonts w:ascii="Calibri" w:eastAsia="Calibri" w:hAnsi="Calibri" w:cs="Times New Roman"/>
          <w:b/>
          <w:sz w:val="24"/>
          <w:szCs w:val="24"/>
        </w:rPr>
      </w:pPr>
      <w:r w:rsidRPr="005173BE">
        <w:rPr>
          <w:rFonts w:ascii="Calibri" w:eastAsia="Calibri" w:hAnsi="Calibri" w:cs="Times New Roman"/>
          <w:b/>
          <w:sz w:val="24"/>
          <w:szCs w:val="24"/>
        </w:rPr>
        <w:t xml:space="preserve">Chris LITTLE </w:t>
      </w:r>
    </w:p>
    <w:p w14:paraId="7A87F8DF"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(United Kingdom)</w:t>
      </w:r>
    </w:p>
    <w:p w14:paraId="4D637786"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7BED3AE6" w14:textId="77777777" w:rsidR="005173BE" w:rsidRPr="005173BE" w:rsidRDefault="005173BE" w:rsidP="005173BE">
      <w:pPr>
        <w:tabs>
          <w:tab w:val="clear" w:pos="1134"/>
        </w:tabs>
        <w:ind w:left="360"/>
        <w:jc w:val="left"/>
        <w:rPr>
          <w:rFonts w:ascii="Calibri" w:eastAsia="Calibri" w:hAnsi="Calibri" w:cs="Times New Roman"/>
          <w:b/>
          <w:sz w:val="24"/>
          <w:szCs w:val="24"/>
        </w:rPr>
      </w:pPr>
      <w:r w:rsidRPr="005173BE">
        <w:rPr>
          <w:rFonts w:ascii="Calibri" w:eastAsia="Calibri" w:hAnsi="Calibri" w:cs="Times New Roman"/>
          <w:b/>
          <w:sz w:val="24"/>
          <w:szCs w:val="24"/>
        </w:rPr>
        <w:t xml:space="preserve">Jane WARDLE </w:t>
      </w:r>
    </w:p>
    <w:p w14:paraId="56F986FC"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(United Kingdom)</w:t>
      </w:r>
    </w:p>
    <w:p w14:paraId="3DBC4E15"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7C0C61FA" w14:textId="77777777" w:rsidR="005173BE" w:rsidRPr="005173BE" w:rsidRDefault="005173BE" w:rsidP="005173BE">
      <w:pPr>
        <w:tabs>
          <w:tab w:val="clear" w:pos="1134"/>
        </w:tabs>
        <w:ind w:left="360"/>
        <w:jc w:val="left"/>
        <w:rPr>
          <w:rFonts w:ascii="Calibri" w:eastAsia="Calibri" w:hAnsi="Calibri" w:cs="Times New Roman"/>
          <w:b/>
          <w:sz w:val="24"/>
          <w:szCs w:val="24"/>
        </w:rPr>
      </w:pPr>
      <w:r w:rsidRPr="005173BE">
        <w:rPr>
          <w:rFonts w:ascii="Calibri" w:eastAsia="Calibri" w:hAnsi="Calibri" w:cs="Times New Roman"/>
          <w:b/>
          <w:sz w:val="24"/>
          <w:szCs w:val="24"/>
        </w:rPr>
        <w:t xml:space="preserve">Robert BUNGE </w:t>
      </w:r>
    </w:p>
    <w:p w14:paraId="0217B8AC"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(United States)</w:t>
      </w:r>
    </w:p>
    <w:p w14:paraId="631453E8"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1DE3D8AE" w14:textId="77777777" w:rsidR="005173BE" w:rsidRPr="007F7A40" w:rsidRDefault="005173BE" w:rsidP="005173BE">
      <w:pPr>
        <w:tabs>
          <w:tab w:val="clear" w:pos="1134"/>
        </w:tabs>
        <w:ind w:left="360"/>
        <w:jc w:val="left"/>
        <w:rPr>
          <w:rFonts w:ascii="Calibri" w:eastAsia="Calibri" w:hAnsi="Calibri" w:cs="Times New Roman"/>
          <w:b/>
          <w:sz w:val="24"/>
          <w:szCs w:val="24"/>
          <w:lang w:val="fr-CH"/>
        </w:rPr>
      </w:pPr>
      <w:r w:rsidRPr="007F7A40">
        <w:rPr>
          <w:rFonts w:ascii="Calibri" w:eastAsia="Calibri" w:hAnsi="Calibri" w:cs="Times New Roman"/>
          <w:b/>
          <w:sz w:val="24"/>
          <w:szCs w:val="24"/>
          <w:lang w:val="fr-CH"/>
        </w:rPr>
        <w:t xml:space="preserve">Simon ELLIOTT </w:t>
      </w:r>
    </w:p>
    <w:p w14:paraId="48FC5D2F"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r w:rsidRPr="007F7A40">
        <w:rPr>
          <w:rFonts w:ascii="Calibri" w:eastAsia="Calibri" w:hAnsi="Calibri" w:cs="Times New Roman"/>
          <w:sz w:val="24"/>
          <w:szCs w:val="24"/>
          <w:lang w:val="fr-CH"/>
        </w:rPr>
        <w:t>(CGMS / EUMETSAT)</w:t>
      </w:r>
    </w:p>
    <w:p w14:paraId="148FA2FA" w14:textId="77777777" w:rsidR="005173BE" w:rsidRPr="007F7A40" w:rsidRDefault="005173BE" w:rsidP="005173BE">
      <w:pPr>
        <w:tabs>
          <w:tab w:val="clear" w:pos="1134"/>
        </w:tabs>
        <w:ind w:left="360"/>
        <w:jc w:val="left"/>
        <w:rPr>
          <w:rFonts w:ascii="Calibri" w:eastAsia="Calibri" w:hAnsi="Calibri" w:cs="Times New Roman"/>
          <w:sz w:val="24"/>
          <w:szCs w:val="24"/>
          <w:lang w:val="fr-CH"/>
        </w:rPr>
      </w:pPr>
    </w:p>
    <w:p w14:paraId="656C0E8F" w14:textId="77777777" w:rsidR="005173BE" w:rsidRPr="007F7A40" w:rsidRDefault="005173BE" w:rsidP="005173BE">
      <w:pPr>
        <w:tabs>
          <w:tab w:val="clear" w:pos="1134"/>
        </w:tabs>
        <w:ind w:left="360"/>
        <w:jc w:val="left"/>
        <w:rPr>
          <w:rFonts w:ascii="Calibri" w:eastAsia="Calibri" w:hAnsi="Calibri" w:cs="Times New Roman"/>
          <w:b/>
          <w:sz w:val="24"/>
          <w:szCs w:val="24"/>
          <w:lang w:val="fr-CH"/>
        </w:rPr>
      </w:pPr>
      <w:r w:rsidRPr="007F7A40">
        <w:rPr>
          <w:rFonts w:ascii="Calibri" w:eastAsia="Calibri" w:hAnsi="Calibri" w:cs="Times New Roman"/>
          <w:b/>
          <w:sz w:val="24"/>
          <w:szCs w:val="24"/>
          <w:lang w:val="fr-CH"/>
        </w:rPr>
        <w:t xml:space="preserve">Etienne Charpentier </w:t>
      </w:r>
    </w:p>
    <w:p w14:paraId="7D77778F"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(Secretariat)</w:t>
      </w:r>
    </w:p>
    <w:p w14:paraId="6B32B390" w14:textId="77777777" w:rsidR="005173BE" w:rsidRPr="005173BE" w:rsidRDefault="005173BE" w:rsidP="005173BE">
      <w:pPr>
        <w:tabs>
          <w:tab w:val="clear" w:pos="1134"/>
        </w:tabs>
        <w:ind w:left="360"/>
        <w:jc w:val="left"/>
        <w:rPr>
          <w:rFonts w:ascii="Calibri" w:eastAsia="Calibri" w:hAnsi="Calibri" w:cs="Times New Roman"/>
          <w:sz w:val="24"/>
          <w:szCs w:val="24"/>
        </w:rPr>
      </w:pPr>
    </w:p>
    <w:p w14:paraId="131F9D04" w14:textId="77777777" w:rsidR="005173BE" w:rsidRPr="005173BE" w:rsidRDefault="005173BE" w:rsidP="005173BE">
      <w:pPr>
        <w:tabs>
          <w:tab w:val="clear" w:pos="1134"/>
        </w:tabs>
        <w:ind w:left="360"/>
        <w:jc w:val="left"/>
        <w:rPr>
          <w:rFonts w:ascii="Calibri" w:eastAsia="Calibri" w:hAnsi="Calibri" w:cs="Times New Roman"/>
          <w:b/>
          <w:sz w:val="24"/>
          <w:szCs w:val="24"/>
        </w:rPr>
      </w:pPr>
      <w:r w:rsidRPr="005173BE">
        <w:rPr>
          <w:rFonts w:ascii="Calibri" w:eastAsia="Calibri" w:hAnsi="Calibri" w:cs="Times New Roman"/>
          <w:b/>
          <w:sz w:val="24"/>
          <w:szCs w:val="24"/>
        </w:rPr>
        <w:t xml:space="preserve">Steve Foreman </w:t>
      </w:r>
    </w:p>
    <w:p w14:paraId="3ED7661D" w14:textId="77777777" w:rsidR="005173BE" w:rsidRPr="005173BE" w:rsidRDefault="005173BE" w:rsidP="005173BE">
      <w:pPr>
        <w:tabs>
          <w:tab w:val="clear" w:pos="1134"/>
        </w:tabs>
        <w:ind w:left="360"/>
        <w:jc w:val="left"/>
        <w:rPr>
          <w:rFonts w:ascii="Calibri" w:eastAsia="Calibri" w:hAnsi="Calibri" w:cs="Times New Roman"/>
          <w:sz w:val="24"/>
          <w:szCs w:val="24"/>
        </w:rPr>
      </w:pPr>
      <w:r w:rsidRPr="005173BE">
        <w:rPr>
          <w:rFonts w:ascii="Calibri" w:eastAsia="Calibri" w:hAnsi="Calibri" w:cs="Times New Roman"/>
          <w:sz w:val="24"/>
          <w:szCs w:val="24"/>
        </w:rPr>
        <w:t>(Secretariat)</w:t>
      </w:r>
    </w:p>
    <w:p w14:paraId="68754132" w14:textId="77777777" w:rsidR="005173BE" w:rsidRPr="005173BE" w:rsidRDefault="005173BE" w:rsidP="005173BE">
      <w:pPr>
        <w:tabs>
          <w:tab w:val="clear" w:pos="1134"/>
        </w:tabs>
        <w:jc w:val="left"/>
        <w:rPr>
          <w:rFonts w:ascii="Calibri" w:eastAsia="Calibri" w:hAnsi="Calibri" w:cs="Times New Roman"/>
          <w:sz w:val="24"/>
          <w:szCs w:val="24"/>
        </w:rPr>
        <w:sectPr w:rsidR="005173BE" w:rsidRPr="005173BE" w:rsidSect="00110703">
          <w:type w:val="continuous"/>
          <w:pgSz w:w="11900" w:h="16840"/>
          <w:pgMar w:top="1440" w:right="1440" w:bottom="1440" w:left="1440" w:header="708" w:footer="708" w:gutter="0"/>
          <w:cols w:num="2" w:space="708"/>
          <w:docGrid w:linePitch="360"/>
        </w:sectPr>
      </w:pPr>
    </w:p>
    <w:p w14:paraId="7553131F" w14:textId="77777777" w:rsidR="005173BE" w:rsidRPr="005173BE" w:rsidRDefault="005173BE" w:rsidP="005173BE">
      <w:pPr>
        <w:tabs>
          <w:tab w:val="clear" w:pos="1134"/>
        </w:tabs>
        <w:jc w:val="left"/>
        <w:rPr>
          <w:rFonts w:ascii="Calibri" w:eastAsia="Calibri" w:hAnsi="Calibri" w:cs="Times New Roman"/>
          <w:sz w:val="24"/>
          <w:szCs w:val="24"/>
        </w:rPr>
      </w:pPr>
    </w:p>
    <w:p w14:paraId="0F11850D" w14:textId="77777777" w:rsidR="005173BE" w:rsidRPr="005173BE" w:rsidRDefault="005173BE" w:rsidP="005173BE">
      <w:pPr>
        <w:tabs>
          <w:tab w:val="clear" w:pos="1134"/>
        </w:tabs>
        <w:jc w:val="left"/>
        <w:rPr>
          <w:rFonts w:ascii="Calibri" w:eastAsia="Calibri" w:hAnsi="Calibri" w:cs="Times New Roman"/>
          <w:sz w:val="24"/>
          <w:szCs w:val="24"/>
        </w:rPr>
        <w:sectPr w:rsidR="005173BE" w:rsidRPr="005173BE" w:rsidSect="00110703">
          <w:type w:val="continuous"/>
          <w:pgSz w:w="11900" w:h="16840"/>
          <w:pgMar w:top="1440" w:right="1440" w:bottom="1440" w:left="1440" w:header="708" w:footer="708" w:gutter="0"/>
          <w:cols w:space="708"/>
          <w:docGrid w:linePitch="360"/>
        </w:sectPr>
      </w:pPr>
    </w:p>
    <w:p w14:paraId="6AD3EDD9" w14:textId="04F89EC4" w:rsidR="005173BE" w:rsidRPr="005173BE" w:rsidRDefault="005173BE" w:rsidP="005173BE">
      <w:pPr>
        <w:tabs>
          <w:tab w:val="clear" w:pos="1134"/>
        </w:tabs>
        <w:jc w:val="left"/>
        <w:rPr>
          <w:rFonts w:ascii="Calibri Light" w:eastAsia="Times New Roman" w:hAnsi="Calibri Light" w:cs="Times New Roman"/>
          <w:color w:val="2F5496"/>
          <w:sz w:val="36"/>
          <w:szCs w:val="32"/>
        </w:rPr>
      </w:pPr>
      <w:bookmarkStart w:id="30" w:name="Annex_2"/>
      <w:r w:rsidRPr="005173BE">
        <w:rPr>
          <w:rFonts w:ascii="Calibri Light" w:eastAsia="Times New Roman" w:hAnsi="Calibri Light" w:cs="Times New Roman"/>
          <w:color w:val="2F5496"/>
          <w:sz w:val="36"/>
          <w:szCs w:val="32"/>
        </w:rPr>
        <w:lastRenderedPageBreak/>
        <w:t>A</w:t>
      </w:r>
      <w:r w:rsidR="00A805BE">
        <w:rPr>
          <w:rFonts w:ascii="Calibri Light" w:eastAsia="Times New Roman" w:hAnsi="Calibri Light" w:cs="Times New Roman"/>
          <w:color w:val="2F5496"/>
          <w:sz w:val="36"/>
          <w:szCs w:val="32"/>
        </w:rPr>
        <w:t>ppendix</w:t>
      </w:r>
      <w:r w:rsidR="0062093B">
        <w:rPr>
          <w:rFonts w:ascii="Calibri Light" w:eastAsia="Times New Roman" w:hAnsi="Calibri Light" w:cs="Times New Roman"/>
          <w:color w:val="2F5496"/>
          <w:sz w:val="36"/>
          <w:szCs w:val="32"/>
        </w:rPr>
        <w:t xml:space="preserve"> B</w:t>
      </w:r>
      <w:bookmarkEnd w:id="30"/>
      <w:r w:rsidRPr="005173BE">
        <w:rPr>
          <w:rFonts w:ascii="Calibri Light" w:eastAsia="Times New Roman" w:hAnsi="Calibri Light" w:cs="Times New Roman"/>
          <w:color w:val="2F5496"/>
          <w:sz w:val="36"/>
          <w:szCs w:val="32"/>
        </w:rPr>
        <w:t>: Terms of Reference for CBS Task Team on Approaches to Technical Governance</w:t>
      </w:r>
    </w:p>
    <w:p w14:paraId="5F589351" w14:textId="77777777" w:rsidR="005173BE" w:rsidRPr="005173BE" w:rsidRDefault="005173BE" w:rsidP="005173BE">
      <w:pPr>
        <w:tabs>
          <w:tab w:val="clear" w:pos="1134"/>
        </w:tabs>
        <w:jc w:val="left"/>
        <w:rPr>
          <w:rFonts w:ascii="Calibri" w:eastAsia="Calibri" w:hAnsi="Calibri" w:cs="Times New Roman"/>
          <w:sz w:val="24"/>
          <w:szCs w:val="24"/>
        </w:rPr>
      </w:pPr>
    </w:p>
    <w:p w14:paraId="6418836F" w14:textId="77777777" w:rsidR="005173BE" w:rsidRPr="005173BE" w:rsidRDefault="005173BE" w:rsidP="005173BE">
      <w:pPr>
        <w:tabs>
          <w:tab w:val="clear" w:pos="1134"/>
        </w:tabs>
        <w:jc w:val="left"/>
        <w:rPr>
          <w:rFonts w:ascii="Calibri" w:eastAsia="Calibri" w:hAnsi="Calibri" w:cs="Times New Roman"/>
          <w:i/>
          <w:sz w:val="22"/>
          <w:szCs w:val="22"/>
        </w:rPr>
      </w:pPr>
      <w:r w:rsidRPr="005173BE">
        <w:rPr>
          <w:rFonts w:ascii="Calibri" w:eastAsia="Calibri" w:hAnsi="Calibri" w:cs="Times New Roman"/>
          <w:i/>
          <w:sz w:val="22"/>
          <w:szCs w:val="22"/>
        </w:rPr>
        <w:t>TT-ATG terms of reference as defined in Annex 1 to Decision 34 (CBS-16):</w:t>
      </w:r>
    </w:p>
    <w:p w14:paraId="1B772094" w14:textId="77777777" w:rsidR="005173BE" w:rsidRPr="005173BE" w:rsidRDefault="005173BE" w:rsidP="005173BE">
      <w:pPr>
        <w:tabs>
          <w:tab w:val="clear" w:pos="1134"/>
        </w:tabs>
        <w:jc w:val="left"/>
        <w:rPr>
          <w:rFonts w:ascii="Calibri" w:eastAsia="Calibri" w:hAnsi="Calibri" w:cs="Times New Roman"/>
          <w:sz w:val="22"/>
          <w:szCs w:val="22"/>
        </w:rPr>
      </w:pPr>
    </w:p>
    <w:p w14:paraId="44298CC8" w14:textId="77777777" w:rsidR="005173BE" w:rsidRPr="005173BE" w:rsidRDefault="005173BE" w:rsidP="005173BE">
      <w:pPr>
        <w:shd w:val="clear" w:color="auto" w:fill="FFFFFF"/>
        <w:tabs>
          <w:tab w:val="clear" w:pos="1134"/>
        </w:tabs>
        <w:jc w:val="left"/>
        <w:rPr>
          <w:rFonts w:ascii="Calibri" w:eastAsia="Times New Roman" w:hAnsi="Calibri" w:cs="Times New Roman"/>
          <w:color w:val="222222"/>
          <w:sz w:val="22"/>
          <w:szCs w:val="22"/>
          <w:lang w:val="en-US"/>
        </w:rPr>
      </w:pPr>
      <w:r w:rsidRPr="005173BE">
        <w:rPr>
          <w:rFonts w:ascii="Calibri" w:eastAsia="Times New Roman" w:hAnsi="Calibri" w:cs="Times New Roman"/>
          <w:color w:val="222222"/>
          <w:sz w:val="22"/>
          <w:szCs w:val="22"/>
          <w:lang w:val="en-US"/>
        </w:rPr>
        <w:t>Working under the guidance of CBS Management Group, the CBS Task Team on Approaches to Technical Governance shall undertake a review of the technical governance within and affecting CBS, and recommend improvements that would allow CBS to address the issues considered in this Decision. In particular, the Task Team shall:</w:t>
      </w:r>
    </w:p>
    <w:p w14:paraId="090AA548" w14:textId="77777777" w:rsidR="005173BE" w:rsidRPr="005173BE" w:rsidRDefault="005173BE" w:rsidP="00606C01">
      <w:pPr>
        <w:numPr>
          <w:ilvl w:val="0"/>
          <w:numId w:val="40"/>
        </w:numPr>
        <w:tabs>
          <w:tab w:val="clear" w:pos="1134"/>
          <w:tab w:val="left" w:pos="567"/>
        </w:tabs>
        <w:spacing w:before="240"/>
        <w:jc w:val="left"/>
        <w:rPr>
          <w:rFonts w:ascii="Calibri" w:hAnsi="Calibri"/>
          <w:sz w:val="22"/>
          <w:szCs w:val="22"/>
          <w:lang w:eastAsia="zh-TW"/>
        </w:rPr>
      </w:pPr>
      <w:r w:rsidRPr="005173BE">
        <w:rPr>
          <w:rFonts w:ascii="Calibri" w:hAnsi="Calibri"/>
          <w:sz w:val="22"/>
          <w:szCs w:val="22"/>
          <w:lang w:eastAsia="zh-TW"/>
        </w:rPr>
        <w:t>Identify the requirements for effective technical governance within CBS;</w:t>
      </w:r>
    </w:p>
    <w:p w14:paraId="78737FB6" w14:textId="77777777" w:rsidR="005173BE" w:rsidRPr="005173BE" w:rsidRDefault="005173BE" w:rsidP="00606C01">
      <w:pPr>
        <w:numPr>
          <w:ilvl w:val="0"/>
          <w:numId w:val="40"/>
        </w:numPr>
        <w:tabs>
          <w:tab w:val="clear" w:pos="1134"/>
          <w:tab w:val="left" w:pos="567"/>
        </w:tabs>
        <w:spacing w:before="240"/>
        <w:jc w:val="left"/>
        <w:rPr>
          <w:rFonts w:ascii="Calibri" w:hAnsi="Calibri"/>
          <w:sz w:val="22"/>
          <w:szCs w:val="22"/>
          <w:lang w:eastAsia="zh-TW"/>
        </w:rPr>
      </w:pPr>
      <w:r w:rsidRPr="005173BE">
        <w:rPr>
          <w:rFonts w:ascii="Calibri" w:hAnsi="Calibri"/>
          <w:sz w:val="22"/>
          <w:szCs w:val="22"/>
          <w:lang w:eastAsia="zh-TW"/>
        </w:rPr>
        <w:t>Review the technical governance approaches employed within WMO and within other Standards Development Organizations including, but not limited to, the World Wide Web Consortium (W3C), the Open Geospatial Consortium (OGC), the Internet Engineering Task Force (IETF), the International Organization for Standardization (ISO), the International Telecommunications Union (ITU), and the INSPIRE Maintenance and Implementation Group of the European Union;</w:t>
      </w:r>
    </w:p>
    <w:p w14:paraId="01F7710B" w14:textId="77777777" w:rsidR="005173BE" w:rsidRPr="005173BE" w:rsidRDefault="005173BE" w:rsidP="00606C01">
      <w:pPr>
        <w:numPr>
          <w:ilvl w:val="0"/>
          <w:numId w:val="40"/>
        </w:numPr>
        <w:tabs>
          <w:tab w:val="clear" w:pos="1134"/>
          <w:tab w:val="left" w:pos="567"/>
        </w:tabs>
        <w:spacing w:before="240"/>
        <w:jc w:val="left"/>
        <w:rPr>
          <w:rFonts w:ascii="Calibri" w:hAnsi="Calibri"/>
          <w:sz w:val="22"/>
          <w:szCs w:val="22"/>
          <w:lang w:eastAsia="zh-TW"/>
        </w:rPr>
      </w:pPr>
      <w:r w:rsidRPr="005173BE">
        <w:rPr>
          <w:rFonts w:ascii="Calibri" w:hAnsi="Calibri"/>
          <w:sz w:val="22"/>
          <w:szCs w:val="22"/>
          <w:lang w:eastAsia="zh-TW"/>
        </w:rPr>
        <w:t xml:space="preserve">Identify those areas where the current technical governance approach is considered either effective or ineffective; </w:t>
      </w:r>
    </w:p>
    <w:p w14:paraId="0CB8534B" w14:textId="77777777" w:rsidR="005173BE" w:rsidRPr="005173BE" w:rsidRDefault="005173BE" w:rsidP="00606C01">
      <w:pPr>
        <w:numPr>
          <w:ilvl w:val="0"/>
          <w:numId w:val="40"/>
        </w:numPr>
        <w:tabs>
          <w:tab w:val="clear" w:pos="1134"/>
          <w:tab w:val="left" w:pos="567"/>
        </w:tabs>
        <w:spacing w:before="240"/>
        <w:jc w:val="left"/>
        <w:rPr>
          <w:rFonts w:ascii="Calibri" w:hAnsi="Calibri"/>
          <w:sz w:val="22"/>
          <w:szCs w:val="22"/>
          <w:lang w:eastAsia="zh-TW"/>
        </w:rPr>
      </w:pPr>
      <w:r w:rsidRPr="005173BE">
        <w:rPr>
          <w:rFonts w:ascii="Calibri" w:hAnsi="Calibri"/>
          <w:sz w:val="22"/>
          <w:szCs w:val="22"/>
          <w:lang w:eastAsia="zh-TW"/>
        </w:rPr>
        <w:t>Advise the CBS Management Group with regard to issues that may have to be brought to the attention of the Executive Council Working Group on Strategic and Operational Planning to inform that Working Group of the impact of potential changes to the working practices, structures and processes of Technical Commissions being considered;</w:t>
      </w:r>
    </w:p>
    <w:p w14:paraId="166022BE" w14:textId="77777777" w:rsidR="005173BE" w:rsidRPr="005173BE" w:rsidRDefault="005173BE" w:rsidP="00606C01">
      <w:pPr>
        <w:numPr>
          <w:ilvl w:val="0"/>
          <w:numId w:val="40"/>
        </w:numPr>
        <w:tabs>
          <w:tab w:val="clear" w:pos="1134"/>
          <w:tab w:val="left" w:pos="567"/>
        </w:tabs>
        <w:spacing w:before="240"/>
        <w:jc w:val="left"/>
        <w:rPr>
          <w:rFonts w:ascii="Calibri" w:hAnsi="Calibri"/>
          <w:sz w:val="22"/>
          <w:szCs w:val="22"/>
          <w:lang w:eastAsia="zh-TW"/>
        </w:rPr>
      </w:pPr>
      <w:r w:rsidRPr="005173BE">
        <w:rPr>
          <w:rFonts w:ascii="Calibri" w:hAnsi="Calibri"/>
          <w:sz w:val="22"/>
          <w:szCs w:val="22"/>
          <w:lang w:eastAsia="zh-TW"/>
        </w:rPr>
        <w:t>Propose improvements to the working arrangements of CBS in response to identified shortcomings, and recommend where application of those changes may be applicable.</w:t>
      </w:r>
    </w:p>
    <w:p w14:paraId="012189DE" w14:textId="77777777" w:rsidR="005173BE" w:rsidRPr="005173BE" w:rsidRDefault="005173BE" w:rsidP="005173BE">
      <w:pPr>
        <w:tabs>
          <w:tab w:val="clear" w:pos="1134"/>
        </w:tabs>
        <w:jc w:val="left"/>
        <w:rPr>
          <w:rFonts w:ascii="Calibri" w:eastAsia="Calibri" w:hAnsi="Calibri" w:cs="Times New Roman"/>
          <w:sz w:val="24"/>
          <w:szCs w:val="24"/>
        </w:rPr>
      </w:pPr>
    </w:p>
    <w:p w14:paraId="7EB2AC60" w14:textId="77777777" w:rsidR="005173BE" w:rsidRPr="005173BE" w:rsidRDefault="005173BE" w:rsidP="005173BE">
      <w:pPr>
        <w:tabs>
          <w:tab w:val="clear" w:pos="1134"/>
        </w:tabs>
        <w:jc w:val="left"/>
        <w:rPr>
          <w:rFonts w:ascii="Calibri" w:eastAsia="Calibri" w:hAnsi="Calibri" w:cs="Times New Roman"/>
          <w:sz w:val="24"/>
          <w:szCs w:val="24"/>
        </w:rPr>
      </w:pPr>
    </w:p>
    <w:p w14:paraId="278BD334" w14:textId="77777777" w:rsidR="005173BE" w:rsidRPr="005173BE" w:rsidRDefault="005173BE" w:rsidP="005173BE">
      <w:pPr>
        <w:tabs>
          <w:tab w:val="clear" w:pos="1134"/>
        </w:tabs>
        <w:jc w:val="left"/>
        <w:rPr>
          <w:rFonts w:ascii="Calibri Light" w:eastAsia="Times New Roman" w:hAnsi="Calibri Light" w:cs="Times New Roman"/>
          <w:color w:val="2F5496"/>
          <w:sz w:val="36"/>
          <w:szCs w:val="32"/>
        </w:rPr>
      </w:pPr>
      <w:r w:rsidRPr="005173BE">
        <w:rPr>
          <w:rFonts w:ascii="Calibri" w:eastAsia="Calibri" w:hAnsi="Calibri" w:cs="Times New Roman"/>
          <w:sz w:val="36"/>
          <w:szCs w:val="24"/>
        </w:rPr>
        <w:br w:type="page"/>
      </w:r>
    </w:p>
    <w:p w14:paraId="3A3243F0" w14:textId="0B1B5DBC" w:rsidR="005173BE" w:rsidRPr="005173BE" w:rsidRDefault="005173BE" w:rsidP="005173BE">
      <w:pPr>
        <w:keepNext/>
        <w:keepLines/>
        <w:tabs>
          <w:tab w:val="clear" w:pos="1134"/>
        </w:tabs>
        <w:spacing w:before="240"/>
        <w:jc w:val="left"/>
        <w:outlineLvl w:val="0"/>
        <w:rPr>
          <w:rFonts w:ascii="Calibri Light" w:eastAsia="Times New Roman" w:hAnsi="Calibri Light" w:cs="Times New Roman"/>
          <w:color w:val="2F5496"/>
          <w:sz w:val="36"/>
          <w:szCs w:val="32"/>
        </w:rPr>
      </w:pPr>
      <w:bookmarkStart w:id="31" w:name="Annex_3"/>
      <w:r w:rsidRPr="005173BE">
        <w:rPr>
          <w:rFonts w:ascii="Calibri Light" w:eastAsia="Times New Roman" w:hAnsi="Calibri Light" w:cs="Times New Roman"/>
          <w:color w:val="2F5496"/>
          <w:sz w:val="36"/>
          <w:szCs w:val="32"/>
        </w:rPr>
        <w:lastRenderedPageBreak/>
        <w:t>A</w:t>
      </w:r>
      <w:r w:rsidR="00A805BE">
        <w:rPr>
          <w:rFonts w:ascii="Calibri Light" w:eastAsia="Times New Roman" w:hAnsi="Calibri Light" w:cs="Times New Roman"/>
          <w:color w:val="2F5496"/>
          <w:sz w:val="36"/>
          <w:szCs w:val="32"/>
        </w:rPr>
        <w:t>ppendix</w:t>
      </w:r>
      <w:r w:rsidR="0062093B">
        <w:rPr>
          <w:rFonts w:ascii="Calibri Light" w:eastAsia="Times New Roman" w:hAnsi="Calibri Light" w:cs="Times New Roman"/>
          <w:color w:val="2F5496"/>
          <w:sz w:val="36"/>
          <w:szCs w:val="32"/>
        </w:rPr>
        <w:t xml:space="preserve"> C</w:t>
      </w:r>
      <w:bookmarkEnd w:id="31"/>
      <w:r w:rsidRPr="005173BE">
        <w:rPr>
          <w:rFonts w:ascii="Calibri Light" w:eastAsia="Times New Roman" w:hAnsi="Calibri Light" w:cs="Times New Roman"/>
          <w:color w:val="2F5496"/>
          <w:sz w:val="36"/>
          <w:szCs w:val="32"/>
        </w:rPr>
        <w:t>: Assessment of existing WMO governance framework</w:t>
      </w:r>
    </w:p>
    <w:p w14:paraId="3565240E"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standard-making role of WMO is designated in Article 2(c) of the Convention, which clearly indicates that one of the purposes of WMO are to “promote standardisation of meteorological and related observations and to ensure the uniform publication of observations and statistics”</w:t>
      </w:r>
    </w:p>
    <w:p w14:paraId="04250D13"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C73392B"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objective of technical governance in WMO is to ensure that (</w:t>
      </w:r>
      <w:proofErr w:type="spellStart"/>
      <w:r w:rsidRPr="005173BE">
        <w:rPr>
          <w:rFonts w:ascii="Calibri" w:eastAsia="Calibri" w:hAnsi="Calibri" w:cs="Times New Roman"/>
          <w:color w:val="454545"/>
          <w:sz w:val="22"/>
          <w:lang w:eastAsia="en-GB"/>
        </w:rPr>
        <w:t>i</w:t>
      </w:r>
      <w:proofErr w:type="spellEnd"/>
      <w:r w:rsidRPr="005173BE">
        <w:rPr>
          <w:rFonts w:ascii="Calibri" w:eastAsia="Calibri" w:hAnsi="Calibri" w:cs="Times New Roman"/>
          <w:color w:val="454545"/>
          <w:sz w:val="22"/>
          <w:lang w:eastAsia="en-GB"/>
        </w:rPr>
        <w:t xml:space="preserve">) </w:t>
      </w:r>
      <w:r w:rsidRPr="005173BE">
        <w:rPr>
          <w:rFonts w:ascii="Calibri" w:eastAsia="Calibri" w:hAnsi="Calibri" w:cs="Times New Roman"/>
          <w:color w:val="454545"/>
          <w:sz w:val="22"/>
          <w:u w:val="single"/>
          <w:lang w:eastAsia="en-GB"/>
        </w:rPr>
        <w:t>standards</w:t>
      </w:r>
      <w:r w:rsidRPr="005173BE">
        <w:rPr>
          <w:rFonts w:ascii="Calibri" w:eastAsia="Calibri" w:hAnsi="Calibri" w:cs="Times New Roman"/>
          <w:color w:val="454545"/>
          <w:sz w:val="22"/>
          <w:lang w:eastAsia="en-GB"/>
        </w:rPr>
        <w:t xml:space="preserve"> and </w:t>
      </w:r>
      <w:r w:rsidRPr="005173BE">
        <w:rPr>
          <w:rFonts w:ascii="Calibri" w:eastAsia="Calibri" w:hAnsi="Calibri" w:cs="Times New Roman"/>
          <w:color w:val="454545"/>
          <w:sz w:val="22"/>
          <w:u w:val="single"/>
          <w:lang w:eastAsia="en-GB"/>
        </w:rPr>
        <w:t>recommendations</w:t>
      </w:r>
      <w:r w:rsidRPr="005173BE">
        <w:rPr>
          <w:rFonts w:ascii="Calibri" w:eastAsia="Calibri" w:hAnsi="Calibri" w:cs="Times New Roman"/>
          <w:color w:val="454545"/>
          <w:sz w:val="22"/>
          <w:lang w:eastAsia="en-GB"/>
        </w:rPr>
        <w:t xml:space="preserve"> meet the needs of Members and fit with the strategic priorities of WMO, (ii) it is feasible for Members to implement or use adopted </w:t>
      </w:r>
      <w:r w:rsidRPr="005173BE">
        <w:rPr>
          <w:rFonts w:ascii="Calibri" w:eastAsia="Calibri" w:hAnsi="Calibri" w:cs="Times New Roman"/>
          <w:color w:val="454545"/>
          <w:sz w:val="22"/>
          <w:u w:val="single"/>
          <w:lang w:eastAsia="en-GB"/>
        </w:rPr>
        <w:t>standards</w:t>
      </w:r>
      <w:r w:rsidRPr="005173BE">
        <w:rPr>
          <w:rFonts w:ascii="Calibri" w:eastAsia="Calibri" w:hAnsi="Calibri" w:cs="Times New Roman"/>
          <w:color w:val="454545"/>
          <w:sz w:val="22"/>
          <w:lang w:eastAsia="en-GB"/>
        </w:rPr>
        <w:t xml:space="preserve"> and </w:t>
      </w:r>
      <w:r w:rsidRPr="005173BE">
        <w:rPr>
          <w:rFonts w:ascii="Calibri" w:eastAsia="Calibri" w:hAnsi="Calibri" w:cs="Times New Roman"/>
          <w:color w:val="454545"/>
          <w:sz w:val="22"/>
          <w:u w:val="single"/>
          <w:lang w:eastAsia="en-GB"/>
        </w:rPr>
        <w:t>recommendations</w:t>
      </w:r>
      <w:r w:rsidRPr="005173BE">
        <w:rPr>
          <w:rFonts w:ascii="Calibri" w:eastAsia="Calibri" w:hAnsi="Calibri" w:cs="Times New Roman"/>
          <w:color w:val="454545"/>
          <w:sz w:val="22"/>
          <w:lang w:eastAsia="en-GB"/>
        </w:rPr>
        <w:t xml:space="preserve">, and (iii) Members have a clear view of planned and pending changes to </w:t>
      </w:r>
      <w:r w:rsidRPr="005173BE">
        <w:rPr>
          <w:rFonts w:ascii="Calibri" w:eastAsia="Calibri" w:hAnsi="Calibri" w:cs="Times New Roman"/>
          <w:color w:val="454545"/>
          <w:sz w:val="22"/>
          <w:u w:val="single"/>
          <w:lang w:eastAsia="en-GB"/>
        </w:rPr>
        <w:t>standards</w:t>
      </w:r>
      <w:r w:rsidRPr="005173BE">
        <w:rPr>
          <w:rFonts w:ascii="Calibri" w:eastAsia="Calibri" w:hAnsi="Calibri" w:cs="Times New Roman"/>
          <w:color w:val="454545"/>
          <w:sz w:val="22"/>
          <w:lang w:eastAsia="en-GB"/>
        </w:rPr>
        <w:t xml:space="preserve"> and </w:t>
      </w:r>
      <w:r w:rsidRPr="005173BE">
        <w:rPr>
          <w:rFonts w:ascii="Calibri" w:eastAsia="Calibri" w:hAnsi="Calibri" w:cs="Times New Roman"/>
          <w:color w:val="454545"/>
          <w:sz w:val="22"/>
          <w:u w:val="single"/>
          <w:lang w:eastAsia="en-GB"/>
        </w:rPr>
        <w:t>recommendations</w:t>
      </w:r>
      <w:r w:rsidRPr="005173BE">
        <w:rPr>
          <w:rFonts w:ascii="Calibri" w:eastAsia="Calibri" w:hAnsi="Calibri" w:cs="Times New Roman"/>
          <w:color w:val="454545"/>
          <w:sz w:val="22"/>
          <w:lang w:eastAsia="en-GB"/>
        </w:rPr>
        <w:t xml:space="preserve"> so that they can plan for adoption. </w:t>
      </w:r>
    </w:p>
    <w:p w14:paraId="0B64E0FE"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381836DB"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framework to develop, update and implement the Technical Regulations, i.e. the technical governance framework, is based on clearly distinguished roles</w:t>
      </w:r>
      <w:r w:rsidRPr="005173BE">
        <w:rPr>
          <w:rFonts w:ascii="Calibri" w:eastAsia="Calibri" w:hAnsi="Calibri" w:cs="Times New Roman"/>
          <w:color w:val="454545"/>
          <w:sz w:val="22"/>
          <w:vertAlign w:val="superscript"/>
          <w:lang w:eastAsia="en-GB"/>
        </w:rPr>
        <w:footnoteReference w:id="7"/>
      </w:r>
      <w:r w:rsidRPr="005173BE">
        <w:rPr>
          <w:rFonts w:ascii="Calibri" w:eastAsia="Calibri" w:hAnsi="Calibri" w:cs="Times New Roman"/>
          <w:color w:val="454545"/>
          <w:sz w:val="22"/>
          <w:lang w:eastAsia="en-GB"/>
        </w:rPr>
        <w:t>:</w:t>
      </w:r>
    </w:p>
    <w:p w14:paraId="13FD4D72" w14:textId="77777777" w:rsidR="005173BE" w:rsidRPr="005173BE" w:rsidRDefault="005173BE" w:rsidP="00606C01">
      <w:pPr>
        <w:numPr>
          <w:ilvl w:val="0"/>
          <w:numId w:val="6"/>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technical commissions, which identify requirements (in collaboration with Members and regional associations) and propose amendments to the Technical Regulations, as necessary;</w:t>
      </w:r>
    </w:p>
    <w:p w14:paraId="7790D8BD" w14:textId="77777777" w:rsidR="005173BE" w:rsidRPr="005173BE" w:rsidRDefault="005173BE" w:rsidP="00606C01">
      <w:pPr>
        <w:numPr>
          <w:ilvl w:val="0"/>
          <w:numId w:val="6"/>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Executive Council, which keeps the Technical Regulations under review and approves, on behalf of Congress under delegated authority, amendments to the annexes (manuals) and, if necessary, to the main volumes; </w:t>
      </w:r>
    </w:p>
    <w:p w14:paraId="0AD7D20F" w14:textId="77777777" w:rsidR="005173BE" w:rsidRPr="005173BE" w:rsidRDefault="005173BE" w:rsidP="00606C01">
      <w:pPr>
        <w:numPr>
          <w:ilvl w:val="0"/>
          <w:numId w:val="6"/>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Congress, which adopts amendments to the Technical Regulations; </w:t>
      </w:r>
    </w:p>
    <w:p w14:paraId="14A2459F" w14:textId="77777777" w:rsidR="005173BE" w:rsidRPr="005173BE" w:rsidRDefault="005173BE" w:rsidP="00606C01">
      <w:pPr>
        <w:numPr>
          <w:ilvl w:val="0"/>
          <w:numId w:val="6"/>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Secretary-General, who arranges for the inclusion of approved amendments in the Technical Regulations, ensures the editorial consistency of the relevant publications and makes them available to Members; and</w:t>
      </w:r>
    </w:p>
    <w:p w14:paraId="305592C5" w14:textId="77777777" w:rsidR="005173BE" w:rsidRPr="005173BE" w:rsidRDefault="005173BE" w:rsidP="00606C01">
      <w:pPr>
        <w:numPr>
          <w:ilvl w:val="0"/>
          <w:numId w:val="6"/>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Members, which implement the Technical Regulations, or if not feasible, file deviations.</w:t>
      </w:r>
    </w:p>
    <w:p w14:paraId="5DEC574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4EDCEBC0"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Provisions defined in Technical Regulations can be divided into two broad categories:</w:t>
      </w:r>
    </w:p>
    <w:p w14:paraId="0C4CFDFE" w14:textId="77777777" w:rsidR="005173BE" w:rsidRPr="005173BE" w:rsidRDefault="005173BE" w:rsidP="00606C01">
      <w:pPr>
        <w:numPr>
          <w:ilvl w:val="0"/>
          <w:numId w:val="7"/>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bCs/>
          <w:color w:val="454545"/>
          <w:sz w:val="22"/>
          <w:lang w:eastAsia="en-GB"/>
        </w:rPr>
        <w:t>Institutional and system requirements</w:t>
      </w:r>
      <w:r w:rsidRPr="005173BE">
        <w:rPr>
          <w:rFonts w:ascii="Calibri" w:eastAsia="Times New Roman" w:hAnsi="Calibri" w:cs="Times New Roman"/>
          <w:color w:val="454545"/>
          <w:sz w:val="22"/>
          <w:lang w:eastAsia="en-GB"/>
        </w:rPr>
        <w:t xml:space="preserve"> (standards) or recommendations, with respect to: (a) the establishment of global, regional and national networks and facilities (with their scope, objectives and composition); (b) the establishment of an authority or a responsible body; and (c) the human resources requirements (including education and training, competences, qualifications, etc.) </w:t>
      </w:r>
    </w:p>
    <w:p w14:paraId="00B8B991" w14:textId="77777777" w:rsidR="005173BE" w:rsidRPr="005173BE" w:rsidRDefault="005173BE" w:rsidP="00606C01">
      <w:pPr>
        <w:numPr>
          <w:ilvl w:val="0"/>
          <w:numId w:val="7"/>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bCs/>
          <w:color w:val="454545"/>
          <w:sz w:val="22"/>
          <w:lang w:eastAsia="en-GB"/>
        </w:rPr>
        <w:t>Technical requirements</w:t>
      </w:r>
      <w:r w:rsidRPr="005173BE">
        <w:rPr>
          <w:rFonts w:ascii="Calibri" w:eastAsia="Times New Roman" w:hAnsi="Calibri" w:cs="Times New Roman"/>
          <w:color w:val="454545"/>
          <w:sz w:val="22"/>
          <w:lang w:eastAsia="en-GB"/>
        </w:rPr>
        <w:t xml:space="preserve"> (standards) or recommendations of an operational, functional or procedural nature. Among these are the provisions specifying different products that serve users; the provisions related to the encoding and decoding of observation or forecast data, contained in the WMO </w:t>
      </w:r>
      <w:r w:rsidRPr="005173BE">
        <w:rPr>
          <w:rFonts w:ascii="Calibri" w:eastAsia="Times New Roman" w:hAnsi="Calibri" w:cs="Times New Roman"/>
          <w:iCs/>
          <w:color w:val="454545"/>
          <w:sz w:val="22"/>
          <w:lang w:eastAsia="en-GB"/>
        </w:rPr>
        <w:t>Manual on Codes</w:t>
      </w:r>
      <w:r w:rsidRPr="005173BE">
        <w:rPr>
          <w:rFonts w:ascii="Calibri" w:eastAsia="Times New Roman" w:hAnsi="Calibri" w:cs="Times New Roman"/>
          <w:color w:val="454545"/>
          <w:sz w:val="22"/>
          <w:lang w:eastAsia="en-GB"/>
        </w:rPr>
        <w:t>; etc. </w:t>
      </w:r>
    </w:p>
    <w:p w14:paraId="49B39D4F"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0AA6AAEF"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recommendations made here by the Task Team on Approaches to Technical Governance (TT-ATG) relate only to the second category of provision.</w:t>
      </w:r>
    </w:p>
    <w:p w14:paraId="36F8397D"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6BC23FC2"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Note that Guides are of a non-regulatory nature and, as such, are not subject to Article 9 of the Convention; no formal approval by Congress is required for changes, which renders them more flexible and easier to update as and when required. </w:t>
      </w:r>
    </w:p>
    <w:p w14:paraId="1614DD08"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3970309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WMO-No. 1127 “Guidelines on the preparation and promulgation of the WMO Technical Regulations”, section 4, describes the logic underlying the regulation-making framework:</w:t>
      </w:r>
    </w:p>
    <w:p w14:paraId="20049235" w14:textId="77777777" w:rsidR="005173BE" w:rsidRPr="005173BE" w:rsidRDefault="005173BE" w:rsidP="00606C01">
      <w:pPr>
        <w:numPr>
          <w:ilvl w:val="0"/>
          <w:numId w:val="8"/>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 xml:space="preserve">Identification of </w:t>
      </w:r>
      <w:r w:rsidRPr="005173BE">
        <w:rPr>
          <w:rFonts w:ascii="Calibri" w:eastAsia="Times New Roman" w:hAnsi="Calibri" w:cs="Times New Roman"/>
          <w:b/>
          <w:color w:val="454545"/>
          <w:sz w:val="22"/>
          <w:lang w:eastAsia="en-GB"/>
        </w:rPr>
        <w:t>requirement</w:t>
      </w:r>
    </w:p>
    <w:p w14:paraId="6A69B911"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 xml:space="preserve">A new draft requirement is normally proposed by a Member (or group of Members), a user (or user group) of the service concerned, or an international organisation. The identification of a requirement is a complex process that may involve, at different stages, the regional associations or the technical commissions. The technical commissions conduct studies and identify </w:t>
      </w:r>
      <w:r w:rsidRPr="005173BE">
        <w:rPr>
          <w:rFonts w:ascii="Calibri" w:eastAsia="Times New Roman" w:hAnsi="Calibri" w:cs="Times New Roman"/>
          <w:color w:val="454545"/>
          <w:sz w:val="22"/>
          <w:lang w:eastAsia="en-GB"/>
        </w:rPr>
        <w:lastRenderedPageBreak/>
        <w:t>requirements based on user needs and technology development, such as the Rolling Review of Requirements process conducted by CBS. Consultation with other commissions provides an indication of the acceptance and relevance of the new requirement. </w:t>
      </w:r>
    </w:p>
    <w:p w14:paraId="74EDBBC1" w14:textId="77777777" w:rsidR="005173BE" w:rsidRPr="005173BE" w:rsidRDefault="005173BE" w:rsidP="00606C01">
      <w:pPr>
        <w:numPr>
          <w:ilvl w:val="0"/>
          <w:numId w:val="8"/>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 xml:space="preserve">Preparation of a technical </w:t>
      </w:r>
      <w:r w:rsidRPr="005173BE">
        <w:rPr>
          <w:rFonts w:ascii="Calibri" w:eastAsia="Times New Roman" w:hAnsi="Calibri" w:cs="Times New Roman"/>
          <w:b/>
          <w:bCs/>
          <w:color w:val="454545"/>
          <w:sz w:val="22"/>
          <w:lang w:eastAsia="en-GB"/>
        </w:rPr>
        <w:t>proposal</w:t>
      </w:r>
    </w:p>
    <w:p w14:paraId="5F48E19C"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The technical commission concerned must carry out a thorough study of the requirement and validate its relevance and may assign a task to one of its expert groups to prepare a relevant proposal concerning the technological and procedural aspects and the respective new or amended regulatory material. «It is essential that the expert bodies carry out an assessment of financial implications for Members, together with related capacity-development needs, before proceeding to propose new regulation.</w:t>
      </w:r>
    </w:p>
    <w:p w14:paraId="0A03F950"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Draft regulatory text is published for review.</w:t>
      </w:r>
    </w:p>
    <w:p w14:paraId="55802B28" w14:textId="77777777" w:rsidR="005173BE" w:rsidRPr="005173BE" w:rsidRDefault="005173BE" w:rsidP="00606C01">
      <w:pPr>
        <w:numPr>
          <w:ilvl w:val="0"/>
          <w:numId w:val="8"/>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b/>
          <w:bCs/>
          <w:color w:val="454545"/>
          <w:sz w:val="22"/>
          <w:lang w:eastAsia="en-GB"/>
        </w:rPr>
        <w:t>Consultation</w:t>
      </w:r>
      <w:r w:rsidRPr="005173BE">
        <w:rPr>
          <w:rFonts w:ascii="Calibri" w:eastAsia="Times New Roman" w:hAnsi="Calibri" w:cs="Times New Roman"/>
          <w:color w:val="454545"/>
          <w:sz w:val="22"/>
          <w:lang w:eastAsia="en-GB"/>
        </w:rPr>
        <w:t xml:space="preserve"> with relevant communities and stakeholders</w:t>
      </w:r>
    </w:p>
    <w:p w14:paraId="3104871B"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Expert body/bodies, tasked by the respective technical commission to develop the draft proposal, should try to engage the technical community, including experts from other international bodies, as necessary, in a broad consultation process. This consultation should culminate at the session of the technical commission concerned, where the draft requirement planned to be included in the Technical Regulations should be endorsed.  </w:t>
      </w:r>
    </w:p>
    <w:p w14:paraId="15BFEE07"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Technical commissions should not recommend that a Regulation be a standard practice unless it is supported by a strong majority.</w:t>
      </w:r>
    </w:p>
    <w:p w14:paraId="7F1B4680"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Given endorsement of the technical commission, a recommendation must subsequently be submitted to Congress or the Executive Council for approval. </w:t>
      </w:r>
    </w:p>
    <w:p w14:paraId="546C9309" w14:textId="77777777" w:rsidR="005173BE" w:rsidRPr="005173BE" w:rsidRDefault="005173BE" w:rsidP="00606C01">
      <w:pPr>
        <w:numPr>
          <w:ilvl w:val="0"/>
          <w:numId w:val="8"/>
        </w:numPr>
        <w:tabs>
          <w:tab w:val="clear" w:pos="1134"/>
        </w:tabs>
        <w:jc w:val="left"/>
        <w:rPr>
          <w:rFonts w:ascii="Calibri" w:eastAsia="Times New Roman" w:hAnsi="Calibri" w:cs="Times New Roman"/>
          <w:b/>
          <w:bCs/>
          <w:color w:val="454545"/>
          <w:sz w:val="22"/>
          <w:lang w:eastAsia="en-GB"/>
        </w:rPr>
      </w:pPr>
      <w:r w:rsidRPr="005173BE">
        <w:rPr>
          <w:rFonts w:ascii="Calibri" w:eastAsia="Times New Roman" w:hAnsi="Calibri" w:cs="Times New Roman"/>
          <w:b/>
          <w:bCs/>
          <w:color w:val="454545"/>
          <w:sz w:val="22"/>
          <w:lang w:eastAsia="en-GB"/>
        </w:rPr>
        <w:t>Adoption</w:t>
      </w:r>
    </w:p>
    <w:p w14:paraId="6451A7E5"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Approval of Technical Regulations by Congress or Executive Council.</w:t>
      </w:r>
    </w:p>
    <w:p w14:paraId="2BA2DE0D"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A “fast-track” approval by the WMO President may be sought for urgent changes.</w:t>
      </w:r>
    </w:p>
    <w:p w14:paraId="222D54BE" w14:textId="77777777" w:rsidR="005173BE" w:rsidRPr="005173BE" w:rsidRDefault="005173BE" w:rsidP="00606C01">
      <w:pPr>
        <w:numPr>
          <w:ilvl w:val="0"/>
          <w:numId w:val="8"/>
        </w:numPr>
        <w:tabs>
          <w:tab w:val="clear" w:pos="1134"/>
        </w:tabs>
        <w:jc w:val="left"/>
        <w:rPr>
          <w:rFonts w:ascii="Calibri" w:eastAsia="Times New Roman" w:hAnsi="Calibri" w:cs="Times New Roman"/>
          <w:b/>
          <w:bCs/>
          <w:color w:val="454545"/>
          <w:sz w:val="22"/>
          <w:lang w:eastAsia="en-GB"/>
        </w:rPr>
      </w:pPr>
      <w:r w:rsidRPr="005173BE">
        <w:rPr>
          <w:rFonts w:ascii="Calibri" w:eastAsia="Times New Roman" w:hAnsi="Calibri" w:cs="Times New Roman"/>
          <w:b/>
          <w:bCs/>
          <w:color w:val="454545"/>
          <w:sz w:val="22"/>
          <w:lang w:eastAsia="en-GB"/>
        </w:rPr>
        <w:t>Promulgation and Implementation</w:t>
      </w:r>
    </w:p>
    <w:p w14:paraId="4018C375"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Introduction of a new requirement is announced with a call for implementation. The WMO Secretariat publishes the new or amended regulation and makes sure that it is made available to all Members, giving Members sufficient time to prepare for the implementation of the amendment (General Regulation 127 stipulates that this shall be at least 9-months from the date of receipt of the new requirement). The implementation itself must be carried out by Members. Relevant regional associations and technical commissions should undertake the necessary planning to ensure a harmonised and synchronised implementation process, including the establishment of regional implementation plans. </w:t>
      </w:r>
    </w:p>
    <w:p w14:paraId="110F2F75" w14:textId="77777777" w:rsidR="005173BE" w:rsidRPr="005173BE" w:rsidRDefault="005173BE" w:rsidP="00606C01">
      <w:pPr>
        <w:numPr>
          <w:ilvl w:val="0"/>
          <w:numId w:val="25"/>
        </w:numPr>
        <w:tabs>
          <w:tab w:val="clear" w:pos="1134"/>
          <w:tab w:val="num" w:pos="993"/>
        </w:tabs>
        <w:ind w:left="993" w:hanging="284"/>
        <w:jc w:val="left"/>
        <w:rPr>
          <w:rFonts w:ascii="Calibri" w:eastAsia="Times New Roman" w:hAnsi="Calibri" w:cs="Times New Roman"/>
          <w:color w:val="454545"/>
          <w:sz w:val="22"/>
          <w:lang w:eastAsia="en-GB"/>
        </w:rPr>
      </w:pPr>
      <w:r w:rsidRPr="005173BE">
        <w:rPr>
          <w:rFonts w:ascii="Calibri" w:eastAsia="Times New Roman" w:hAnsi="Calibri" w:cs="Times New Roman"/>
          <w:color w:val="454545"/>
          <w:sz w:val="22"/>
          <w:lang w:eastAsia="en-GB"/>
        </w:rPr>
        <w:t>The level of implementation is monitored by the relevant regional associations and technical commissions concerned and the WMO Secretariat. This monitoring is largely based largely on Member’s obligation to notify the WMO Secretariat if they cannot comply with the new requirement. </w:t>
      </w:r>
    </w:p>
    <w:p w14:paraId="0E9C47B7"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C77F167"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More light-weight procedures are defined for maintaining elements of the Manuals and Guides marked as “technical specifications”, as defined in Resolution 21 (Cg-17) and amended in Resolution 12 (EC-68), allowing amendments in provisions through a process of consultation with Focal Points nominated by Permanent Representatives, followed by confirmation by the president of the Commission and final approval by the President of WMO. These procedures cover:</w:t>
      </w:r>
    </w:p>
    <w:p w14:paraId="4074BF8E" w14:textId="77777777" w:rsidR="005173BE" w:rsidRPr="005173BE" w:rsidRDefault="005173BE" w:rsidP="00606C01">
      <w:pPr>
        <w:numPr>
          <w:ilvl w:val="0"/>
          <w:numId w:val="9"/>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i/>
          <w:iCs/>
          <w:color w:val="454545"/>
          <w:sz w:val="22"/>
          <w:lang w:eastAsia="en-GB"/>
        </w:rPr>
        <w:t>designation of responsible committee</w:t>
      </w:r>
    </w:p>
    <w:p w14:paraId="59E57AD5" w14:textId="77777777" w:rsidR="005173BE" w:rsidRPr="005173BE" w:rsidRDefault="005173BE" w:rsidP="00606C01">
      <w:pPr>
        <w:numPr>
          <w:ilvl w:val="0"/>
          <w:numId w:val="9"/>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i/>
          <w:iCs/>
          <w:color w:val="454545"/>
          <w:sz w:val="22"/>
          <w:lang w:eastAsia="en-GB"/>
        </w:rPr>
        <w:t>proposal of amendments</w:t>
      </w:r>
    </w:p>
    <w:p w14:paraId="53A62BD3" w14:textId="77777777" w:rsidR="005173BE" w:rsidRPr="005173BE" w:rsidRDefault="005173BE" w:rsidP="00606C01">
      <w:pPr>
        <w:numPr>
          <w:ilvl w:val="0"/>
          <w:numId w:val="9"/>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i/>
          <w:iCs/>
          <w:color w:val="454545"/>
          <w:sz w:val="22"/>
          <w:lang w:eastAsia="en-GB"/>
        </w:rPr>
        <w:t>drafting of recommendations</w:t>
      </w:r>
    </w:p>
    <w:p w14:paraId="28EC0D74" w14:textId="77777777" w:rsidR="005173BE" w:rsidRPr="005173BE" w:rsidRDefault="005173BE" w:rsidP="00606C01">
      <w:pPr>
        <w:numPr>
          <w:ilvl w:val="0"/>
          <w:numId w:val="9"/>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i/>
          <w:iCs/>
          <w:color w:val="454545"/>
          <w:sz w:val="22"/>
          <w:lang w:eastAsia="en-GB"/>
        </w:rPr>
        <w:t>procedures for endorsement and approval of recommendations (simple “fast-track”, standard “between Sessions” and complex “during Sessions”), and the scope of application for each approval method</w:t>
      </w:r>
    </w:p>
    <w:p w14:paraId="02CCDFC7" w14:textId="77777777" w:rsidR="005173BE" w:rsidRPr="005173BE" w:rsidRDefault="005173BE" w:rsidP="00606C01">
      <w:pPr>
        <w:numPr>
          <w:ilvl w:val="0"/>
          <w:numId w:val="9"/>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i/>
          <w:iCs/>
          <w:color w:val="454545"/>
          <w:sz w:val="22"/>
          <w:lang w:eastAsia="en-GB"/>
        </w:rPr>
        <w:t>date of implementation</w:t>
      </w:r>
    </w:p>
    <w:p w14:paraId="08B19775" w14:textId="77777777" w:rsidR="005173BE" w:rsidRPr="005173BE" w:rsidRDefault="005173BE" w:rsidP="00606C01">
      <w:pPr>
        <w:numPr>
          <w:ilvl w:val="0"/>
          <w:numId w:val="9"/>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i/>
          <w:iCs/>
          <w:color w:val="454545"/>
          <w:sz w:val="22"/>
          <w:lang w:eastAsia="en-GB"/>
        </w:rPr>
        <w:t>urgent introduction</w:t>
      </w:r>
    </w:p>
    <w:p w14:paraId="200C25E5" w14:textId="77777777" w:rsidR="005173BE" w:rsidRPr="005173BE" w:rsidRDefault="005173BE" w:rsidP="00606C01">
      <w:pPr>
        <w:numPr>
          <w:ilvl w:val="0"/>
          <w:numId w:val="9"/>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i/>
          <w:iCs/>
          <w:color w:val="454545"/>
          <w:sz w:val="22"/>
          <w:lang w:eastAsia="en-GB"/>
        </w:rPr>
        <w:lastRenderedPageBreak/>
        <w:t>issuance of an updated version</w:t>
      </w:r>
    </w:p>
    <w:p w14:paraId="0D168A1E" w14:textId="77777777" w:rsidR="005173BE" w:rsidRPr="005173BE" w:rsidRDefault="005173BE" w:rsidP="00606C01">
      <w:pPr>
        <w:numPr>
          <w:ilvl w:val="0"/>
          <w:numId w:val="9"/>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i/>
          <w:iCs/>
          <w:color w:val="454545"/>
          <w:sz w:val="22"/>
          <w:lang w:eastAsia="en-GB"/>
        </w:rPr>
        <w:t>correction of existing contents</w:t>
      </w:r>
    </w:p>
    <w:p w14:paraId="34BD5383" w14:textId="77777777" w:rsidR="005173BE" w:rsidRPr="005173BE" w:rsidRDefault="005173BE" w:rsidP="00606C01">
      <w:pPr>
        <w:numPr>
          <w:ilvl w:val="0"/>
          <w:numId w:val="9"/>
        </w:numPr>
        <w:tabs>
          <w:tab w:val="clear" w:pos="1134"/>
        </w:tabs>
        <w:jc w:val="left"/>
        <w:rPr>
          <w:rFonts w:ascii="Calibri" w:eastAsia="Times New Roman" w:hAnsi="Calibri" w:cs="Times New Roman"/>
          <w:color w:val="454545"/>
          <w:sz w:val="22"/>
          <w:lang w:eastAsia="en-GB"/>
        </w:rPr>
      </w:pPr>
      <w:r w:rsidRPr="005173BE">
        <w:rPr>
          <w:rFonts w:ascii="Calibri" w:eastAsia="Times New Roman" w:hAnsi="Calibri" w:cs="Times New Roman"/>
          <w:i/>
          <w:iCs/>
          <w:color w:val="454545"/>
          <w:sz w:val="22"/>
          <w:lang w:eastAsia="en-GB"/>
        </w:rPr>
        <w:t>validation of recommendations</w:t>
      </w:r>
    </w:p>
    <w:p w14:paraId="5E39AA08"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653CEA81"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The “simple” (fast-track) procedure allows for a biannual amendment cycle where changes affect only Manuals and Guides that have been designated and marked as “technical specifications to which the simple procedure may be applied”.</w:t>
      </w:r>
    </w:p>
    <w:p w14:paraId="6CFD471A"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4B9DB46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Annex 2 to Resolution 12 (EC-68) amends Technical Regulations (WMO-No. 49), General Provisions, to indicate that the “simple” (fast-track) procedure may be used for amendments to technical specifications in: Annexes II (Manual on Codes (WMO-No.306), III (Manual on the Global Telecommunication System (WMO-No.386)), IV (Manual on the Global Data-processing and Forecasting System (WMO-No.485)), V (Manual on the Global Observing System (WMO-No.544)), VII (Manual on the WMO Information System (WMO-No.1060)), and VIII (Manual on the WMO Integrated Global Observing System (WMO-No.1160)). Therefore, we conclude that components of all these Manuals may be designated as technical specifications.</w:t>
      </w:r>
    </w:p>
    <w:p w14:paraId="7C1E5B9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33AC5B9D"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Furthermore, Recommendation 25 (CBS-16) designates the entire contents of Annex II, Manual on Codes (WMO No. 306), Volumes I.2 and I.3 as technical specifications.</w:t>
      </w:r>
    </w:p>
    <w:p w14:paraId="764372DE"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149AB0E0"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TT-ATG proposes the definition of “technical specification” as: “a versioned set of technical requirements for a product, process or function”. Within a technical specification, the use of the term “</w:t>
      </w:r>
      <w:r w:rsidRPr="005173BE">
        <w:rPr>
          <w:rFonts w:ascii="Calibri" w:eastAsia="Calibri" w:hAnsi="Calibri" w:cs="Times New Roman"/>
          <w:b/>
          <w:bCs/>
          <w:color w:val="454545"/>
          <w:sz w:val="22"/>
          <w:lang w:eastAsia="en-GB"/>
        </w:rPr>
        <w:t>shall</w:t>
      </w:r>
      <w:r w:rsidRPr="005173BE">
        <w:rPr>
          <w:rFonts w:ascii="Calibri" w:eastAsia="Calibri" w:hAnsi="Calibri" w:cs="Times New Roman"/>
          <w:color w:val="454545"/>
          <w:sz w:val="22"/>
          <w:lang w:eastAsia="en-GB"/>
        </w:rPr>
        <w:t>” in English texts (and by suitable equivalent terms in the Arabic, Chinese, French, Russian and Spanish texts) designates conformance to that specification to ensure correct performance of the system, rather than an obligation on Members (see Recommendation 25 (CBS-16)). </w:t>
      </w:r>
    </w:p>
    <w:p w14:paraId="0D804F87"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0E77B2D5"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Members are neither required nor urged to implement technical specifications unless provisions elsewhere in Technical Regulations compel them to do so.</w:t>
      </w:r>
    </w:p>
    <w:p w14:paraId="21143F1E"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20C61C0C"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t>Technical Regulations and technical specifications are part of the same framework, and are subject to a single technical governance framework. The rigour of the approvals process for amendments reflects the potential impact on Members who are required or urged to implement the provisions defined therein.</w:t>
      </w:r>
    </w:p>
    <w:p w14:paraId="6B2EAA09" w14:textId="77777777" w:rsidR="005173BE" w:rsidRPr="005173BE" w:rsidRDefault="005173BE" w:rsidP="005173BE">
      <w:pPr>
        <w:tabs>
          <w:tab w:val="clear" w:pos="1134"/>
        </w:tabs>
        <w:jc w:val="left"/>
        <w:rPr>
          <w:rFonts w:ascii="Calibri" w:eastAsia="Calibri" w:hAnsi="Calibri" w:cs="Times New Roman"/>
          <w:color w:val="454545"/>
          <w:sz w:val="22"/>
          <w:lang w:eastAsia="en-GB"/>
        </w:rPr>
      </w:pPr>
    </w:p>
    <w:p w14:paraId="783E0584" w14:textId="77777777" w:rsidR="005173BE" w:rsidRPr="005173BE" w:rsidRDefault="005173BE" w:rsidP="005173BE">
      <w:pPr>
        <w:tabs>
          <w:tab w:val="clear" w:pos="1134"/>
        </w:tabs>
        <w:jc w:val="left"/>
        <w:rPr>
          <w:rFonts w:ascii="Calibri" w:eastAsia="Calibri" w:hAnsi="Calibri" w:cs="Times New Roman"/>
          <w:sz w:val="22"/>
        </w:rPr>
      </w:pPr>
    </w:p>
    <w:p w14:paraId="7E6688AB" w14:textId="77777777" w:rsidR="005173BE" w:rsidRPr="005173BE" w:rsidRDefault="005173BE" w:rsidP="005173BE">
      <w:pPr>
        <w:tabs>
          <w:tab w:val="clear" w:pos="1134"/>
        </w:tabs>
        <w:jc w:val="left"/>
        <w:rPr>
          <w:rFonts w:ascii="Calibri Light" w:eastAsia="Times New Roman" w:hAnsi="Calibri Light" w:cs="Times New Roman"/>
          <w:color w:val="2F5496"/>
          <w:sz w:val="36"/>
          <w:szCs w:val="32"/>
        </w:rPr>
      </w:pPr>
      <w:r w:rsidRPr="005173BE">
        <w:rPr>
          <w:rFonts w:ascii="Calibri" w:eastAsia="Calibri" w:hAnsi="Calibri" w:cs="Times New Roman"/>
          <w:sz w:val="36"/>
          <w:szCs w:val="24"/>
        </w:rPr>
        <w:br w:type="page"/>
      </w:r>
    </w:p>
    <w:p w14:paraId="3E9601BB" w14:textId="5AD4F37F" w:rsidR="005173BE" w:rsidRPr="005173BE" w:rsidRDefault="005173BE" w:rsidP="005173BE">
      <w:pPr>
        <w:keepNext/>
        <w:keepLines/>
        <w:tabs>
          <w:tab w:val="clear" w:pos="1134"/>
        </w:tabs>
        <w:spacing w:before="240"/>
        <w:jc w:val="left"/>
        <w:outlineLvl w:val="0"/>
        <w:rPr>
          <w:rFonts w:ascii="Calibri Light" w:eastAsia="Times New Roman" w:hAnsi="Calibri Light" w:cs="Times New Roman"/>
          <w:color w:val="2F5496"/>
          <w:sz w:val="36"/>
          <w:szCs w:val="32"/>
        </w:rPr>
      </w:pPr>
      <w:bookmarkStart w:id="32" w:name="Annex_4"/>
      <w:r w:rsidRPr="005173BE">
        <w:rPr>
          <w:rFonts w:ascii="Calibri Light" w:eastAsia="Times New Roman" w:hAnsi="Calibri Light" w:cs="Times New Roman"/>
          <w:color w:val="2F5496"/>
          <w:sz w:val="36"/>
          <w:szCs w:val="32"/>
        </w:rPr>
        <w:lastRenderedPageBreak/>
        <w:t>A</w:t>
      </w:r>
      <w:r w:rsidR="00A805BE">
        <w:rPr>
          <w:rFonts w:ascii="Calibri Light" w:eastAsia="Times New Roman" w:hAnsi="Calibri Light" w:cs="Times New Roman"/>
          <w:color w:val="2F5496"/>
          <w:sz w:val="36"/>
          <w:szCs w:val="32"/>
        </w:rPr>
        <w:t>ppendix</w:t>
      </w:r>
      <w:r w:rsidRPr="005173BE">
        <w:rPr>
          <w:rFonts w:ascii="Calibri Light" w:eastAsia="Times New Roman" w:hAnsi="Calibri Light" w:cs="Times New Roman"/>
          <w:color w:val="2F5496"/>
          <w:sz w:val="36"/>
          <w:szCs w:val="32"/>
        </w:rPr>
        <w:t xml:space="preserve"> </w:t>
      </w:r>
      <w:r w:rsidR="0062093B">
        <w:rPr>
          <w:rFonts w:ascii="Calibri Light" w:eastAsia="Times New Roman" w:hAnsi="Calibri Light" w:cs="Times New Roman"/>
          <w:color w:val="2F5496"/>
          <w:sz w:val="36"/>
          <w:szCs w:val="32"/>
        </w:rPr>
        <w:t>D</w:t>
      </w:r>
      <w:bookmarkEnd w:id="32"/>
      <w:r w:rsidRPr="005173BE">
        <w:rPr>
          <w:rFonts w:ascii="Calibri Light" w:eastAsia="Times New Roman" w:hAnsi="Calibri Light" w:cs="Times New Roman"/>
          <w:color w:val="2F5496"/>
          <w:sz w:val="36"/>
          <w:szCs w:val="32"/>
        </w:rPr>
        <w:t>: Examples supporting the issues</w:t>
      </w:r>
    </w:p>
    <w:p w14:paraId="1BCD3548" w14:textId="77777777" w:rsidR="005173BE" w:rsidRPr="005173BE" w:rsidRDefault="005173BE" w:rsidP="005173BE">
      <w:pPr>
        <w:tabs>
          <w:tab w:val="clear" w:pos="1134"/>
        </w:tabs>
        <w:jc w:val="left"/>
        <w:rPr>
          <w:rFonts w:ascii="Calibri" w:eastAsia="Times New Roman" w:hAnsi="Calibri" w:cs="Times New Roman"/>
          <w:color w:val="454545"/>
          <w:sz w:val="22"/>
          <w:szCs w:val="22"/>
          <w:lang w:eastAsia="en-GB"/>
        </w:rPr>
      </w:pPr>
    </w:p>
    <w:p w14:paraId="2A81D689"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Issue 1.i:</w:t>
      </w:r>
    </w:p>
    <w:p w14:paraId="52101545"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r w:rsidRPr="005173BE">
        <w:rPr>
          <w:rFonts w:ascii="Calibri" w:eastAsia="Calibri" w:hAnsi="Calibri" w:cs="Times New Roman"/>
          <w:color w:val="454545"/>
          <w:sz w:val="22"/>
          <w:lang w:eastAsia="en-GB"/>
        </w:rPr>
        <w:fldChar w:fldCharType="begin"/>
      </w:r>
      <w:r w:rsidRPr="005173BE">
        <w:rPr>
          <w:rFonts w:ascii="Calibri" w:eastAsia="Calibri" w:hAnsi="Calibri" w:cs="Times New Roman"/>
          <w:color w:val="454545"/>
          <w:sz w:val="22"/>
          <w:lang w:eastAsia="en-GB"/>
        </w:rPr>
        <w:instrText xml:space="preserve"> REF issue_1_i \h </w:instrText>
      </w:r>
      <w:r w:rsidRPr="005173BE">
        <w:rPr>
          <w:rFonts w:ascii="Calibri" w:eastAsia="Calibri" w:hAnsi="Calibri" w:cs="Times New Roman"/>
          <w:color w:val="454545"/>
          <w:sz w:val="22"/>
          <w:lang w:eastAsia="en-GB"/>
        </w:rPr>
      </w:r>
      <w:r w:rsidRPr="005173BE">
        <w:rPr>
          <w:rFonts w:ascii="Calibri" w:eastAsia="Calibri" w:hAnsi="Calibri" w:cs="Times New Roman"/>
          <w:color w:val="454545"/>
          <w:sz w:val="22"/>
          <w:lang w:eastAsia="en-GB"/>
        </w:rPr>
        <w:fldChar w:fldCharType="separate"/>
      </w:r>
      <w:r w:rsidR="007F7A40" w:rsidRPr="005173BE">
        <w:rPr>
          <w:rFonts w:ascii="Calibri" w:eastAsia="Calibri" w:hAnsi="Calibri" w:cs="Times New Roman"/>
          <w:color w:val="454545"/>
          <w:sz w:val="22"/>
          <w:lang w:eastAsia="en-GB"/>
        </w:rPr>
        <w:t>Members struggle to implement amendments to Technical Regulations in a timely manner.</w:t>
      </w:r>
      <w:r w:rsidRPr="005173BE">
        <w:rPr>
          <w:rFonts w:ascii="Calibri" w:eastAsia="Calibri" w:hAnsi="Calibri" w:cs="Times New Roman"/>
          <w:color w:val="454545"/>
          <w:sz w:val="22"/>
          <w:lang w:eastAsia="en-GB"/>
        </w:rPr>
        <w:fldChar w:fldCharType="end"/>
      </w:r>
    </w:p>
    <w:p w14:paraId="4E0CC731"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p>
    <w:p w14:paraId="5B427572"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w:t>
      </w:r>
    </w:p>
    <w:p w14:paraId="1FA07DAB" w14:textId="77777777" w:rsidR="005173BE" w:rsidRPr="005173BE" w:rsidRDefault="005173BE" w:rsidP="00606C01">
      <w:pPr>
        <w:numPr>
          <w:ilvl w:val="0"/>
          <w:numId w:val="18"/>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The Migration to Table Driven Codes is still incomplete; compelling benefits were identified at the outset, along with consensus among Members of the need to complete the migration; but over time, the resolve of Members to implement has weakened</w:t>
      </w:r>
    </w:p>
    <w:p w14:paraId="6B01C822" w14:textId="77777777" w:rsidR="005173BE" w:rsidRPr="005173BE" w:rsidRDefault="005173BE" w:rsidP="005173BE">
      <w:pPr>
        <w:tabs>
          <w:tab w:val="clear" w:pos="1134"/>
        </w:tabs>
        <w:jc w:val="left"/>
        <w:rPr>
          <w:rFonts w:ascii="Calibri" w:eastAsia="Times New Roman" w:hAnsi="Calibri" w:cs="Times New Roman"/>
          <w:color w:val="454545"/>
          <w:sz w:val="22"/>
          <w:szCs w:val="22"/>
          <w:lang w:eastAsia="en-GB"/>
        </w:rPr>
      </w:pPr>
    </w:p>
    <w:p w14:paraId="3E67B757"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Issue 1.ii:</w:t>
      </w:r>
    </w:p>
    <w:p w14:paraId="2BF1492B" w14:textId="77777777" w:rsidR="005173BE" w:rsidRPr="005173BE" w:rsidRDefault="005173BE" w:rsidP="005173BE">
      <w:p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fldChar w:fldCharType="begin"/>
      </w:r>
      <w:r w:rsidRPr="005173BE">
        <w:rPr>
          <w:rFonts w:ascii="Calibri" w:eastAsia="Times New Roman" w:hAnsi="Calibri" w:cs="Times New Roman"/>
          <w:color w:val="454545"/>
          <w:sz w:val="22"/>
          <w:szCs w:val="22"/>
          <w:lang w:eastAsia="en-GB"/>
        </w:rPr>
        <w:instrText xml:space="preserve"> REF issue_1_ia \h </w:instrText>
      </w:r>
      <w:r w:rsidRPr="005173BE">
        <w:rPr>
          <w:rFonts w:ascii="Calibri" w:eastAsia="Times New Roman" w:hAnsi="Calibri" w:cs="Times New Roman"/>
          <w:color w:val="454545"/>
          <w:sz w:val="22"/>
          <w:szCs w:val="22"/>
          <w:lang w:eastAsia="en-GB"/>
        </w:rPr>
      </w:r>
      <w:r w:rsidRPr="005173BE">
        <w:rPr>
          <w:rFonts w:ascii="Calibri" w:eastAsia="Times New Roman" w:hAnsi="Calibri" w:cs="Times New Roman"/>
          <w:color w:val="454545"/>
          <w:sz w:val="22"/>
          <w:szCs w:val="22"/>
          <w:lang w:eastAsia="en-GB"/>
        </w:rPr>
        <w:fldChar w:fldCharType="separate"/>
      </w:r>
      <w:r w:rsidR="007F7A40" w:rsidRPr="005173BE">
        <w:rPr>
          <w:rFonts w:ascii="Calibri" w:eastAsia="Calibri" w:hAnsi="Calibri" w:cs="Times New Roman"/>
          <w:color w:val="454545"/>
          <w:sz w:val="22"/>
          <w:lang w:eastAsia="en-GB"/>
        </w:rPr>
        <w:t>The need for complex amendments to be introduced during Session (e.g. once every 4-years, or during Extraordinary CBS sessions by exception) delays initial engagement with Members and pressures premature release of amendments to avoid missing the “once per 4-year” deadline.</w:t>
      </w:r>
      <w:r w:rsidRPr="005173BE">
        <w:rPr>
          <w:rFonts w:ascii="Calibri" w:eastAsia="Times New Roman" w:hAnsi="Calibri" w:cs="Times New Roman"/>
          <w:color w:val="454545"/>
          <w:sz w:val="22"/>
          <w:szCs w:val="22"/>
          <w:lang w:eastAsia="en-GB"/>
        </w:rPr>
        <w:fldChar w:fldCharType="end"/>
      </w:r>
    </w:p>
    <w:p w14:paraId="6290B1D0" w14:textId="77777777" w:rsidR="005173BE" w:rsidRPr="005173BE" w:rsidRDefault="005173BE" w:rsidP="005173BE">
      <w:pPr>
        <w:tabs>
          <w:tab w:val="clear" w:pos="1134"/>
        </w:tabs>
        <w:jc w:val="left"/>
        <w:rPr>
          <w:rFonts w:ascii="Calibri" w:eastAsia="Times New Roman" w:hAnsi="Calibri" w:cs="Times New Roman"/>
          <w:color w:val="454545"/>
          <w:sz w:val="22"/>
          <w:szCs w:val="22"/>
          <w:lang w:eastAsia="en-GB"/>
        </w:rPr>
      </w:pPr>
    </w:p>
    <w:p w14:paraId="6402656E"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w:t>
      </w:r>
    </w:p>
    <w:p w14:paraId="4AFA2A3E" w14:textId="77777777" w:rsidR="005173BE" w:rsidRPr="005173BE" w:rsidRDefault="005173BE" w:rsidP="00606C01">
      <w:pPr>
        <w:numPr>
          <w:ilvl w:val="0"/>
          <w:numId w:val="35"/>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Introduction of FM 241 WMDR-XML “WIGOS Metadata Representation in XML”, a technical specification required to support OSCAR/Surface and the implementation of WIGOS, required approval during session, as it is considered a “complex” change that would result in more than minor financial impact to Members; validation of FM 241 requires engagement with Members to test its utility within functional software systems (rather than paper review), yet it seemed that Members were unwilling, or unable, to implement the draft technical specification because it did not appear in the Manual on Codes; validation of the operational effectiveness of FM 241 could not be completed in time for CBS-16 resulting in it being published with “experimental” status</w:t>
      </w:r>
    </w:p>
    <w:p w14:paraId="7A335AF8" w14:textId="77777777" w:rsidR="005173BE" w:rsidRPr="005173BE" w:rsidRDefault="005173BE" w:rsidP="005173BE">
      <w:pPr>
        <w:tabs>
          <w:tab w:val="clear" w:pos="1134"/>
          <w:tab w:val="left" w:pos="1938"/>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ab/>
      </w:r>
    </w:p>
    <w:p w14:paraId="1F35E31E"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Issue 1.iii:</w:t>
      </w:r>
    </w:p>
    <w:p w14:paraId="7156B5A9" w14:textId="77777777" w:rsidR="005173BE" w:rsidRPr="005173BE" w:rsidRDefault="005173BE" w:rsidP="005173BE">
      <w:pPr>
        <w:tabs>
          <w:tab w:val="clear" w:pos="1134"/>
        </w:tabs>
        <w:jc w:val="left"/>
        <w:rPr>
          <w:rFonts w:ascii="Calibri" w:eastAsia="Calibri" w:hAnsi="Calibri" w:cs="Times New Roman"/>
          <w:color w:val="454545"/>
          <w:sz w:val="22"/>
          <w:lang w:eastAsia="en-GB"/>
        </w:rPr>
      </w:pPr>
      <w:r w:rsidRPr="005173BE">
        <w:rPr>
          <w:rFonts w:ascii="Calibri" w:eastAsia="Calibri" w:hAnsi="Calibri" w:cs="Times New Roman"/>
          <w:color w:val="454545"/>
          <w:sz w:val="22"/>
          <w:lang w:eastAsia="en-GB"/>
        </w:rPr>
        <w:fldChar w:fldCharType="begin"/>
      </w:r>
      <w:r w:rsidRPr="005173BE">
        <w:rPr>
          <w:rFonts w:ascii="Calibri" w:eastAsia="Calibri" w:hAnsi="Calibri" w:cs="Times New Roman"/>
          <w:color w:val="454545"/>
          <w:sz w:val="22"/>
          <w:lang w:eastAsia="en-GB"/>
        </w:rPr>
        <w:instrText xml:space="preserve"> REF issue_1_iii \h </w:instrText>
      </w:r>
      <w:r w:rsidRPr="005173BE">
        <w:rPr>
          <w:rFonts w:ascii="Calibri" w:eastAsia="Calibri" w:hAnsi="Calibri" w:cs="Times New Roman"/>
          <w:color w:val="454545"/>
          <w:sz w:val="22"/>
          <w:lang w:eastAsia="en-GB"/>
        </w:rPr>
      </w:r>
      <w:r w:rsidRPr="005173BE">
        <w:rPr>
          <w:rFonts w:ascii="Calibri" w:eastAsia="Calibri" w:hAnsi="Calibri" w:cs="Times New Roman"/>
          <w:color w:val="454545"/>
          <w:sz w:val="22"/>
          <w:lang w:eastAsia="en-GB"/>
        </w:rPr>
        <w:fldChar w:fldCharType="separate"/>
      </w:r>
      <w:r w:rsidR="007F7A40" w:rsidRPr="005173BE">
        <w:rPr>
          <w:rFonts w:ascii="Calibri" w:eastAsia="Calibri" w:hAnsi="Calibri" w:cs="Times New Roman"/>
          <w:color w:val="454545"/>
          <w:sz w:val="22"/>
          <w:lang w:eastAsia="en-GB"/>
        </w:rPr>
        <w:t>As technical specifications become increasingly complex, it is becoming impossible to assess the efficacy of a technical specification based solely on paper-review, and for Members to fully understand how best they should be implemented.</w:t>
      </w:r>
      <w:r w:rsidRPr="005173BE">
        <w:rPr>
          <w:rFonts w:ascii="Calibri" w:eastAsia="Calibri" w:hAnsi="Calibri" w:cs="Times New Roman"/>
          <w:color w:val="454545"/>
          <w:sz w:val="22"/>
          <w:lang w:eastAsia="en-GB"/>
        </w:rPr>
        <w:fldChar w:fldCharType="end"/>
      </w:r>
    </w:p>
    <w:p w14:paraId="26840457"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p>
    <w:p w14:paraId="31A73F78"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 </w:t>
      </w:r>
    </w:p>
    <w:p w14:paraId="783AAB78" w14:textId="77777777" w:rsidR="005173BE" w:rsidRPr="005173BE" w:rsidRDefault="005173BE" w:rsidP="00606C01">
      <w:pPr>
        <w:numPr>
          <w:ilvl w:val="0"/>
          <w:numId w:val="24"/>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FM 205-15 IWXXM-XML is approximately 50-pages of dense technical specification and requires in-depth knowledge of other technologies, such as XML and Open Geospatial Consortium standards, to fully understand. </w:t>
      </w:r>
    </w:p>
    <w:p w14:paraId="7DD1025E" w14:textId="77777777" w:rsidR="005173BE" w:rsidRPr="005173BE" w:rsidRDefault="005173BE" w:rsidP="005173BE">
      <w:pPr>
        <w:tabs>
          <w:tab w:val="clear" w:pos="1134"/>
        </w:tabs>
        <w:jc w:val="left"/>
        <w:rPr>
          <w:rFonts w:ascii="Calibri" w:eastAsia="Calibri" w:hAnsi="Calibri" w:cs="Times New Roman"/>
          <w:color w:val="454545"/>
          <w:lang w:eastAsia="en-GB"/>
        </w:rPr>
      </w:pPr>
    </w:p>
    <w:p w14:paraId="5654C004"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 xml:space="preserve">Issue 1.iv: </w:t>
      </w:r>
    </w:p>
    <w:p w14:paraId="0C573AA3"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r w:rsidRPr="005173BE">
        <w:rPr>
          <w:rFonts w:ascii="Calibri" w:eastAsia="Calibri" w:hAnsi="Calibri" w:cs="Times New Roman"/>
          <w:color w:val="454545"/>
          <w:sz w:val="22"/>
          <w:lang w:eastAsia="en-GB"/>
        </w:rPr>
        <w:fldChar w:fldCharType="begin"/>
      </w:r>
      <w:r w:rsidRPr="005173BE">
        <w:rPr>
          <w:rFonts w:ascii="Calibri" w:eastAsia="Calibri" w:hAnsi="Calibri" w:cs="Times New Roman"/>
          <w:color w:val="454545"/>
          <w:sz w:val="22"/>
          <w:szCs w:val="22"/>
          <w:lang w:eastAsia="en-GB"/>
        </w:rPr>
        <w:instrText xml:space="preserve"> REF issue_1_iv \h </w:instrText>
      </w:r>
      <w:r w:rsidRPr="005173BE">
        <w:rPr>
          <w:rFonts w:ascii="Calibri" w:eastAsia="Calibri" w:hAnsi="Calibri" w:cs="Times New Roman"/>
          <w:color w:val="454545"/>
          <w:sz w:val="22"/>
          <w:lang w:eastAsia="en-GB"/>
        </w:rPr>
      </w:r>
      <w:r w:rsidRPr="005173BE">
        <w:rPr>
          <w:rFonts w:ascii="Calibri" w:eastAsia="Calibri" w:hAnsi="Calibri" w:cs="Times New Roman"/>
          <w:color w:val="454545"/>
          <w:sz w:val="22"/>
          <w:lang w:eastAsia="en-GB"/>
        </w:rPr>
        <w:fldChar w:fldCharType="separate"/>
      </w:r>
      <w:r w:rsidR="007F7A40" w:rsidRPr="005173BE">
        <w:rPr>
          <w:rFonts w:ascii="Calibri" w:eastAsia="Calibri" w:hAnsi="Calibri" w:cs="Times New Roman"/>
          <w:color w:val="454545"/>
          <w:sz w:val="22"/>
          <w:lang w:eastAsia="en-GB"/>
        </w:rPr>
        <w:t>Ambiguous designation of technical specifications referenced from Technical Regulations makes it difficult to achieve uniform implementation and determine Members’ compliance.</w:t>
      </w:r>
      <w:r w:rsidRPr="005173BE">
        <w:rPr>
          <w:rFonts w:ascii="Calibri" w:eastAsia="Calibri" w:hAnsi="Calibri" w:cs="Times New Roman"/>
          <w:color w:val="454545"/>
          <w:sz w:val="22"/>
          <w:lang w:eastAsia="en-GB"/>
        </w:rPr>
        <w:fldChar w:fldCharType="end"/>
      </w:r>
    </w:p>
    <w:p w14:paraId="0971493F"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p>
    <w:p w14:paraId="5A13BB0B"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w:t>
      </w:r>
    </w:p>
    <w:p w14:paraId="41FB87F0" w14:textId="77777777" w:rsidR="005173BE" w:rsidRPr="005173BE" w:rsidRDefault="005173BE" w:rsidP="00606C01">
      <w:pPr>
        <w:numPr>
          <w:ilvl w:val="0"/>
          <w:numId w:val="11"/>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WMO-No. 1160, Manual on WIGOS, states “2.4.4.1 Members shall report and make available observations in the standard formats specified by the Manual on Codes (WMO-No. 306)”</w:t>
      </w:r>
    </w:p>
    <w:p w14:paraId="699ACE16" w14:textId="77777777" w:rsidR="005173BE" w:rsidRPr="005173BE" w:rsidRDefault="005173BE" w:rsidP="00606C01">
      <w:pPr>
        <w:numPr>
          <w:ilvl w:val="0"/>
          <w:numId w:val="11"/>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 xml:space="preserve">In the most recent edition available from the WMO Library (2013 edition) of WMO-No. 49, Technical Regulations Volume II, the provisions do not reference FM 205-16 IWXXM-XML, but state “if disseminated in digital form shall be formatted in accordance with a globally interoperable information exchange model and shall use extensible </w:t>
      </w:r>
      <w:proofErr w:type="spellStart"/>
      <w:r w:rsidRPr="005173BE">
        <w:rPr>
          <w:rFonts w:ascii="Calibri" w:eastAsia="Times New Roman" w:hAnsi="Calibri" w:cs="Times New Roman"/>
          <w:color w:val="454545"/>
          <w:sz w:val="22"/>
          <w:szCs w:val="22"/>
          <w:lang w:eastAsia="en-GB"/>
        </w:rPr>
        <w:t>markup</w:t>
      </w:r>
      <w:proofErr w:type="spellEnd"/>
      <w:r w:rsidRPr="005173BE">
        <w:rPr>
          <w:rFonts w:ascii="Calibri" w:eastAsia="Times New Roman" w:hAnsi="Calibri" w:cs="Times New Roman"/>
          <w:color w:val="454545"/>
          <w:sz w:val="22"/>
          <w:szCs w:val="22"/>
          <w:lang w:eastAsia="en-GB"/>
        </w:rPr>
        <w:t xml:space="preserve"> language (XML)/geography </w:t>
      </w:r>
      <w:proofErr w:type="spellStart"/>
      <w:r w:rsidRPr="005173BE">
        <w:rPr>
          <w:rFonts w:ascii="Calibri" w:eastAsia="Times New Roman" w:hAnsi="Calibri" w:cs="Times New Roman"/>
          <w:color w:val="454545"/>
          <w:sz w:val="22"/>
          <w:szCs w:val="22"/>
          <w:lang w:eastAsia="en-GB"/>
        </w:rPr>
        <w:t>markup</w:t>
      </w:r>
      <w:proofErr w:type="spellEnd"/>
      <w:r w:rsidRPr="005173BE">
        <w:rPr>
          <w:rFonts w:ascii="Calibri" w:eastAsia="Times New Roman" w:hAnsi="Calibri" w:cs="Times New Roman"/>
          <w:color w:val="454545"/>
          <w:sz w:val="22"/>
          <w:szCs w:val="22"/>
          <w:lang w:eastAsia="en-GB"/>
        </w:rPr>
        <w:t xml:space="preserve"> language (GML).” </w:t>
      </w:r>
    </w:p>
    <w:p w14:paraId="72E12244" w14:textId="77777777" w:rsidR="005173BE" w:rsidRPr="005173BE" w:rsidRDefault="005173BE" w:rsidP="00606C01">
      <w:pPr>
        <w:numPr>
          <w:ilvl w:val="0"/>
          <w:numId w:val="11"/>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lastRenderedPageBreak/>
        <w:t xml:space="preserve">WMO-No. 1160, Manual on WIGOS, Appendix 2.4 WIGOS Metadata Standard does not specify use of WIGOS-XML; the Attachment, section V, states “The most likely implementation will be in XML (Extensible </w:t>
      </w:r>
      <w:proofErr w:type="spellStart"/>
      <w:r w:rsidRPr="005173BE">
        <w:rPr>
          <w:rFonts w:ascii="Calibri" w:eastAsia="Times New Roman" w:hAnsi="Calibri" w:cs="Times New Roman"/>
          <w:color w:val="454545"/>
          <w:sz w:val="22"/>
          <w:szCs w:val="22"/>
          <w:lang w:eastAsia="en-GB"/>
        </w:rPr>
        <w:t>Markup</w:t>
      </w:r>
      <w:proofErr w:type="spellEnd"/>
      <w:r w:rsidRPr="005173BE">
        <w:rPr>
          <w:rFonts w:ascii="Calibri" w:eastAsia="Times New Roman" w:hAnsi="Calibri" w:cs="Times New Roman"/>
          <w:color w:val="454545"/>
          <w:sz w:val="22"/>
          <w:szCs w:val="22"/>
          <w:lang w:eastAsia="en-GB"/>
        </w:rPr>
        <w:t xml:space="preserve"> Language), […]”. … this is probably a good thing as Decision 8 (CBS-16) adopted FM 241 WMDR-XML “WIGOS Metadata Representation in XML” only for experimental use</w:t>
      </w:r>
    </w:p>
    <w:p w14:paraId="41EC89B5" w14:textId="77777777" w:rsidR="005173BE" w:rsidRPr="005173BE" w:rsidRDefault="005173BE" w:rsidP="005173BE">
      <w:pPr>
        <w:tabs>
          <w:tab w:val="clear" w:pos="1134"/>
        </w:tabs>
        <w:jc w:val="left"/>
        <w:rPr>
          <w:rFonts w:ascii="Calibri" w:eastAsia="Times New Roman" w:hAnsi="Calibri" w:cs="Times New Roman"/>
          <w:color w:val="454545"/>
          <w:sz w:val="22"/>
          <w:szCs w:val="22"/>
          <w:lang w:eastAsia="en-GB"/>
        </w:rPr>
      </w:pPr>
    </w:p>
    <w:p w14:paraId="2A6BBA19"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Issue 2.i:</w:t>
      </w:r>
    </w:p>
    <w:p w14:paraId="01CF26A7"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r w:rsidRPr="005173BE">
        <w:rPr>
          <w:rFonts w:ascii="Calibri" w:eastAsia="Calibri" w:hAnsi="Calibri" w:cs="Times New Roman"/>
          <w:color w:val="454545"/>
          <w:sz w:val="22"/>
          <w:szCs w:val="22"/>
          <w:lang w:eastAsia="en-GB"/>
        </w:rPr>
        <w:fldChar w:fldCharType="begin"/>
      </w:r>
      <w:r w:rsidRPr="005173BE">
        <w:rPr>
          <w:rFonts w:ascii="Calibri" w:eastAsia="Calibri" w:hAnsi="Calibri" w:cs="Times New Roman"/>
          <w:color w:val="454545"/>
          <w:sz w:val="22"/>
          <w:szCs w:val="22"/>
          <w:lang w:eastAsia="en-GB"/>
        </w:rPr>
        <w:instrText xml:space="preserve"> REF issue_2_i \h </w:instrText>
      </w:r>
      <w:r w:rsidRPr="005173BE">
        <w:rPr>
          <w:rFonts w:ascii="Calibri" w:eastAsia="Calibri" w:hAnsi="Calibri" w:cs="Times New Roman"/>
          <w:color w:val="454545"/>
          <w:sz w:val="22"/>
          <w:szCs w:val="22"/>
          <w:lang w:eastAsia="en-GB"/>
        </w:rPr>
      </w:r>
      <w:r w:rsidRPr="005173BE">
        <w:rPr>
          <w:rFonts w:ascii="Calibri" w:eastAsia="Calibri" w:hAnsi="Calibri" w:cs="Times New Roman"/>
          <w:color w:val="454545"/>
          <w:sz w:val="22"/>
          <w:szCs w:val="22"/>
          <w:lang w:eastAsia="en-GB"/>
        </w:rPr>
        <w:fldChar w:fldCharType="separate"/>
      </w:r>
      <w:r w:rsidR="007F7A40" w:rsidRPr="005173BE">
        <w:rPr>
          <w:rFonts w:ascii="Calibri" w:eastAsia="Calibri" w:hAnsi="Calibri" w:cs="Times New Roman"/>
          <w:color w:val="454545"/>
          <w:sz w:val="22"/>
          <w:lang w:eastAsia="en-GB"/>
        </w:rPr>
        <w:t>There is an increasing demand on the Commission to support Members in responding to strategic changes; the budget available to support the work of the Commission is not increasing.</w:t>
      </w:r>
      <w:r w:rsidRPr="005173BE">
        <w:rPr>
          <w:rFonts w:ascii="Calibri" w:eastAsia="Calibri" w:hAnsi="Calibri" w:cs="Times New Roman"/>
          <w:color w:val="454545"/>
          <w:sz w:val="22"/>
          <w:szCs w:val="22"/>
          <w:lang w:eastAsia="en-GB"/>
        </w:rPr>
        <w:fldChar w:fldCharType="end"/>
      </w:r>
    </w:p>
    <w:p w14:paraId="030A98C8"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p>
    <w:p w14:paraId="4893E868"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w:t>
      </w:r>
    </w:p>
    <w:p w14:paraId="6D47ADA6" w14:textId="77777777" w:rsidR="005173BE" w:rsidRPr="005173BE" w:rsidRDefault="005173BE" w:rsidP="00606C01">
      <w:pPr>
        <w:numPr>
          <w:ilvl w:val="0"/>
          <w:numId w:val="17"/>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Decision 15 (CBS-16) summarises the challenges identified by Members during CBS TECO (2016) “Emerging trends in information and its use”</w:t>
      </w:r>
    </w:p>
    <w:p w14:paraId="71DDA3A0" w14:textId="77777777" w:rsidR="005173BE" w:rsidRPr="005173BE" w:rsidRDefault="005173BE" w:rsidP="00606C01">
      <w:pPr>
        <w:numPr>
          <w:ilvl w:val="0"/>
          <w:numId w:val="17"/>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The Annex to Recommendation 35 (CBS-16) provides the WIS 2.0 strategy; the strategy is designed to meet the needs of Members in responding to technical and societal changes but will require Members to adopt new practices, procedures and technologies and, therefore, for the Commission to provide support to Members during their implementation.</w:t>
      </w:r>
    </w:p>
    <w:p w14:paraId="5EDB27BC" w14:textId="77777777" w:rsidR="005173BE" w:rsidRPr="005173BE" w:rsidRDefault="005173BE" w:rsidP="005173BE">
      <w:pPr>
        <w:tabs>
          <w:tab w:val="clear" w:pos="1134"/>
        </w:tabs>
        <w:jc w:val="left"/>
        <w:rPr>
          <w:rFonts w:ascii="Calibri" w:eastAsia="Times New Roman" w:hAnsi="Calibri" w:cs="Times New Roman"/>
          <w:color w:val="454545"/>
          <w:sz w:val="22"/>
          <w:szCs w:val="22"/>
          <w:lang w:eastAsia="en-GB"/>
        </w:rPr>
      </w:pPr>
    </w:p>
    <w:p w14:paraId="189045D2"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Issue 2.ii:</w:t>
      </w:r>
    </w:p>
    <w:p w14:paraId="71D339B1"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r w:rsidRPr="005173BE">
        <w:rPr>
          <w:rFonts w:ascii="Calibri" w:eastAsia="Calibri" w:hAnsi="Calibri" w:cs="Times New Roman"/>
          <w:color w:val="454545"/>
          <w:sz w:val="22"/>
          <w:szCs w:val="22"/>
          <w:lang w:eastAsia="en-GB"/>
        </w:rPr>
        <w:fldChar w:fldCharType="begin"/>
      </w:r>
      <w:r w:rsidRPr="005173BE">
        <w:rPr>
          <w:rFonts w:ascii="Calibri" w:eastAsia="Calibri" w:hAnsi="Calibri" w:cs="Times New Roman"/>
          <w:color w:val="454545"/>
          <w:sz w:val="22"/>
          <w:szCs w:val="22"/>
          <w:lang w:eastAsia="en-GB"/>
        </w:rPr>
        <w:instrText xml:space="preserve"> REF issue_2_ii \h </w:instrText>
      </w:r>
      <w:r w:rsidRPr="005173BE">
        <w:rPr>
          <w:rFonts w:ascii="Calibri" w:eastAsia="Calibri" w:hAnsi="Calibri" w:cs="Times New Roman"/>
          <w:color w:val="454545"/>
          <w:sz w:val="22"/>
          <w:szCs w:val="22"/>
          <w:lang w:eastAsia="en-GB"/>
        </w:rPr>
      </w:r>
      <w:r w:rsidRPr="005173BE">
        <w:rPr>
          <w:rFonts w:ascii="Calibri" w:eastAsia="Calibri" w:hAnsi="Calibri" w:cs="Times New Roman"/>
          <w:color w:val="454545"/>
          <w:sz w:val="22"/>
          <w:szCs w:val="22"/>
          <w:lang w:eastAsia="en-GB"/>
        </w:rPr>
        <w:fldChar w:fldCharType="separate"/>
      </w:r>
      <w:r w:rsidR="007F7A40" w:rsidRPr="005173BE">
        <w:rPr>
          <w:rFonts w:ascii="Calibri" w:eastAsia="Calibri" w:hAnsi="Calibri" w:cs="Times New Roman"/>
          <w:color w:val="454545"/>
          <w:sz w:val="22"/>
          <w:lang w:eastAsia="en-GB"/>
        </w:rPr>
        <w:t>Members lack the forward visibility of planned and pending changes to Technical Regulations needed to be able to plan for implementation of those changes once adopted, or to engage with the designated committee during the preparation of those changes. </w:t>
      </w:r>
      <w:r w:rsidRPr="005173BE">
        <w:rPr>
          <w:rFonts w:ascii="Calibri" w:eastAsia="Calibri" w:hAnsi="Calibri" w:cs="Times New Roman"/>
          <w:color w:val="454545"/>
          <w:sz w:val="22"/>
          <w:szCs w:val="22"/>
          <w:lang w:eastAsia="en-GB"/>
        </w:rPr>
        <w:fldChar w:fldCharType="end"/>
      </w:r>
      <w:r w:rsidRPr="005173BE">
        <w:rPr>
          <w:rFonts w:ascii="Calibri" w:eastAsia="Calibri" w:hAnsi="Calibri" w:cs="Times New Roman"/>
          <w:color w:val="454545"/>
          <w:sz w:val="22"/>
          <w:szCs w:val="22"/>
          <w:lang w:eastAsia="en-GB"/>
        </w:rPr>
        <w:t> </w:t>
      </w:r>
    </w:p>
    <w:p w14:paraId="4F59222D"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p>
    <w:p w14:paraId="29810153"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w:t>
      </w:r>
    </w:p>
    <w:p w14:paraId="551C92FC" w14:textId="77777777" w:rsidR="005173BE" w:rsidRPr="005173BE" w:rsidRDefault="005173BE" w:rsidP="00606C01">
      <w:pPr>
        <w:numPr>
          <w:ilvl w:val="0"/>
          <w:numId w:val="14"/>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Ireland lacked the certainty needed to plan the implementation of FM 205-16 IWXXM-XML in response to Amendment 78 to ICAO Annex 3 (WMO-No. 49, Volume II) due to their perception that the technical specification was still likely to change (note: Ireland’s implementation requires contractual arrangements with commercial suppliers)</w:t>
      </w:r>
    </w:p>
    <w:p w14:paraId="443FB27A" w14:textId="77777777" w:rsidR="005173BE" w:rsidRPr="005173BE" w:rsidRDefault="005173BE" w:rsidP="00606C01">
      <w:pPr>
        <w:numPr>
          <w:ilvl w:val="0"/>
          <w:numId w:val="14"/>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Members are struggling to release experts to contribute to the work of the Commission - perhaps due to the open-ended nature of such a commitment and an inability to determine the relevance of specific activities to their needs (or perhaps even identify the activities at all!) </w:t>
      </w:r>
    </w:p>
    <w:p w14:paraId="5AAEBF7F" w14:textId="77777777" w:rsidR="005173BE" w:rsidRPr="005173BE" w:rsidRDefault="005173BE" w:rsidP="005173BE">
      <w:pPr>
        <w:tabs>
          <w:tab w:val="clear" w:pos="1134"/>
        </w:tabs>
        <w:jc w:val="left"/>
        <w:rPr>
          <w:rFonts w:ascii="Calibri" w:eastAsia="Calibri" w:hAnsi="Calibri" w:cs="Times New Roman"/>
          <w:sz w:val="22"/>
          <w:szCs w:val="22"/>
        </w:rPr>
      </w:pPr>
    </w:p>
    <w:p w14:paraId="7CF5486B"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 xml:space="preserve">Issue 2.iii: </w:t>
      </w:r>
    </w:p>
    <w:p w14:paraId="68E8368A"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r w:rsidRPr="005173BE">
        <w:rPr>
          <w:rFonts w:ascii="Calibri" w:eastAsia="Calibri" w:hAnsi="Calibri" w:cs="Times New Roman"/>
          <w:color w:val="454545"/>
          <w:sz w:val="22"/>
          <w:szCs w:val="22"/>
          <w:lang w:eastAsia="en-GB"/>
        </w:rPr>
        <w:fldChar w:fldCharType="begin"/>
      </w:r>
      <w:r w:rsidRPr="005173BE">
        <w:rPr>
          <w:rFonts w:ascii="Calibri" w:eastAsia="Calibri" w:hAnsi="Calibri" w:cs="Times New Roman"/>
          <w:color w:val="454545"/>
          <w:sz w:val="22"/>
          <w:szCs w:val="22"/>
          <w:lang w:eastAsia="en-GB"/>
        </w:rPr>
        <w:instrText xml:space="preserve"> REF issue_2_iii \h </w:instrText>
      </w:r>
      <w:r w:rsidRPr="005173BE">
        <w:rPr>
          <w:rFonts w:ascii="Calibri" w:eastAsia="Calibri" w:hAnsi="Calibri" w:cs="Times New Roman"/>
          <w:color w:val="454545"/>
          <w:sz w:val="22"/>
          <w:szCs w:val="22"/>
          <w:lang w:eastAsia="en-GB"/>
        </w:rPr>
      </w:r>
      <w:r w:rsidRPr="005173BE">
        <w:rPr>
          <w:rFonts w:ascii="Calibri" w:eastAsia="Calibri" w:hAnsi="Calibri" w:cs="Times New Roman"/>
          <w:color w:val="454545"/>
          <w:sz w:val="22"/>
          <w:szCs w:val="22"/>
          <w:lang w:eastAsia="en-GB"/>
        </w:rPr>
        <w:fldChar w:fldCharType="separate"/>
      </w:r>
      <w:r w:rsidR="007F7A40" w:rsidRPr="005173BE">
        <w:rPr>
          <w:rFonts w:ascii="Calibri" w:eastAsia="Calibri" w:hAnsi="Calibri" w:cs="Times New Roman"/>
          <w:color w:val="454545"/>
          <w:sz w:val="22"/>
          <w:lang w:eastAsia="en-GB"/>
        </w:rPr>
        <w:t>The adoption schedule for Technical Regulations is disconnected from the approval schedule for associated technical specification(s).</w:t>
      </w:r>
      <w:r w:rsidRPr="005173BE">
        <w:rPr>
          <w:rFonts w:ascii="Calibri" w:eastAsia="Calibri" w:hAnsi="Calibri" w:cs="Times New Roman"/>
          <w:color w:val="454545"/>
          <w:sz w:val="22"/>
          <w:szCs w:val="22"/>
          <w:lang w:eastAsia="en-GB"/>
        </w:rPr>
        <w:fldChar w:fldCharType="end"/>
      </w:r>
    </w:p>
    <w:p w14:paraId="2F814E22"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p>
    <w:p w14:paraId="0E9F4DD0"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w:t>
      </w:r>
    </w:p>
    <w:p w14:paraId="1078E7C7" w14:textId="77777777" w:rsidR="005173BE" w:rsidRPr="005173BE" w:rsidRDefault="005173BE" w:rsidP="00606C01">
      <w:pPr>
        <w:numPr>
          <w:ilvl w:val="0"/>
          <w:numId w:val="12"/>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Schedule for adoption of Amendments to ICAO Annex 3 (WMO-No. 49, Volume II), specifically Amendment 78, did not allow time for sufficient validation of the associated technical specification, FM 205-16 IWXXM-XML, such that Members were not sufficiently confident in the stability of the technical specification and thus their capacity to implement it in accordance with the pending Technical Regulations</w:t>
      </w:r>
    </w:p>
    <w:p w14:paraId="09606E26" w14:textId="77777777" w:rsidR="005173BE" w:rsidRPr="005173BE" w:rsidRDefault="005173BE" w:rsidP="00606C01">
      <w:pPr>
        <w:numPr>
          <w:ilvl w:val="0"/>
          <w:numId w:val="12"/>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Provisions in WMO-No. 1160, Manual on WIGOS, (e.g. the need for Members to share information on observing system capability “WIGOS Metadata” as specified in Appendix 2.4 WIGOS Metadata Standard) are to be implemented in three phases from 2016 to 2020. Failing to recommend technical specification FM 241 WMDR-XML</w:t>
      </w:r>
      <w:r w:rsidRPr="005173BE">
        <w:rPr>
          <w:rFonts w:ascii="Calibri" w:eastAsia="Times New Roman" w:hAnsi="Calibri" w:cs="Times New Roman"/>
          <w:i/>
          <w:iCs/>
          <w:color w:val="454545"/>
          <w:sz w:val="22"/>
          <w:szCs w:val="22"/>
          <w:lang w:eastAsia="en-GB"/>
        </w:rPr>
        <w:t xml:space="preserve"> </w:t>
      </w:r>
      <w:r w:rsidRPr="005173BE">
        <w:rPr>
          <w:rFonts w:ascii="Calibri" w:eastAsia="Times New Roman" w:hAnsi="Calibri" w:cs="Times New Roman"/>
          <w:color w:val="454545"/>
          <w:sz w:val="22"/>
          <w:szCs w:val="22"/>
          <w:lang w:eastAsia="en-GB"/>
        </w:rPr>
        <w:t>during CBS-16 for subsequent approval by EC would mean waiting until CBS-17 and EC-73 (in 2021) - after phased implementation ends. FM 241 WMDR-XML lacked sufficient validation to be recommended for operational use, although it has been adopted for experimental use. </w:t>
      </w:r>
    </w:p>
    <w:p w14:paraId="536E6BC4" w14:textId="77777777" w:rsidR="005173BE" w:rsidRPr="005173BE" w:rsidRDefault="005173BE" w:rsidP="005173BE">
      <w:pPr>
        <w:tabs>
          <w:tab w:val="clear" w:pos="1134"/>
        </w:tabs>
        <w:jc w:val="left"/>
        <w:rPr>
          <w:rFonts w:ascii="Calibri" w:eastAsia="Times New Roman" w:hAnsi="Calibri" w:cs="Times New Roman"/>
          <w:color w:val="454545"/>
          <w:sz w:val="22"/>
          <w:szCs w:val="22"/>
          <w:lang w:eastAsia="en-GB"/>
        </w:rPr>
      </w:pPr>
    </w:p>
    <w:p w14:paraId="4E290E60"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Issue 2.iv:</w:t>
      </w:r>
    </w:p>
    <w:p w14:paraId="1819605B"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r w:rsidRPr="005173BE">
        <w:rPr>
          <w:rFonts w:ascii="Calibri" w:eastAsia="Calibri" w:hAnsi="Calibri" w:cs="Times New Roman"/>
          <w:color w:val="454545"/>
          <w:sz w:val="22"/>
          <w:szCs w:val="22"/>
          <w:lang w:eastAsia="en-GB"/>
        </w:rPr>
        <w:fldChar w:fldCharType="begin"/>
      </w:r>
      <w:r w:rsidRPr="005173BE">
        <w:rPr>
          <w:rFonts w:ascii="Calibri" w:eastAsia="Calibri" w:hAnsi="Calibri" w:cs="Times New Roman"/>
          <w:color w:val="454545"/>
          <w:sz w:val="22"/>
          <w:szCs w:val="22"/>
          <w:lang w:eastAsia="en-GB"/>
        </w:rPr>
        <w:instrText xml:space="preserve"> REF issue_2_iv \h </w:instrText>
      </w:r>
      <w:r w:rsidRPr="005173BE">
        <w:rPr>
          <w:rFonts w:ascii="Calibri" w:eastAsia="Calibri" w:hAnsi="Calibri" w:cs="Times New Roman"/>
          <w:color w:val="454545"/>
          <w:sz w:val="22"/>
          <w:szCs w:val="22"/>
          <w:lang w:eastAsia="en-GB"/>
        </w:rPr>
      </w:r>
      <w:r w:rsidRPr="005173BE">
        <w:rPr>
          <w:rFonts w:ascii="Calibri" w:eastAsia="Calibri" w:hAnsi="Calibri" w:cs="Times New Roman"/>
          <w:color w:val="454545"/>
          <w:sz w:val="22"/>
          <w:szCs w:val="22"/>
          <w:lang w:eastAsia="en-GB"/>
        </w:rPr>
        <w:fldChar w:fldCharType="separate"/>
      </w:r>
      <w:r w:rsidR="007F7A40" w:rsidRPr="005173BE">
        <w:rPr>
          <w:rFonts w:ascii="Calibri" w:eastAsia="Calibri" w:hAnsi="Calibri" w:cs="Times New Roman"/>
          <w:color w:val="454545"/>
          <w:sz w:val="22"/>
          <w:lang w:eastAsia="en-GB"/>
        </w:rPr>
        <w:t>The boundaries between the work of each Open Programme Area Group are blurring.</w:t>
      </w:r>
      <w:r w:rsidRPr="005173BE">
        <w:rPr>
          <w:rFonts w:ascii="Calibri" w:eastAsia="Calibri" w:hAnsi="Calibri" w:cs="Times New Roman"/>
          <w:color w:val="454545"/>
          <w:sz w:val="22"/>
          <w:szCs w:val="22"/>
          <w:lang w:eastAsia="en-GB"/>
        </w:rPr>
        <w:fldChar w:fldCharType="end"/>
      </w:r>
    </w:p>
    <w:p w14:paraId="2092309E"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p>
    <w:p w14:paraId="235FE1A9"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w:t>
      </w:r>
    </w:p>
    <w:p w14:paraId="3060D614" w14:textId="77777777" w:rsidR="005173BE" w:rsidRPr="005173BE" w:rsidRDefault="005173BE" w:rsidP="00606C01">
      <w:pPr>
        <w:numPr>
          <w:ilvl w:val="0"/>
          <w:numId w:val="13"/>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The development of WIS 2.0, under the purview of OPAG-ISS, will affect how new services are designed and operated by Members, overlapping with the concerns of OPAG-PWS regarding the strategy for integrated service delivery</w:t>
      </w:r>
    </w:p>
    <w:p w14:paraId="0E019443" w14:textId="77777777" w:rsidR="005173BE" w:rsidRPr="005173BE" w:rsidRDefault="005173BE" w:rsidP="00606C01">
      <w:pPr>
        <w:numPr>
          <w:ilvl w:val="0"/>
          <w:numId w:val="13"/>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OPAG-PWS planned to create a team concerned with “big data” (although the scope was later modified to focus on issues relating to crowd-sourced data) - an area in which OPAG-ISS has significant expertise</w:t>
      </w:r>
    </w:p>
    <w:p w14:paraId="6DA17D64" w14:textId="77777777" w:rsidR="005173BE" w:rsidRPr="005173BE" w:rsidRDefault="005173BE" w:rsidP="005173BE">
      <w:pPr>
        <w:tabs>
          <w:tab w:val="clear" w:pos="1134"/>
        </w:tabs>
        <w:jc w:val="left"/>
        <w:rPr>
          <w:rFonts w:ascii="Calibri" w:eastAsia="Times New Roman" w:hAnsi="Calibri" w:cs="Times New Roman"/>
          <w:color w:val="454545"/>
          <w:sz w:val="22"/>
          <w:szCs w:val="22"/>
          <w:lang w:eastAsia="en-GB"/>
        </w:rPr>
      </w:pPr>
    </w:p>
    <w:p w14:paraId="6754683A"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Issue 2.v:</w:t>
      </w:r>
    </w:p>
    <w:p w14:paraId="2C2F5F80" w14:textId="77777777" w:rsidR="005173BE" w:rsidRPr="005173BE" w:rsidRDefault="005173BE" w:rsidP="005173BE">
      <w:pPr>
        <w:tabs>
          <w:tab w:val="clear" w:pos="1134"/>
        </w:tabs>
        <w:jc w:val="left"/>
        <w:rPr>
          <w:rFonts w:ascii="Calibri" w:eastAsia="Calibri" w:hAnsi="Calibri" w:cs="Times New Roman"/>
          <w:sz w:val="22"/>
          <w:szCs w:val="22"/>
          <w:lang w:eastAsia="en-GB"/>
        </w:rPr>
      </w:pPr>
      <w:r w:rsidRPr="005173BE">
        <w:rPr>
          <w:rFonts w:ascii="Calibri" w:eastAsia="Calibri" w:hAnsi="Calibri" w:cs="Times New Roman"/>
          <w:sz w:val="22"/>
          <w:szCs w:val="22"/>
          <w:lang w:eastAsia="en-GB"/>
        </w:rPr>
        <w:fldChar w:fldCharType="begin"/>
      </w:r>
      <w:r w:rsidRPr="005173BE">
        <w:rPr>
          <w:rFonts w:ascii="Calibri" w:eastAsia="Calibri" w:hAnsi="Calibri" w:cs="Times New Roman"/>
          <w:sz w:val="22"/>
          <w:szCs w:val="22"/>
          <w:lang w:eastAsia="en-GB"/>
        </w:rPr>
        <w:instrText xml:space="preserve"> REF issue_2_v \h </w:instrText>
      </w:r>
      <w:r w:rsidRPr="005173BE">
        <w:rPr>
          <w:rFonts w:ascii="Calibri" w:eastAsia="Calibri" w:hAnsi="Calibri" w:cs="Times New Roman"/>
          <w:sz w:val="22"/>
          <w:szCs w:val="22"/>
          <w:lang w:eastAsia="en-GB"/>
        </w:rPr>
      </w:r>
      <w:r w:rsidRPr="005173BE">
        <w:rPr>
          <w:rFonts w:ascii="Calibri" w:eastAsia="Calibri" w:hAnsi="Calibri" w:cs="Times New Roman"/>
          <w:sz w:val="22"/>
          <w:szCs w:val="22"/>
          <w:lang w:eastAsia="en-GB"/>
        </w:rPr>
        <w:fldChar w:fldCharType="separate"/>
      </w:r>
      <w:r w:rsidR="007F7A40" w:rsidRPr="005173BE">
        <w:rPr>
          <w:rFonts w:ascii="Calibri" w:eastAsia="Calibri" w:hAnsi="Calibri" w:cs="Times New Roman"/>
          <w:color w:val="454545"/>
          <w:sz w:val="22"/>
          <w:lang w:eastAsia="en-GB"/>
        </w:rPr>
        <w:t>The existing provisions for amending work plans and membership of the Commission’s constituent teams between Sessions are not well used, thereby reducing the ability of the Commission to respond to emerging issues in a timely manner.</w:t>
      </w:r>
      <w:r w:rsidRPr="005173BE">
        <w:rPr>
          <w:rFonts w:ascii="Calibri" w:eastAsia="Calibri" w:hAnsi="Calibri" w:cs="Times New Roman"/>
          <w:sz w:val="22"/>
          <w:szCs w:val="22"/>
          <w:lang w:eastAsia="en-GB"/>
        </w:rPr>
        <w:fldChar w:fldCharType="end"/>
      </w:r>
    </w:p>
    <w:p w14:paraId="306F7097" w14:textId="77777777" w:rsidR="005173BE" w:rsidRPr="005173BE" w:rsidRDefault="005173BE" w:rsidP="005173BE">
      <w:pPr>
        <w:tabs>
          <w:tab w:val="clear" w:pos="1134"/>
        </w:tabs>
        <w:jc w:val="left"/>
        <w:rPr>
          <w:rFonts w:ascii="Calibri" w:eastAsia="Calibri" w:hAnsi="Calibri" w:cs="Times New Roman"/>
          <w:sz w:val="22"/>
          <w:szCs w:val="22"/>
          <w:lang w:eastAsia="en-GB"/>
        </w:rPr>
      </w:pPr>
    </w:p>
    <w:p w14:paraId="3E3F2872"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w:t>
      </w:r>
    </w:p>
    <w:p w14:paraId="17FF8438" w14:textId="77777777" w:rsidR="005173BE" w:rsidRPr="005173BE" w:rsidRDefault="005173BE" w:rsidP="00606C01">
      <w:pPr>
        <w:numPr>
          <w:ilvl w:val="0"/>
          <w:numId w:val="31"/>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As the intersessional period concludes, expert teams (in OPAG-ISS - and probably other OPAGs too) prepare a work plan for the next intersessional period; at the beginning of the intersessional period, the chairpersons of expert teams identify the membership of their teams based on, amongst other factors, the work plan developed in the previous intersessional period; although work plans may be updated, the main work items for an expert team are largely fixed for a four-year period and do not allow flexibility to adapt to emerging concerns - perhaps because the membership is selected on the basis of how their skills and capabilities match the original work plan</w:t>
      </w:r>
    </w:p>
    <w:p w14:paraId="408013E9" w14:textId="77777777" w:rsidR="005173BE" w:rsidRPr="005173BE" w:rsidRDefault="005173BE" w:rsidP="005173BE">
      <w:pPr>
        <w:tabs>
          <w:tab w:val="clear" w:pos="1134"/>
        </w:tabs>
        <w:jc w:val="left"/>
        <w:rPr>
          <w:rFonts w:ascii="Calibri" w:eastAsia="Times New Roman" w:hAnsi="Calibri" w:cs="Times New Roman"/>
          <w:color w:val="454545"/>
          <w:sz w:val="22"/>
          <w:szCs w:val="22"/>
          <w:lang w:eastAsia="en-GB"/>
        </w:rPr>
      </w:pPr>
    </w:p>
    <w:p w14:paraId="0C88BAFF"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Issue 3.i:</w:t>
      </w:r>
    </w:p>
    <w:p w14:paraId="747A8AF2"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r w:rsidRPr="005173BE">
        <w:rPr>
          <w:rFonts w:ascii="Calibri" w:eastAsia="Calibri" w:hAnsi="Calibri" w:cs="Times New Roman"/>
          <w:color w:val="454545"/>
          <w:sz w:val="22"/>
          <w:szCs w:val="22"/>
          <w:lang w:eastAsia="en-GB"/>
        </w:rPr>
        <w:fldChar w:fldCharType="begin"/>
      </w:r>
      <w:r w:rsidRPr="005173BE">
        <w:rPr>
          <w:rFonts w:ascii="Calibri" w:eastAsia="Calibri" w:hAnsi="Calibri" w:cs="Times New Roman"/>
          <w:color w:val="454545"/>
          <w:sz w:val="22"/>
          <w:szCs w:val="22"/>
          <w:lang w:eastAsia="en-GB"/>
        </w:rPr>
        <w:instrText xml:space="preserve"> REF issue_3_i \h </w:instrText>
      </w:r>
      <w:r w:rsidRPr="005173BE">
        <w:rPr>
          <w:rFonts w:ascii="Calibri" w:eastAsia="Calibri" w:hAnsi="Calibri" w:cs="Times New Roman"/>
          <w:color w:val="454545"/>
          <w:sz w:val="22"/>
          <w:szCs w:val="22"/>
          <w:lang w:eastAsia="en-GB"/>
        </w:rPr>
      </w:r>
      <w:r w:rsidRPr="005173BE">
        <w:rPr>
          <w:rFonts w:ascii="Calibri" w:eastAsia="Calibri" w:hAnsi="Calibri" w:cs="Times New Roman"/>
          <w:color w:val="454545"/>
          <w:sz w:val="22"/>
          <w:szCs w:val="22"/>
          <w:lang w:eastAsia="en-GB"/>
        </w:rPr>
        <w:fldChar w:fldCharType="separate"/>
      </w:r>
      <w:r w:rsidR="007F7A40" w:rsidRPr="005173BE">
        <w:rPr>
          <w:rFonts w:ascii="Calibri" w:eastAsia="Calibri" w:hAnsi="Calibri" w:cs="Times New Roman"/>
          <w:color w:val="454545"/>
          <w:sz w:val="22"/>
          <w:lang w:eastAsia="en-GB"/>
        </w:rPr>
        <w:t>There is a chronic (and sometimes acute) lack of experts with the necessary skills and capabilities to deliver technical work items of the Commission.</w:t>
      </w:r>
      <w:r w:rsidRPr="005173BE">
        <w:rPr>
          <w:rFonts w:ascii="Calibri" w:eastAsia="Calibri" w:hAnsi="Calibri" w:cs="Times New Roman"/>
          <w:color w:val="454545"/>
          <w:sz w:val="22"/>
          <w:szCs w:val="22"/>
          <w:lang w:eastAsia="en-GB"/>
        </w:rPr>
        <w:fldChar w:fldCharType="end"/>
      </w:r>
    </w:p>
    <w:p w14:paraId="1C315C9A" w14:textId="77777777" w:rsidR="005173BE" w:rsidRPr="005173BE" w:rsidRDefault="005173BE" w:rsidP="005173BE">
      <w:pPr>
        <w:tabs>
          <w:tab w:val="clear" w:pos="1134"/>
        </w:tabs>
        <w:jc w:val="left"/>
        <w:rPr>
          <w:rFonts w:ascii="Calibri" w:eastAsia="Calibri" w:hAnsi="Calibri" w:cs="Times New Roman"/>
          <w:color w:val="454545"/>
          <w:sz w:val="22"/>
          <w:szCs w:val="22"/>
          <w:lang w:eastAsia="en-GB"/>
        </w:rPr>
      </w:pPr>
    </w:p>
    <w:p w14:paraId="2CBA4EFF"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t>Examples:</w:t>
      </w:r>
    </w:p>
    <w:p w14:paraId="02755852" w14:textId="77777777" w:rsidR="005173BE" w:rsidRPr="005173BE" w:rsidRDefault="005173BE" w:rsidP="00606C01">
      <w:pPr>
        <w:numPr>
          <w:ilvl w:val="0"/>
          <w:numId w:val="15"/>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Much of the development of FM 205-16 IWXXM-XML was undertaken by only two experts (from US and HK/China)</w:t>
      </w:r>
    </w:p>
    <w:p w14:paraId="6AC9E06F" w14:textId="77777777" w:rsidR="005173BE" w:rsidRPr="005173BE" w:rsidRDefault="005173BE" w:rsidP="00606C01">
      <w:pPr>
        <w:numPr>
          <w:ilvl w:val="0"/>
          <w:numId w:val="15"/>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 xml:space="preserve">Much of the development of FM 241 WMDR-XML was undertaken by only two experts (from Australia and Switzerland) </w:t>
      </w:r>
    </w:p>
    <w:p w14:paraId="5DB3E754" w14:textId="77777777" w:rsidR="005173BE" w:rsidRPr="005173BE" w:rsidRDefault="005173BE" w:rsidP="00606C01">
      <w:pPr>
        <w:numPr>
          <w:ilvl w:val="0"/>
          <w:numId w:val="15"/>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The bulk of the output of ET/COPE (OPAG-PWS) in the last intersessional period was provided by the chair of the expert team and one other member; the team has been discontinued due to the lack of available experts with the necessary expertise and experience </w:t>
      </w:r>
    </w:p>
    <w:p w14:paraId="59BE6CBD" w14:textId="77777777" w:rsidR="005173BE" w:rsidRPr="005173BE" w:rsidRDefault="005173BE" w:rsidP="005173BE">
      <w:pPr>
        <w:tabs>
          <w:tab w:val="clear" w:pos="1134"/>
        </w:tabs>
        <w:jc w:val="left"/>
        <w:rPr>
          <w:rFonts w:ascii="Calibri" w:eastAsia="Times New Roman" w:hAnsi="Calibri" w:cs="Times New Roman"/>
          <w:color w:val="454545"/>
          <w:lang w:eastAsia="en-GB"/>
        </w:rPr>
      </w:pPr>
    </w:p>
    <w:p w14:paraId="795E65B9" w14:textId="77777777" w:rsidR="005173BE" w:rsidRPr="005173BE" w:rsidRDefault="005173BE" w:rsidP="005173BE">
      <w:pPr>
        <w:keepNext/>
        <w:keepLines/>
        <w:tabs>
          <w:tab w:val="clear" w:pos="1134"/>
        </w:tabs>
        <w:spacing w:before="40"/>
        <w:jc w:val="left"/>
        <w:outlineLvl w:val="1"/>
        <w:rPr>
          <w:rFonts w:ascii="Calibri Light" w:eastAsia="Times New Roman" w:hAnsi="Calibri Light" w:cs="Times New Roman"/>
          <w:color w:val="2F5496"/>
          <w:sz w:val="32"/>
          <w:szCs w:val="32"/>
          <w:lang w:eastAsia="en-GB"/>
        </w:rPr>
      </w:pPr>
      <w:r w:rsidRPr="005173BE">
        <w:rPr>
          <w:rFonts w:ascii="Calibri Light" w:eastAsia="Times New Roman" w:hAnsi="Calibri Light" w:cs="Times New Roman"/>
          <w:color w:val="2F5496"/>
          <w:sz w:val="32"/>
          <w:szCs w:val="32"/>
          <w:lang w:eastAsia="en-GB"/>
        </w:rPr>
        <w:t>Issue 3.ii:</w:t>
      </w:r>
    </w:p>
    <w:p w14:paraId="35716CF5" w14:textId="77777777" w:rsidR="005173BE" w:rsidRPr="005173BE" w:rsidRDefault="005173BE" w:rsidP="005173BE">
      <w:pPr>
        <w:tabs>
          <w:tab w:val="clear" w:pos="1134"/>
        </w:tabs>
        <w:jc w:val="left"/>
        <w:rPr>
          <w:rFonts w:ascii="Calibri" w:eastAsia="Calibri" w:hAnsi="Calibri" w:cs="Times New Roman"/>
          <w:sz w:val="32"/>
          <w:szCs w:val="24"/>
          <w:lang w:eastAsia="en-GB"/>
        </w:rPr>
      </w:pPr>
      <w:r w:rsidRPr="005173BE">
        <w:rPr>
          <w:rFonts w:ascii="Calibri" w:eastAsia="Calibri" w:hAnsi="Calibri" w:cs="Times New Roman"/>
          <w:sz w:val="24"/>
          <w:szCs w:val="24"/>
          <w:lang w:eastAsia="en-GB"/>
        </w:rPr>
        <w:fldChar w:fldCharType="begin"/>
      </w:r>
      <w:r w:rsidRPr="005173BE">
        <w:rPr>
          <w:rFonts w:ascii="Calibri" w:eastAsia="Calibri" w:hAnsi="Calibri" w:cs="Times New Roman"/>
          <w:sz w:val="24"/>
          <w:szCs w:val="24"/>
          <w:lang w:eastAsia="en-GB"/>
        </w:rPr>
        <w:instrText xml:space="preserve"> REF issue_3_ii \h </w:instrText>
      </w:r>
      <w:r w:rsidRPr="005173BE">
        <w:rPr>
          <w:rFonts w:ascii="Calibri" w:eastAsia="Calibri" w:hAnsi="Calibri" w:cs="Times New Roman"/>
          <w:sz w:val="24"/>
          <w:szCs w:val="24"/>
          <w:lang w:eastAsia="en-GB"/>
        </w:rPr>
      </w:r>
      <w:r w:rsidRPr="005173BE">
        <w:rPr>
          <w:rFonts w:ascii="Calibri" w:eastAsia="Calibri" w:hAnsi="Calibri" w:cs="Times New Roman"/>
          <w:sz w:val="24"/>
          <w:szCs w:val="24"/>
          <w:lang w:eastAsia="en-GB"/>
        </w:rPr>
        <w:fldChar w:fldCharType="separate"/>
      </w:r>
      <w:r w:rsidR="007F7A40" w:rsidRPr="005173BE">
        <w:rPr>
          <w:rFonts w:ascii="Calibri" w:eastAsia="Calibri" w:hAnsi="Calibri" w:cs="Times New Roman"/>
          <w:color w:val="454545"/>
          <w:sz w:val="22"/>
          <w:lang w:eastAsia="en-GB"/>
        </w:rPr>
        <w:t>There is a lack of consistency in the collaboration tools provided to support experts in conducting the work of the Commission which impedes the flow of information between experts and provides a barrier to participation.</w:t>
      </w:r>
      <w:r w:rsidRPr="005173BE">
        <w:rPr>
          <w:rFonts w:ascii="Calibri" w:eastAsia="Calibri" w:hAnsi="Calibri" w:cs="Times New Roman"/>
          <w:sz w:val="24"/>
          <w:szCs w:val="24"/>
          <w:lang w:eastAsia="en-GB"/>
        </w:rPr>
        <w:fldChar w:fldCharType="end"/>
      </w:r>
    </w:p>
    <w:p w14:paraId="5B6DCB7E" w14:textId="77777777" w:rsidR="005173BE" w:rsidRPr="005173BE" w:rsidRDefault="005173BE" w:rsidP="005173BE">
      <w:pPr>
        <w:tabs>
          <w:tab w:val="clear" w:pos="1134"/>
        </w:tabs>
        <w:jc w:val="left"/>
        <w:rPr>
          <w:rFonts w:ascii="Calibri" w:eastAsia="Times New Roman" w:hAnsi="Calibri" w:cs="Times New Roman"/>
          <w:color w:val="454545"/>
          <w:sz w:val="22"/>
          <w:lang w:eastAsia="en-GB"/>
        </w:rPr>
      </w:pPr>
    </w:p>
    <w:p w14:paraId="1E248E79" w14:textId="77777777" w:rsidR="005173BE" w:rsidRPr="005173BE" w:rsidRDefault="005173BE" w:rsidP="005173BE">
      <w:pPr>
        <w:keepNext/>
        <w:keepLines/>
        <w:tabs>
          <w:tab w:val="clear" w:pos="1134"/>
        </w:tabs>
        <w:spacing w:before="40"/>
        <w:jc w:val="left"/>
        <w:outlineLvl w:val="2"/>
        <w:rPr>
          <w:rFonts w:ascii="Calibri Light" w:eastAsia="Times New Roman" w:hAnsi="Calibri Light" w:cs="Times New Roman"/>
          <w:color w:val="1F3763"/>
          <w:sz w:val="24"/>
          <w:szCs w:val="24"/>
          <w:lang w:eastAsia="en-GB"/>
        </w:rPr>
      </w:pPr>
      <w:r w:rsidRPr="005173BE">
        <w:rPr>
          <w:rFonts w:ascii="Calibri Light" w:eastAsia="Times New Roman" w:hAnsi="Calibri Light" w:cs="Times New Roman"/>
          <w:color w:val="1F3763"/>
          <w:sz w:val="24"/>
          <w:szCs w:val="24"/>
          <w:lang w:eastAsia="en-GB"/>
        </w:rPr>
        <w:lastRenderedPageBreak/>
        <w:t>Examples:</w:t>
      </w:r>
    </w:p>
    <w:p w14:paraId="7B7A686F" w14:textId="77777777" w:rsidR="005173BE" w:rsidRPr="005173BE" w:rsidRDefault="005173BE" w:rsidP="00606C01">
      <w:pPr>
        <w:numPr>
          <w:ilvl w:val="0"/>
          <w:numId w:val="37"/>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Issue tracker, wiki and mailing lists have been provided to IPET-DD (within OPAG-ISS) on a piecemeal basis; the choice of tool is constrained by what the Secretariat can deploy; these tools are not consistently used even within the teams of OPAG-ISS.</w:t>
      </w:r>
    </w:p>
    <w:p w14:paraId="2205582C" w14:textId="77777777" w:rsidR="005173BE" w:rsidRPr="005173BE" w:rsidRDefault="005173BE" w:rsidP="00606C01">
      <w:pPr>
        <w:numPr>
          <w:ilvl w:val="0"/>
          <w:numId w:val="37"/>
        </w:numPr>
        <w:tabs>
          <w:tab w:val="clear" w:pos="1134"/>
        </w:tabs>
        <w:jc w:val="left"/>
        <w:rPr>
          <w:rFonts w:ascii="Calibri" w:eastAsia="Times New Roman" w:hAnsi="Calibri" w:cs="Times New Roman"/>
          <w:color w:val="454545"/>
          <w:sz w:val="22"/>
          <w:szCs w:val="22"/>
          <w:lang w:eastAsia="en-GB"/>
        </w:rPr>
      </w:pPr>
      <w:r w:rsidRPr="005173BE">
        <w:rPr>
          <w:rFonts w:ascii="Calibri" w:eastAsia="Times New Roman" w:hAnsi="Calibri" w:cs="Times New Roman"/>
          <w:color w:val="454545"/>
          <w:sz w:val="22"/>
          <w:szCs w:val="22"/>
          <w:lang w:eastAsia="en-GB"/>
        </w:rPr>
        <w:t>There is no clear guidance in place regarding how and where experts should share documents for discussion or review; often resulting in requests to the Secretariat to “upload” documents or local choices being made.</w:t>
      </w:r>
    </w:p>
    <w:p w14:paraId="42144E8D" w14:textId="77777777" w:rsidR="005173BE" w:rsidRPr="005173BE" w:rsidRDefault="005173BE" w:rsidP="005173BE">
      <w:pPr>
        <w:tabs>
          <w:tab w:val="clear" w:pos="1134"/>
        </w:tabs>
        <w:jc w:val="left"/>
        <w:rPr>
          <w:rFonts w:ascii="Calibri" w:eastAsia="Calibri" w:hAnsi="Calibri" w:cs="Times New Roman"/>
          <w:sz w:val="24"/>
          <w:szCs w:val="24"/>
        </w:rPr>
      </w:pPr>
    </w:p>
    <w:p w14:paraId="532CB281" w14:textId="77777777" w:rsidR="001A341E" w:rsidRDefault="001A341E" w:rsidP="00425CE4">
      <w:pPr>
        <w:pStyle w:val="WMOBodyText"/>
        <w:spacing w:before="0" w:after="120"/>
      </w:pPr>
    </w:p>
    <w:p w14:paraId="74C8CDFC" w14:textId="77777777" w:rsidR="00425CE4" w:rsidRPr="005D666D" w:rsidRDefault="00425CE4" w:rsidP="00425CE4">
      <w:pPr>
        <w:pStyle w:val="WMOBodyText"/>
        <w:spacing w:before="0" w:after="120"/>
      </w:pPr>
    </w:p>
    <w:p w14:paraId="5693358E" w14:textId="77777777" w:rsidR="001A341E" w:rsidRPr="005D666D" w:rsidRDefault="00864DBF" w:rsidP="000212C2">
      <w:pPr>
        <w:pStyle w:val="WMOBodyText"/>
        <w:jc w:val="center"/>
      </w:pPr>
      <w:r w:rsidRPr="005D666D">
        <w:t>__________</w:t>
      </w:r>
      <w:bookmarkEnd w:id="3"/>
    </w:p>
    <w:sectPr w:rsidR="001A341E" w:rsidRPr="005D666D" w:rsidSect="0020095E">
      <w:headerReference w:type="first" r:id="rId17"/>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AE0AEF" w14:textId="77777777" w:rsidR="000D412F" w:rsidRDefault="000D412F">
      <w:r>
        <w:separator/>
      </w:r>
    </w:p>
    <w:p w14:paraId="3CE66B3C" w14:textId="77777777" w:rsidR="000D412F" w:rsidRDefault="000D412F"/>
    <w:p w14:paraId="6EACBE20" w14:textId="77777777" w:rsidR="000D412F" w:rsidRDefault="000D412F"/>
  </w:endnote>
  <w:endnote w:type="continuationSeparator" w:id="0">
    <w:p w14:paraId="4464A6EC" w14:textId="77777777" w:rsidR="000D412F" w:rsidRDefault="000D412F">
      <w:r>
        <w:continuationSeparator/>
      </w:r>
    </w:p>
    <w:p w14:paraId="64647922" w14:textId="77777777" w:rsidR="000D412F" w:rsidRDefault="000D412F"/>
    <w:p w14:paraId="7D87FF8A" w14:textId="77777777" w:rsidR="000D412F" w:rsidRDefault="000D41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E9863" w14:textId="77777777" w:rsidR="00110703" w:rsidRDefault="00110703" w:rsidP="0011070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D8F13D" w14:textId="77777777" w:rsidR="00110703" w:rsidRDefault="00110703" w:rsidP="001107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5E0A8" w14:textId="77777777" w:rsidR="00110703" w:rsidRDefault="00110703" w:rsidP="0011070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7A40">
      <w:rPr>
        <w:rStyle w:val="PageNumber"/>
        <w:noProof/>
      </w:rPr>
      <w:t>23</w:t>
    </w:r>
    <w:r>
      <w:rPr>
        <w:rStyle w:val="PageNumber"/>
      </w:rPr>
      <w:fldChar w:fldCharType="end"/>
    </w:r>
  </w:p>
  <w:p w14:paraId="6D183A6F" w14:textId="77777777" w:rsidR="00110703" w:rsidRDefault="00110703" w:rsidP="0011070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CA3F50" w14:textId="77777777" w:rsidR="000D412F" w:rsidRDefault="000D412F">
      <w:r>
        <w:separator/>
      </w:r>
    </w:p>
  </w:footnote>
  <w:footnote w:type="continuationSeparator" w:id="0">
    <w:p w14:paraId="3D1C5B05" w14:textId="77777777" w:rsidR="000D412F" w:rsidRDefault="000D412F">
      <w:r>
        <w:continuationSeparator/>
      </w:r>
    </w:p>
    <w:p w14:paraId="03DCAA28" w14:textId="77777777" w:rsidR="000D412F" w:rsidRDefault="000D412F"/>
    <w:p w14:paraId="4378841E" w14:textId="77777777" w:rsidR="000D412F" w:rsidRDefault="000D412F"/>
  </w:footnote>
  <w:footnote w:id="1">
    <w:p w14:paraId="48C05EA5" w14:textId="77777777" w:rsidR="00110703" w:rsidRPr="00B169A3" w:rsidRDefault="00110703" w:rsidP="005173BE">
      <w:pPr>
        <w:pStyle w:val="FootnoteText"/>
        <w:rPr>
          <w:sz w:val="18"/>
          <w:szCs w:val="18"/>
        </w:rPr>
      </w:pPr>
      <w:r w:rsidRPr="00B169A3">
        <w:rPr>
          <w:rStyle w:val="FootnoteReference"/>
          <w:sz w:val="18"/>
          <w:szCs w:val="18"/>
        </w:rPr>
        <w:footnoteRef/>
      </w:r>
      <w:r w:rsidRPr="00B169A3">
        <w:rPr>
          <w:sz w:val="18"/>
          <w:szCs w:val="18"/>
        </w:rPr>
        <w:t xml:space="preserve"> </w:t>
      </w:r>
      <w:r>
        <w:rPr>
          <w:sz w:val="18"/>
          <w:szCs w:val="18"/>
        </w:rPr>
        <w:t xml:space="preserve">The validation procedure for amendments to technical specifications is currently defined in </w:t>
      </w:r>
      <w:r w:rsidRPr="00B169A3">
        <w:rPr>
          <w:sz w:val="18"/>
          <w:szCs w:val="18"/>
        </w:rPr>
        <w:t>Resolution 21 (Cg-17), amended by Resolution 12 (EC-68), sub-section 1.7 “Validation procedure”</w:t>
      </w:r>
      <w:r>
        <w:rPr>
          <w:sz w:val="18"/>
          <w:szCs w:val="18"/>
        </w:rPr>
        <w:t>.</w:t>
      </w:r>
    </w:p>
  </w:footnote>
  <w:footnote w:id="2">
    <w:p w14:paraId="16FBBF7A" w14:textId="77777777" w:rsidR="00110703" w:rsidRPr="00745734" w:rsidRDefault="00110703" w:rsidP="005173BE">
      <w:pPr>
        <w:pStyle w:val="FootnoteText"/>
        <w:rPr>
          <w:sz w:val="18"/>
          <w:szCs w:val="18"/>
        </w:rPr>
      </w:pPr>
      <w:r w:rsidRPr="00745734">
        <w:rPr>
          <w:rStyle w:val="FootnoteReference"/>
          <w:sz w:val="18"/>
          <w:szCs w:val="18"/>
        </w:rPr>
        <w:footnoteRef/>
      </w:r>
      <w:r w:rsidRPr="00745734">
        <w:rPr>
          <w:sz w:val="18"/>
          <w:szCs w:val="18"/>
        </w:rPr>
        <w:t xml:space="preserve"> </w:t>
      </w:r>
      <w:r>
        <w:rPr>
          <w:sz w:val="18"/>
          <w:szCs w:val="18"/>
        </w:rPr>
        <w:t>W</w:t>
      </w:r>
      <w:r w:rsidRPr="007A11F5">
        <w:rPr>
          <w:sz w:val="18"/>
          <w:szCs w:val="18"/>
        </w:rPr>
        <w:t xml:space="preserve">here provisions endorse the use of standards or recommendations from other Standards Development Organisations (e.g. FM 231 WMLTS-XML endorses the use of OGC/IS 10-126r4 </w:t>
      </w:r>
      <w:proofErr w:type="spellStart"/>
      <w:r w:rsidRPr="007A11F5">
        <w:rPr>
          <w:sz w:val="18"/>
          <w:szCs w:val="18"/>
        </w:rPr>
        <w:t>WaterML</w:t>
      </w:r>
      <w:proofErr w:type="spellEnd"/>
      <w:r w:rsidRPr="007A11F5">
        <w:rPr>
          <w:sz w:val="18"/>
          <w:szCs w:val="18"/>
        </w:rPr>
        <w:t xml:space="preserve"> 2.0: Part 1 - </w:t>
      </w:r>
      <w:proofErr w:type="spellStart"/>
      <w:r w:rsidRPr="007A11F5">
        <w:rPr>
          <w:sz w:val="18"/>
          <w:szCs w:val="18"/>
        </w:rPr>
        <w:t>Timeseries</w:t>
      </w:r>
      <w:proofErr w:type="spellEnd"/>
      <w:r w:rsidRPr="007A11F5">
        <w:rPr>
          <w:sz w:val="18"/>
          <w:szCs w:val="18"/>
        </w:rPr>
        <w:t>), the designated working body must still consider implementation feasibility and provide sufficient material to enable Member implementation</w:t>
      </w:r>
      <w:r>
        <w:rPr>
          <w:sz w:val="18"/>
          <w:szCs w:val="18"/>
        </w:rPr>
        <w:t>.</w:t>
      </w:r>
    </w:p>
  </w:footnote>
  <w:footnote w:id="3">
    <w:p w14:paraId="52ED7580" w14:textId="77777777" w:rsidR="00110703" w:rsidRPr="0043674F" w:rsidRDefault="00110703" w:rsidP="005173BE">
      <w:pPr>
        <w:pStyle w:val="FootnoteText"/>
        <w:rPr>
          <w:sz w:val="18"/>
          <w:szCs w:val="18"/>
        </w:rPr>
      </w:pPr>
      <w:r w:rsidRPr="0043674F">
        <w:rPr>
          <w:rStyle w:val="FootnoteReference"/>
          <w:sz w:val="18"/>
          <w:szCs w:val="18"/>
        </w:rPr>
        <w:footnoteRef/>
      </w:r>
      <w:r w:rsidRPr="0043674F">
        <w:rPr>
          <w:sz w:val="18"/>
          <w:szCs w:val="18"/>
        </w:rPr>
        <w:t xml:space="preserve"> </w:t>
      </w:r>
      <w:r>
        <w:rPr>
          <w:sz w:val="18"/>
          <w:szCs w:val="18"/>
        </w:rPr>
        <w:t>Simple (fast-track) and standard (between sessions) approval mechanisms can only be used where the Technical Regulation has been designated as a technical specification. The “vote by correspondence” procedure is permissible for amendments to any kind of Technical Regulation.</w:t>
      </w:r>
    </w:p>
  </w:footnote>
  <w:footnote w:id="4">
    <w:p w14:paraId="7AC18298" w14:textId="77777777" w:rsidR="00110703" w:rsidRPr="00745734" w:rsidRDefault="00110703" w:rsidP="005173BE">
      <w:pPr>
        <w:pStyle w:val="FootnoteText"/>
        <w:rPr>
          <w:sz w:val="18"/>
          <w:szCs w:val="18"/>
        </w:rPr>
      </w:pPr>
      <w:r w:rsidRPr="00745734">
        <w:rPr>
          <w:rStyle w:val="FootnoteReference"/>
          <w:sz w:val="18"/>
          <w:szCs w:val="18"/>
        </w:rPr>
        <w:footnoteRef/>
      </w:r>
      <w:r w:rsidRPr="00745734">
        <w:rPr>
          <w:sz w:val="18"/>
          <w:szCs w:val="18"/>
        </w:rPr>
        <w:t xml:space="preserve"> </w:t>
      </w:r>
      <w:r>
        <w:rPr>
          <w:sz w:val="18"/>
          <w:szCs w:val="18"/>
        </w:rPr>
        <w:t>Such a requirement is often expressed as a “code of conduct” that sets the expectation on how participants shall behave;</w:t>
      </w:r>
      <w:r w:rsidRPr="00796810">
        <w:rPr>
          <w:sz w:val="18"/>
          <w:szCs w:val="18"/>
        </w:rPr>
        <w:t xml:space="preserve"> </w:t>
      </w:r>
      <w:r w:rsidRPr="00745734">
        <w:rPr>
          <w:rFonts w:eastAsia="Times New Roman" w:cs="Times New Roman"/>
          <w:color w:val="454545"/>
          <w:sz w:val="18"/>
          <w:szCs w:val="18"/>
          <w:lang w:eastAsia="en-GB"/>
        </w:rPr>
        <w:t xml:space="preserve">the </w:t>
      </w:r>
      <w:hyperlink r:id="rId1" w:history="1">
        <w:r w:rsidRPr="00745734">
          <w:rPr>
            <w:rStyle w:val="Hyperlink"/>
            <w:rFonts w:eastAsia="Times New Roman" w:cs="Times New Roman"/>
            <w:sz w:val="18"/>
            <w:szCs w:val="18"/>
            <w:lang w:eastAsia="en-GB"/>
          </w:rPr>
          <w:t>Apache Software Federation</w:t>
        </w:r>
      </w:hyperlink>
      <w:r w:rsidRPr="00745734">
        <w:rPr>
          <w:rFonts w:eastAsia="Times New Roman" w:cs="Times New Roman"/>
          <w:color w:val="454545"/>
          <w:sz w:val="18"/>
          <w:szCs w:val="18"/>
          <w:lang w:eastAsia="en-GB"/>
        </w:rPr>
        <w:t xml:space="preserve"> and </w:t>
      </w:r>
      <w:hyperlink r:id="rId2" w:history="1">
        <w:proofErr w:type="spellStart"/>
        <w:r w:rsidRPr="00745734">
          <w:rPr>
            <w:rStyle w:val="Hyperlink"/>
            <w:rFonts w:eastAsia="Times New Roman" w:cs="Times New Roman"/>
            <w:sz w:val="18"/>
            <w:szCs w:val="18"/>
            <w:lang w:eastAsia="en-GB"/>
          </w:rPr>
          <w:t>OpenWIS</w:t>
        </w:r>
        <w:proofErr w:type="spellEnd"/>
        <w:r w:rsidRPr="00745734">
          <w:rPr>
            <w:rStyle w:val="Hyperlink"/>
            <w:rFonts w:eastAsia="Times New Roman" w:cs="Times New Roman"/>
            <w:sz w:val="18"/>
            <w:szCs w:val="18"/>
            <w:lang w:eastAsia="en-GB"/>
          </w:rPr>
          <w:t xml:space="preserve"> Association</w:t>
        </w:r>
      </w:hyperlink>
      <w:r>
        <w:rPr>
          <w:sz w:val="18"/>
          <w:szCs w:val="18"/>
        </w:rPr>
        <w:t xml:space="preserve"> provide illustrative examples</w:t>
      </w:r>
    </w:p>
  </w:footnote>
  <w:footnote w:id="5">
    <w:p w14:paraId="6CBBEBEA" w14:textId="77777777" w:rsidR="00110703" w:rsidRPr="00E4587C" w:rsidRDefault="00110703" w:rsidP="005173BE">
      <w:pPr>
        <w:pStyle w:val="FootnoteText"/>
        <w:rPr>
          <w:sz w:val="18"/>
          <w:szCs w:val="18"/>
        </w:rPr>
      </w:pPr>
      <w:r w:rsidRPr="00E4587C">
        <w:rPr>
          <w:rStyle w:val="FootnoteReference"/>
          <w:sz w:val="18"/>
          <w:szCs w:val="18"/>
        </w:rPr>
        <w:footnoteRef/>
      </w:r>
      <w:r w:rsidRPr="00E4587C">
        <w:rPr>
          <w:sz w:val="18"/>
          <w:szCs w:val="18"/>
        </w:rPr>
        <w:t xml:space="preserve"> </w:t>
      </w:r>
      <w:r>
        <w:rPr>
          <w:sz w:val="18"/>
          <w:szCs w:val="18"/>
        </w:rPr>
        <w:t>B</w:t>
      </w:r>
      <w:r w:rsidRPr="00E4587C">
        <w:rPr>
          <w:sz w:val="18"/>
          <w:szCs w:val="18"/>
        </w:rPr>
        <w:t>y way of example</w:t>
      </w:r>
      <w:r>
        <w:rPr>
          <w:sz w:val="18"/>
          <w:szCs w:val="18"/>
        </w:rPr>
        <w:t>, please refer to the W3C Patent Policy</w:t>
      </w:r>
      <w:r w:rsidRPr="00E4587C">
        <w:rPr>
          <w:sz w:val="18"/>
          <w:szCs w:val="18"/>
        </w:rPr>
        <w:t xml:space="preserve">: </w:t>
      </w:r>
      <w:hyperlink r:id="rId3" w:history="1">
        <w:r w:rsidRPr="004A3BF6">
          <w:rPr>
            <w:rStyle w:val="Hyperlink"/>
            <w:sz w:val="18"/>
            <w:szCs w:val="18"/>
          </w:rPr>
          <w:t>https://www.w3.org/Consortium/Patent-Policy-20040205/</w:t>
        </w:r>
      </w:hyperlink>
      <w:r>
        <w:rPr>
          <w:sz w:val="18"/>
          <w:szCs w:val="18"/>
        </w:rPr>
        <w:t xml:space="preserve"> </w:t>
      </w:r>
    </w:p>
  </w:footnote>
  <w:footnote w:id="6">
    <w:p w14:paraId="00566307" w14:textId="77777777" w:rsidR="00110703" w:rsidRPr="00745734" w:rsidRDefault="00110703" w:rsidP="005173BE">
      <w:pPr>
        <w:pStyle w:val="FootnoteText"/>
        <w:rPr>
          <w:sz w:val="18"/>
          <w:szCs w:val="18"/>
        </w:rPr>
      </w:pPr>
      <w:r w:rsidRPr="00745734">
        <w:rPr>
          <w:rStyle w:val="FootnoteReference"/>
          <w:sz w:val="18"/>
          <w:szCs w:val="18"/>
        </w:rPr>
        <w:footnoteRef/>
      </w:r>
      <w:r w:rsidRPr="00745734">
        <w:rPr>
          <w:sz w:val="18"/>
          <w:szCs w:val="18"/>
        </w:rPr>
        <w:t xml:space="preserve"> </w:t>
      </w:r>
      <w:r>
        <w:rPr>
          <w:sz w:val="18"/>
          <w:szCs w:val="18"/>
        </w:rPr>
        <w:t>These responsibilities do not appear to fall within the terms of reference of any existing National Focal Points</w:t>
      </w:r>
    </w:p>
  </w:footnote>
  <w:footnote w:id="7">
    <w:p w14:paraId="0D21B021" w14:textId="77777777" w:rsidR="00110703" w:rsidRPr="00C85317" w:rsidRDefault="00110703" w:rsidP="005173BE">
      <w:pPr>
        <w:pStyle w:val="FootnoteText"/>
        <w:rPr>
          <w:sz w:val="18"/>
          <w:szCs w:val="18"/>
        </w:rPr>
      </w:pPr>
      <w:r w:rsidRPr="00C85317">
        <w:rPr>
          <w:rStyle w:val="FootnoteReference"/>
          <w:sz w:val="18"/>
          <w:szCs w:val="18"/>
        </w:rPr>
        <w:footnoteRef/>
      </w:r>
      <w:r w:rsidRPr="00C85317">
        <w:rPr>
          <w:sz w:val="18"/>
          <w:szCs w:val="18"/>
        </w:rPr>
        <w:t xml:space="preserve"> Guidelines on the Preparation and Promulgation of the WMO Technical Regulations, 2014 </w:t>
      </w:r>
      <w:hyperlink r:id="rId4" w:history="1">
        <w:r w:rsidRPr="00C85317">
          <w:rPr>
            <w:rStyle w:val="Hyperlink"/>
            <w:sz w:val="18"/>
            <w:szCs w:val="18"/>
          </w:rPr>
          <w:t>http://library.wmo.int/pmb_ged/wmo_1127_en.pdf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75B10B" w14:textId="3555472B" w:rsidR="00110703" w:rsidRPr="00425CE4" w:rsidRDefault="000D412F" w:rsidP="000D4FA3">
    <w:pPr>
      <w:pStyle w:val="Header"/>
      <w:rPr>
        <w:sz w:val="18"/>
        <w:szCs w:val="18"/>
      </w:rPr>
    </w:pPr>
    <w:sdt>
      <w:sdtPr>
        <w:rPr>
          <w:sz w:val="18"/>
          <w:szCs w:val="18"/>
          <w:lang w:val="en-US"/>
        </w:rPr>
        <w:alias w:val="Keywords"/>
        <w:tag w:val=""/>
        <w:id w:val="-1552450058"/>
        <w:placeholder>
          <w:docPart w:val="09967BC8C80F3F428B26F39D16B42E1C"/>
        </w:placeholder>
        <w:dataBinding w:prefixMappings="xmlns:ns0='http://purl.org/dc/elements/1.1/' xmlns:ns1='http://schemas.openxmlformats.org/package/2006/metadata/core-properties' " w:xpath="/ns1:coreProperties[1]/ns1:keywords[1]" w:storeItemID="{6C3C8BC8-F283-45AE-878A-BAB7291924A1}"/>
        <w:text/>
      </w:sdtPr>
      <w:sdtEndPr/>
      <w:sdtContent>
        <w:r w:rsidR="00110703">
          <w:rPr>
            <w:sz w:val="18"/>
            <w:szCs w:val="18"/>
          </w:rPr>
          <w:t>CBS-MG-17</w:t>
        </w:r>
      </w:sdtContent>
    </w:sdt>
    <w:r w:rsidR="00110703" w:rsidRPr="002924C1">
      <w:rPr>
        <w:sz w:val="18"/>
        <w:szCs w:val="18"/>
        <w:lang w:val="en-US"/>
      </w:rPr>
      <w:t>/</w:t>
    </w:r>
    <w:sdt>
      <w:sdtPr>
        <w:rPr>
          <w:sz w:val="18"/>
          <w:szCs w:val="18"/>
          <w:lang w:val="en-US"/>
        </w:rPr>
        <w:alias w:val="Category"/>
        <w:tag w:val=""/>
        <w:id w:val="-1349334936"/>
        <w:placeholder>
          <w:docPart w:val="3862F30A44592B4E8B888933B053744D"/>
        </w:placeholder>
        <w:dataBinding w:prefixMappings="xmlns:ns0='http://purl.org/dc/elements/1.1/' xmlns:ns1='http://schemas.openxmlformats.org/package/2006/metadata/core-properties' " w:xpath="/ns1:coreProperties[1]/ns1:category[1]" w:storeItemID="{6C3C8BC8-F283-45AE-878A-BAB7291924A1}"/>
        <w:text/>
      </w:sdtPr>
      <w:sdtEndPr/>
      <w:sdtContent>
        <w:r w:rsidR="00110703">
          <w:rPr>
            <w:sz w:val="18"/>
            <w:szCs w:val="18"/>
          </w:rPr>
          <w:t>Doc. 9.3(1)</w:t>
        </w:r>
      </w:sdtContent>
    </w:sdt>
    <w:r w:rsidR="00110703" w:rsidRPr="002924C1">
      <w:rPr>
        <w:sz w:val="18"/>
        <w:szCs w:val="18"/>
        <w:lang w:val="en-US"/>
      </w:rPr>
      <w:t xml:space="preserve">, </w:t>
    </w:r>
    <w:sdt>
      <w:sdtPr>
        <w:rPr>
          <w:sz w:val="18"/>
          <w:szCs w:val="18"/>
          <w:lang w:val="fr-CH"/>
        </w:rPr>
        <w:alias w:val="Status"/>
        <w:tag w:val=""/>
        <w:id w:val="-872069480"/>
        <w:placeholder>
          <w:docPart w:val="9E1E29F477251540B5BBEEDB378F73B9"/>
        </w:placeholder>
        <w:dataBinding w:prefixMappings="xmlns:ns0='http://purl.org/dc/elements/1.1/' xmlns:ns1='http://schemas.openxmlformats.org/package/2006/metadata/core-properties' " w:xpath="/ns1:coreProperties[1]/ns1:contentStatus[1]" w:storeItemID="{6C3C8BC8-F283-45AE-878A-BAB7291924A1}"/>
        <w:text/>
      </w:sdtPr>
      <w:sdtEndPr/>
      <w:sdtContent>
        <w:r w:rsidR="007F7A40">
          <w:rPr>
            <w:sz w:val="18"/>
            <w:szCs w:val="18"/>
            <w:lang w:val="en-US"/>
          </w:rPr>
          <w:t>DRAFT 1</w:t>
        </w:r>
      </w:sdtContent>
    </w:sdt>
    <w:r w:rsidR="00110703" w:rsidRPr="002924C1">
      <w:rPr>
        <w:sz w:val="18"/>
        <w:szCs w:val="18"/>
        <w:lang w:val="en-US"/>
      </w:rPr>
      <w:t xml:space="preserve">, p. </w:t>
    </w:r>
    <w:r w:rsidR="00110703" w:rsidRPr="00425CE4">
      <w:rPr>
        <w:rStyle w:val="PageNumber"/>
        <w:sz w:val="18"/>
        <w:szCs w:val="18"/>
      </w:rPr>
      <w:fldChar w:fldCharType="begin"/>
    </w:r>
    <w:r w:rsidR="00110703" w:rsidRPr="002924C1">
      <w:rPr>
        <w:rStyle w:val="PageNumber"/>
        <w:sz w:val="18"/>
        <w:szCs w:val="18"/>
        <w:lang w:val="en-US"/>
      </w:rPr>
      <w:instrText xml:space="preserve"> PAGE </w:instrText>
    </w:r>
    <w:r w:rsidR="00110703" w:rsidRPr="00425CE4">
      <w:rPr>
        <w:rStyle w:val="PageNumber"/>
        <w:sz w:val="18"/>
        <w:szCs w:val="18"/>
      </w:rPr>
      <w:fldChar w:fldCharType="separate"/>
    </w:r>
    <w:r w:rsidR="007F7A40">
      <w:rPr>
        <w:rStyle w:val="PageNumber"/>
        <w:noProof/>
        <w:sz w:val="18"/>
        <w:szCs w:val="18"/>
        <w:lang w:val="en-US"/>
      </w:rPr>
      <w:t>23</w:t>
    </w:r>
    <w:r w:rsidR="00110703" w:rsidRPr="00425CE4">
      <w:rPr>
        <w:rStyle w:val="PageNumber"/>
        <w:sz w:val="18"/>
        <w:szCs w:val="1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20C243" w14:textId="77777777" w:rsidR="00110703" w:rsidRPr="00425CE4" w:rsidRDefault="00110703" w:rsidP="00425CE4">
    <w:pPr>
      <w:pStyle w:val="Header"/>
      <w:spacing w:after="0"/>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48752" w14:textId="1DADD284" w:rsidR="00110703" w:rsidRPr="00425CE4" w:rsidRDefault="000D412F" w:rsidP="000D4FA3">
    <w:pPr>
      <w:pStyle w:val="Header"/>
      <w:rPr>
        <w:sz w:val="18"/>
        <w:szCs w:val="18"/>
      </w:rPr>
    </w:pPr>
    <w:sdt>
      <w:sdtPr>
        <w:rPr>
          <w:sz w:val="18"/>
          <w:szCs w:val="18"/>
        </w:rPr>
        <w:alias w:val="Keywords"/>
        <w:tag w:val=""/>
        <w:id w:val="-1882158470"/>
        <w:placeholder>
          <w:docPart w:val="09967BC8C80F3F428B26F39D16B42E1C"/>
        </w:placeholder>
        <w:dataBinding w:prefixMappings="xmlns:ns0='http://purl.org/dc/elements/1.1/' xmlns:ns1='http://schemas.openxmlformats.org/package/2006/metadata/core-properties' " w:xpath="/ns1:coreProperties[1]/ns1:keywords[1]" w:storeItemID="{6C3C8BC8-F283-45AE-878A-BAB7291924A1}"/>
        <w:text/>
      </w:sdtPr>
      <w:sdtEndPr/>
      <w:sdtContent>
        <w:r w:rsidR="00110703">
          <w:rPr>
            <w:sz w:val="18"/>
            <w:szCs w:val="18"/>
          </w:rPr>
          <w:t>CBS-MG-17</w:t>
        </w:r>
      </w:sdtContent>
    </w:sdt>
    <w:r w:rsidR="00110703" w:rsidRPr="00425CE4">
      <w:rPr>
        <w:sz w:val="18"/>
        <w:szCs w:val="18"/>
      </w:rPr>
      <w:t>/</w:t>
    </w:r>
    <w:sdt>
      <w:sdtPr>
        <w:rPr>
          <w:sz w:val="18"/>
          <w:szCs w:val="18"/>
        </w:rPr>
        <w:alias w:val="Category"/>
        <w:tag w:val=""/>
        <w:id w:val="-959264996"/>
        <w:placeholder>
          <w:docPart w:val="3862F30A44592B4E8B888933B053744D"/>
        </w:placeholder>
        <w:dataBinding w:prefixMappings="xmlns:ns0='http://purl.org/dc/elements/1.1/' xmlns:ns1='http://schemas.openxmlformats.org/package/2006/metadata/core-properties' " w:xpath="/ns1:coreProperties[1]/ns1:category[1]" w:storeItemID="{6C3C8BC8-F283-45AE-878A-BAB7291924A1}"/>
        <w:text/>
      </w:sdtPr>
      <w:sdtEndPr/>
      <w:sdtContent>
        <w:r w:rsidR="00110703">
          <w:rPr>
            <w:sz w:val="18"/>
            <w:szCs w:val="18"/>
          </w:rPr>
          <w:t>Doc. 9.3(1)</w:t>
        </w:r>
      </w:sdtContent>
    </w:sdt>
    <w:r w:rsidR="00110703" w:rsidRPr="00425CE4">
      <w:rPr>
        <w:sz w:val="18"/>
        <w:szCs w:val="18"/>
      </w:rPr>
      <w:t xml:space="preserve">, </w:t>
    </w:r>
    <w:sdt>
      <w:sdtPr>
        <w:rPr>
          <w:sz w:val="18"/>
          <w:szCs w:val="18"/>
        </w:rPr>
        <w:alias w:val="Status"/>
        <w:tag w:val=""/>
        <w:id w:val="88515919"/>
        <w:placeholder>
          <w:docPart w:val="9E1E29F477251540B5BBEEDB378F73B9"/>
        </w:placeholder>
        <w:dataBinding w:prefixMappings="xmlns:ns0='http://purl.org/dc/elements/1.1/' xmlns:ns1='http://schemas.openxmlformats.org/package/2006/metadata/core-properties' " w:xpath="/ns1:coreProperties[1]/ns1:contentStatus[1]" w:storeItemID="{6C3C8BC8-F283-45AE-878A-BAB7291924A1}"/>
        <w:text/>
      </w:sdtPr>
      <w:sdtEndPr/>
      <w:sdtContent>
        <w:r w:rsidR="007F7A40">
          <w:rPr>
            <w:sz w:val="18"/>
            <w:szCs w:val="18"/>
            <w:lang w:val="en-US"/>
          </w:rPr>
          <w:t>DRAFT 1</w:t>
        </w:r>
      </w:sdtContent>
    </w:sdt>
    <w:r w:rsidR="00110703" w:rsidRPr="00425CE4">
      <w:rPr>
        <w:sz w:val="18"/>
        <w:szCs w:val="18"/>
      </w:rPr>
      <w:t xml:space="preserve">, </w:t>
    </w:r>
    <w:r w:rsidR="00110703">
      <w:rPr>
        <w:sz w:val="18"/>
        <w:szCs w:val="18"/>
      </w:rPr>
      <w:t xml:space="preserve">Annex I, </w:t>
    </w:r>
    <w:r w:rsidR="00110703" w:rsidRPr="00425CE4">
      <w:rPr>
        <w:sz w:val="18"/>
        <w:szCs w:val="18"/>
      </w:rPr>
      <w:t xml:space="preserve">p. </w:t>
    </w:r>
    <w:r w:rsidR="00110703" w:rsidRPr="00425CE4">
      <w:rPr>
        <w:rStyle w:val="PageNumber"/>
        <w:sz w:val="18"/>
        <w:szCs w:val="18"/>
      </w:rPr>
      <w:fldChar w:fldCharType="begin"/>
    </w:r>
    <w:r w:rsidR="00110703" w:rsidRPr="00425CE4">
      <w:rPr>
        <w:rStyle w:val="PageNumber"/>
        <w:sz w:val="18"/>
        <w:szCs w:val="18"/>
      </w:rPr>
      <w:instrText xml:space="preserve"> PAGE </w:instrText>
    </w:r>
    <w:r w:rsidR="00110703" w:rsidRPr="00425CE4">
      <w:rPr>
        <w:rStyle w:val="PageNumber"/>
        <w:sz w:val="18"/>
        <w:szCs w:val="18"/>
      </w:rPr>
      <w:fldChar w:fldCharType="separate"/>
    </w:r>
    <w:r w:rsidR="007F7A40">
      <w:rPr>
        <w:rStyle w:val="PageNumber"/>
        <w:noProof/>
        <w:sz w:val="18"/>
        <w:szCs w:val="18"/>
      </w:rPr>
      <w:t>16</w:t>
    </w:r>
    <w:r w:rsidR="00110703" w:rsidRPr="00425CE4">
      <w:rPr>
        <w:rStyle w:val="PageNumber"/>
        <w:sz w:val="18"/>
        <w:szCs w:val="18"/>
      </w:rPr>
      <w:fldChar w:fldCharType="end"/>
    </w:r>
  </w:p>
  <w:p w14:paraId="74693334" w14:textId="77777777" w:rsidR="00110703" w:rsidRDefault="0011070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4D01"/>
    <w:multiLevelType w:val="hybridMultilevel"/>
    <w:tmpl w:val="154078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84D2A6B"/>
    <w:multiLevelType w:val="hybridMultilevel"/>
    <w:tmpl w:val="FF0E83C0"/>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92696E"/>
    <w:multiLevelType w:val="multilevel"/>
    <w:tmpl w:val="F7B8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612697"/>
    <w:multiLevelType w:val="hybridMultilevel"/>
    <w:tmpl w:val="FF0E83C0"/>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D052A33"/>
    <w:multiLevelType w:val="multilevel"/>
    <w:tmpl w:val="D1C04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2D73D8"/>
    <w:multiLevelType w:val="multilevel"/>
    <w:tmpl w:val="C7F0B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9B2F41"/>
    <w:multiLevelType w:val="multilevel"/>
    <w:tmpl w:val="F8E4D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05026D"/>
    <w:multiLevelType w:val="multilevel"/>
    <w:tmpl w:val="9E965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2EE6E0E"/>
    <w:multiLevelType w:val="hybridMultilevel"/>
    <w:tmpl w:val="FF0E83C0"/>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57B48AE"/>
    <w:multiLevelType w:val="multilevel"/>
    <w:tmpl w:val="DC66E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65038CB"/>
    <w:multiLevelType w:val="hybridMultilevel"/>
    <w:tmpl w:val="FF0E83C0"/>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7206B96"/>
    <w:multiLevelType w:val="hybridMultilevel"/>
    <w:tmpl w:val="747C174A"/>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25146BD"/>
    <w:multiLevelType w:val="multilevel"/>
    <w:tmpl w:val="F7B8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946DA5"/>
    <w:multiLevelType w:val="multilevel"/>
    <w:tmpl w:val="D6FAD278"/>
    <w:lvl w:ilvl="0">
      <w:start w:val="1"/>
      <w:numFmt w:val="lowerRoman"/>
      <w:lvlText w:val="%1."/>
      <w:lvlJc w:val="right"/>
      <w:pPr>
        <w:ind w:left="1069" w:hanging="360"/>
      </w:p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4DE15F9"/>
    <w:multiLevelType w:val="multilevel"/>
    <w:tmpl w:val="4228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8481CB5"/>
    <w:multiLevelType w:val="hybridMultilevel"/>
    <w:tmpl w:val="FF0E83C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91F5793"/>
    <w:multiLevelType w:val="hybridMultilevel"/>
    <w:tmpl w:val="FF0E83C0"/>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6A100F"/>
    <w:multiLevelType w:val="multilevel"/>
    <w:tmpl w:val="F7B8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45395D"/>
    <w:multiLevelType w:val="multilevel"/>
    <w:tmpl w:val="A3545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00E3A46"/>
    <w:multiLevelType w:val="multilevel"/>
    <w:tmpl w:val="7C321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19E2A7F"/>
    <w:multiLevelType w:val="multilevel"/>
    <w:tmpl w:val="063210A2"/>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4A2564C"/>
    <w:multiLevelType w:val="hybridMultilevel"/>
    <w:tmpl w:val="C1F8D5DA"/>
    <w:lvl w:ilvl="0" w:tplc="0409001B">
      <w:start w:val="1"/>
      <w:numFmt w:val="low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53577E8"/>
    <w:multiLevelType w:val="hybridMultilevel"/>
    <w:tmpl w:val="C1F8D5DA"/>
    <w:lvl w:ilvl="0" w:tplc="0409001B">
      <w:start w:val="1"/>
      <w:numFmt w:val="low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38F96926"/>
    <w:multiLevelType w:val="hybridMultilevel"/>
    <w:tmpl w:val="52C6CC84"/>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3F3338EA"/>
    <w:multiLevelType w:val="hybridMultilevel"/>
    <w:tmpl w:val="EF7CEF2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32234B7"/>
    <w:multiLevelType w:val="hybridMultilevel"/>
    <w:tmpl w:val="91ECA946"/>
    <w:lvl w:ilvl="0" w:tplc="2E12B73E">
      <w:start w:val="1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7C1AC9"/>
    <w:multiLevelType w:val="multilevel"/>
    <w:tmpl w:val="920A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8C316CA"/>
    <w:multiLevelType w:val="hybridMultilevel"/>
    <w:tmpl w:val="EF06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1D80E6E"/>
    <w:multiLevelType w:val="multilevel"/>
    <w:tmpl w:val="4262FD94"/>
    <w:lvl w:ilvl="0">
      <w:start w:val="2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nsid w:val="5CB5602E"/>
    <w:multiLevelType w:val="multilevel"/>
    <w:tmpl w:val="17D0F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540ACF"/>
    <w:multiLevelType w:val="multilevel"/>
    <w:tmpl w:val="D1C04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EFC2855"/>
    <w:multiLevelType w:val="hybridMultilevel"/>
    <w:tmpl w:val="FF0E83C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897FE3"/>
    <w:multiLevelType w:val="hybridMultilevel"/>
    <w:tmpl w:val="EFDC5868"/>
    <w:lvl w:ilvl="0" w:tplc="0409001B">
      <w:start w:val="1"/>
      <w:numFmt w:val="lowerRoman"/>
      <w:lvlText w:val="%1."/>
      <w:lvlJc w:val="right"/>
      <w:pPr>
        <w:ind w:left="763" w:hanging="360"/>
      </w:p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35">
    <w:nsid w:val="670A47B0"/>
    <w:multiLevelType w:val="hybridMultilevel"/>
    <w:tmpl w:val="FF0E83C0"/>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7A57359"/>
    <w:multiLevelType w:val="hybridMultilevel"/>
    <w:tmpl w:val="F7E0F876"/>
    <w:lvl w:ilvl="0" w:tplc="B42A2C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4246C22"/>
    <w:multiLevelType w:val="multilevel"/>
    <w:tmpl w:val="54243F82"/>
    <w:lvl w:ilvl="0">
      <w:start w:val="1"/>
      <w:numFmt w:val="decimal"/>
      <w:lvlText w:val="%1."/>
      <w:lvlJc w:val="left"/>
      <w:pPr>
        <w:ind w:left="360" w:hanging="360"/>
      </w:pPr>
      <w:rPr>
        <w:rFonts w:eastAsiaTheme="minorHAnsi"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nsid w:val="75E80A3F"/>
    <w:multiLevelType w:val="hybridMultilevel"/>
    <w:tmpl w:val="FF0E83C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1">
    <w:nsid w:val="7EAB4607"/>
    <w:multiLevelType w:val="multilevel"/>
    <w:tmpl w:val="63448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5"/>
  </w:num>
  <w:num w:numId="7">
    <w:abstractNumId w:val="41"/>
  </w:num>
  <w:num w:numId="8">
    <w:abstractNumId w:val="5"/>
  </w:num>
  <w:num w:numId="9">
    <w:abstractNumId w:val="28"/>
  </w:num>
  <w:num w:numId="10">
    <w:abstractNumId w:val="9"/>
  </w:num>
  <w:num w:numId="11">
    <w:abstractNumId w:val="7"/>
  </w:num>
  <w:num w:numId="12">
    <w:abstractNumId w:val="21"/>
  </w:num>
  <w:num w:numId="13">
    <w:abstractNumId w:val="31"/>
  </w:num>
  <w:num w:numId="14">
    <w:abstractNumId w:val="20"/>
  </w:num>
  <w:num w:numId="15">
    <w:abstractNumId w:val="32"/>
  </w:num>
  <w:num w:numId="16">
    <w:abstractNumId w:val="30"/>
  </w:num>
  <w:num w:numId="17">
    <w:abstractNumId w:val="6"/>
  </w:num>
  <w:num w:numId="18">
    <w:abstractNumId w:val="2"/>
  </w:num>
  <w:num w:numId="19">
    <w:abstractNumId w:val="16"/>
  </w:num>
  <w:num w:numId="20">
    <w:abstractNumId w:val="27"/>
  </w:num>
  <w:num w:numId="21">
    <w:abstractNumId w:val="35"/>
  </w:num>
  <w:num w:numId="22">
    <w:abstractNumId w:val="33"/>
  </w:num>
  <w:num w:numId="23">
    <w:abstractNumId w:val="1"/>
  </w:num>
  <w:num w:numId="24">
    <w:abstractNumId w:val="14"/>
  </w:num>
  <w:num w:numId="25">
    <w:abstractNumId w:val="22"/>
  </w:num>
  <w:num w:numId="26">
    <w:abstractNumId w:val="3"/>
  </w:num>
  <w:num w:numId="27">
    <w:abstractNumId w:val="26"/>
  </w:num>
  <w:num w:numId="28">
    <w:abstractNumId w:val="8"/>
  </w:num>
  <w:num w:numId="29">
    <w:abstractNumId w:val="17"/>
  </w:num>
  <w:num w:numId="30">
    <w:abstractNumId w:val="38"/>
  </w:num>
  <w:num w:numId="31">
    <w:abstractNumId w:val="13"/>
  </w:num>
  <w:num w:numId="32">
    <w:abstractNumId w:val="29"/>
  </w:num>
  <w:num w:numId="33">
    <w:abstractNumId w:val="10"/>
  </w:num>
  <w:num w:numId="34">
    <w:abstractNumId w:val="37"/>
  </w:num>
  <w:num w:numId="35">
    <w:abstractNumId w:val="18"/>
  </w:num>
  <w:num w:numId="36">
    <w:abstractNumId w:val="0"/>
  </w:num>
  <w:num w:numId="37">
    <w:abstractNumId w:val="4"/>
  </w:num>
  <w:num w:numId="38">
    <w:abstractNumId w:val="25"/>
  </w:num>
  <w:num w:numId="39">
    <w:abstractNumId w:val="34"/>
  </w:num>
  <w:num w:numId="40">
    <w:abstractNumId w:val="36"/>
  </w:num>
  <w:num w:numId="41">
    <w:abstractNumId w:val="23"/>
  </w:num>
  <w:num w:numId="42">
    <w:abstractNumId w:val="1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7C7"/>
    <w:rsid w:val="000212C2"/>
    <w:rsid w:val="0003137A"/>
    <w:rsid w:val="00041171"/>
    <w:rsid w:val="00050F8E"/>
    <w:rsid w:val="000573AD"/>
    <w:rsid w:val="00057A2F"/>
    <w:rsid w:val="00072F17"/>
    <w:rsid w:val="000806D8"/>
    <w:rsid w:val="00082C80"/>
    <w:rsid w:val="00083847"/>
    <w:rsid w:val="00083C36"/>
    <w:rsid w:val="000A69BF"/>
    <w:rsid w:val="000C225A"/>
    <w:rsid w:val="000C6781"/>
    <w:rsid w:val="000D412F"/>
    <w:rsid w:val="000D4FA3"/>
    <w:rsid w:val="000F5E49"/>
    <w:rsid w:val="000F7A87"/>
    <w:rsid w:val="00110703"/>
    <w:rsid w:val="00111BFD"/>
    <w:rsid w:val="0011498B"/>
    <w:rsid w:val="00120147"/>
    <w:rsid w:val="00123140"/>
    <w:rsid w:val="00163BA3"/>
    <w:rsid w:val="00166B31"/>
    <w:rsid w:val="00180771"/>
    <w:rsid w:val="001809DE"/>
    <w:rsid w:val="00183F21"/>
    <w:rsid w:val="001930A3"/>
    <w:rsid w:val="001A341E"/>
    <w:rsid w:val="001B0EA6"/>
    <w:rsid w:val="001B1CDF"/>
    <w:rsid w:val="001B56F4"/>
    <w:rsid w:val="001C5462"/>
    <w:rsid w:val="001D6302"/>
    <w:rsid w:val="001E7DD0"/>
    <w:rsid w:val="001F1BDA"/>
    <w:rsid w:val="0020095E"/>
    <w:rsid w:val="00210D30"/>
    <w:rsid w:val="00234A34"/>
    <w:rsid w:val="0025255D"/>
    <w:rsid w:val="00254FDF"/>
    <w:rsid w:val="002614CE"/>
    <w:rsid w:val="00270480"/>
    <w:rsid w:val="002779AF"/>
    <w:rsid w:val="002823D8"/>
    <w:rsid w:val="0028531A"/>
    <w:rsid w:val="00285446"/>
    <w:rsid w:val="002924C1"/>
    <w:rsid w:val="00295593"/>
    <w:rsid w:val="00296FC5"/>
    <w:rsid w:val="002A386C"/>
    <w:rsid w:val="002A7A9F"/>
    <w:rsid w:val="002C30BC"/>
    <w:rsid w:val="002C7A88"/>
    <w:rsid w:val="002D232B"/>
    <w:rsid w:val="002D5E00"/>
    <w:rsid w:val="002D6DAC"/>
    <w:rsid w:val="002E1E94"/>
    <w:rsid w:val="002E3FAD"/>
    <w:rsid w:val="002E4E16"/>
    <w:rsid w:val="002E7D0E"/>
    <w:rsid w:val="002F5517"/>
    <w:rsid w:val="002F5CAE"/>
    <w:rsid w:val="00301E8C"/>
    <w:rsid w:val="0031008D"/>
    <w:rsid w:val="00320009"/>
    <w:rsid w:val="003215B7"/>
    <w:rsid w:val="00323CE3"/>
    <w:rsid w:val="0032424A"/>
    <w:rsid w:val="00380AF7"/>
    <w:rsid w:val="00394A05"/>
    <w:rsid w:val="00397770"/>
    <w:rsid w:val="00397880"/>
    <w:rsid w:val="003A7016"/>
    <w:rsid w:val="003E4046"/>
    <w:rsid w:val="003F125B"/>
    <w:rsid w:val="003F7B3F"/>
    <w:rsid w:val="0041078D"/>
    <w:rsid w:val="00416F97"/>
    <w:rsid w:val="00425CE4"/>
    <w:rsid w:val="0042748E"/>
    <w:rsid w:val="0043039B"/>
    <w:rsid w:val="004369A6"/>
    <w:rsid w:val="004423FE"/>
    <w:rsid w:val="00445C35"/>
    <w:rsid w:val="004667E7"/>
    <w:rsid w:val="00475797"/>
    <w:rsid w:val="004811DD"/>
    <w:rsid w:val="00491766"/>
    <w:rsid w:val="0049253B"/>
    <w:rsid w:val="004A140B"/>
    <w:rsid w:val="004B7104"/>
    <w:rsid w:val="004B7BAA"/>
    <w:rsid w:val="004C2DF7"/>
    <w:rsid w:val="004C4E0B"/>
    <w:rsid w:val="004D497E"/>
    <w:rsid w:val="004E4809"/>
    <w:rsid w:val="004E6352"/>
    <w:rsid w:val="004E6460"/>
    <w:rsid w:val="004F6B46"/>
    <w:rsid w:val="005173BE"/>
    <w:rsid w:val="00525B80"/>
    <w:rsid w:val="0053098F"/>
    <w:rsid w:val="00546D8E"/>
    <w:rsid w:val="00571AE1"/>
    <w:rsid w:val="00583549"/>
    <w:rsid w:val="00592267"/>
    <w:rsid w:val="005A1C2F"/>
    <w:rsid w:val="005B0AE2"/>
    <w:rsid w:val="005B1F2C"/>
    <w:rsid w:val="005D03D9"/>
    <w:rsid w:val="005D12E2"/>
    <w:rsid w:val="005D666D"/>
    <w:rsid w:val="00606C01"/>
    <w:rsid w:val="00615AB0"/>
    <w:rsid w:val="0061778C"/>
    <w:rsid w:val="0062093B"/>
    <w:rsid w:val="00621ECC"/>
    <w:rsid w:val="0063065A"/>
    <w:rsid w:val="00636B90"/>
    <w:rsid w:val="0064738B"/>
    <w:rsid w:val="006508EA"/>
    <w:rsid w:val="00674B95"/>
    <w:rsid w:val="00697DB5"/>
    <w:rsid w:val="006A492A"/>
    <w:rsid w:val="006B1C72"/>
    <w:rsid w:val="006C25F8"/>
    <w:rsid w:val="006D5576"/>
    <w:rsid w:val="006E5FE9"/>
    <w:rsid w:val="006E766D"/>
    <w:rsid w:val="007025A9"/>
    <w:rsid w:val="00705C9F"/>
    <w:rsid w:val="00716951"/>
    <w:rsid w:val="00735D9E"/>
    <w:rsid w:val="0075136C"/>
    <w:rsid w:val="00754CF7"/>
    <w:rsid w:val="00771A68"/>
    <w:rsid w:val="00777D58"/>
    <w:rsid w:val="007A22F5"/>
    <w:rsid w:val="007C212A"/>
    <w:rsid w:val="007E7D21"/>
    <w:rsid w:val="007F482F"/>
    <w:rsid w:val="007F7A40"/>
    <w:rsid w:val="00807CC5"/>
    <w:rsid w:val="00823B49"/>
    <w:rsid w:val="00831751"/>
    <w:rsid w:val="00835B42"/>
    <w:rsid w:val="00843072"/>
    <w:rsid w:val="00847D99"/>
    <w:rsid w:val="0085038E"/>
    <w:rsid w:val="0086271D"/>
    <w:rsid w:val="0086420B"/>
    <w:rsid w:val="00864DBF"/>
    <w:rsid w:val="00865AE2"/>
    <w:rsid w:val="0088593D"/>
    <w:rsid w:val="008A722F"/>
    <w:rsid w:val="008A7313"/>
    <w:rsid w:val="008A7D91"/>
    <w:rsid w:val="008B0D43"/>
    <w:rsid w:val="008B7FC7"/>
    <w:rsid w:val="008C17A4"/>
    <w:rsid w:val="008E1E4A"/>
    <w:rsid w:val="008F0615"/>
    <w:rsid w:val="008F1FDB"/>
    <w:rsid w:val="00935E09"/>
    <w:rsid w:val="00950605"/>
    <w:rsid w:val="00952233"/>
    <w:rsid w:val="00954D66"/>
    <w:rsid w:val="0096121C"/>
    <w:rsid w:val="00975D76"/>
    <w:rsid w:val="009773A2"/>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4459E"/>
    <w:rsid w:val="00A50291"/>
    <w:rsid w:val="00A604CD"/>
    <w:rsid w:val="00A60FE6"/>
    <w:rsid w:val="00A6231E"/>
    <w:rsid w:val="00A654BE"/>
    <w:rsid w:val="00A73CEC"/>
    <w:rsid w:val="00A7683B"/>
    <w:rsid w:val="00A805BE"/>
    <w:rsid w:val="00A874EF"/>
    <w:rsid w:val="00A95415"/>
    <w:rsid w:val="00AA1366"/>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7303E"/>
    <w:rsid w:val="00B93B62"/>
    <w:rsid w:val="00B953D1"/>
    <w:rsid w:val="00BA30D0"/>
    <w:rsid w:val="00BC5ACC"/>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013B"/>
    <w:rsid w:val="00CC2909"/>
    <w:rsid w:val="00D05E6F"/>
    <w:rsid w:val="00D33442"/>
    <w:rsid w:val="00D44BAD"/>
    <w:rsid w:val="00D45B55"/>
    <w:rsid w:val="00D7097B"/>
    <w:rsid w:val="00D91DFA"/>
    <w:rsid w:val="00DB1AB2"/>
    <w:rsid w:val="00DC0DA2"/>
    <w:rsid w:val="00DD3A65"/>
    <w:rsid w:val="00DD62C6"/>
    <w:rsid w:val="00E00498"/>
    <w:rsid w:val="00E2617A"/>
    <w:rsid w:val="00E34192"/>
    <w:rsid w:val="00E41824"/>
    <w:rsid w:val="00E538E6"/>
    <w:rsid w:val="00E802A2"/>
    <w:rsid w:val="00E806E6"/>
    <w:rsid w:val="00E85C0B"/>
    <w:rsid w:val="00E96983"/>
    <w:rsid w:val="00ED67AF"/>
    <w:rsid w:val="00EE128C"/>
    <w:rsid w:val="00EE7B77"/>
    <w:rsid w:val="00EF37C7"/>
    <w:rsid w:val="00EF66D9"/>
    <w:rsid w:val="00EF6BA5"/>
    <w:rsid w:val="00EF780D"/>
    <w:rsid w:val="00EF7A98"/>
    <w:rsid w:val="00F0267E"/>
    <w:rsid w:val="00F24485"/>
    <w:rsid w:val="00F474C9"/>
    <w:rsid w:val="00F61675"/>
    <w:rsid w:val="00F6686B"/>
    <w:rsid w:val="00F67F74"/>
    <w:rsid w:val="00F73DE3"/>
    <w:rsid w:val="00F84DD2"/>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108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 Spacing" w:qFormat="1"/>
    <w:lsdException w:name="Revision" w:semiHidden="1" w:uiPriority="99"/>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link w:val="DocumentMapChar"/>
    <w:uiPriority w:val="99"/>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numbering" w:customStyle="1" w:styleId="NoList1">
    <w:name w:val="No List1"/>
    <w:next w:val="NoList"/>
    <w:uiPriority w:val="99"/>
    <w:semiHidden/>
    <w:unhideWhenUsed/>
    <w:rsid w:val="005173BE"/>
  </w:style>
  <w:style w:type="character" w:customStyle="1" w:styleId="TitleChar">
    <w:name w:val="Title Char"/>
    <w:basedOn w:val="DefaultParagraphFont"/>
    <w:link w:val="Title"/>
    <w:uiPriority w:val="10"/>
    <w:rsid w:val="005173BE"/>
    <w:rPr>
      <w:rFonts w:ascii="Verdana" w:eastAsia="Arial" w:hAnsi="Verdana" w:cs="Arial"/>
      <w:b/>
      <w:bCs/>
      <w:kern w:val="28"/>
      <w:sz w:val="32"/>
      <w:szCs w:val="32"/>
      <w:lang w:val="en-GB" w:eastAsia="en-US"/>
    </w:rPr>
  </w:style>
  <w:style w:type="character" w:customStyle="1" w:styleId="FooterChar">
    <w:name w:val="Footer Char"/>
    <w:basedOn w:val="DefaultParagraphFont"/>
    <w:link w:val="Footer"/>
    <w:uiPriority w:val="99"/>
    <w:rsid w:val="005173BE"/>
    <w:rPr>
      <w:rFonts w:ascii="Verdana" w:eastAsia="Arial" w:hAnsi="Verdana" w:cs="Arial"/>
      <w:lang w:val="en-GB" w:eastAsia="en-US"/>
    </w:rPr>
  </w:style>
  <w:style w:type="character" w:customStyle="1" w:styleId="HeaderChar">
    <w:name w:val="Header Char"/>
    <w:basedOn w:val="DefaultParagraphFont"/>
    <w:link w:val="Header"/>
    <w:uiPriority w:val="99"/>
    <w:rsid w:val="005173BE"/>
    <w:rPr>
      <w:rFonts w:ascii="Verdana" w:eastAsia="Arial" w:hAnsi="Verdana" w:cs="Arial"/>
      <w:lang w:val="en-GB" w:eastAsia="en-US"/>
    </w:rPr>
  </w:style>
  <w:style w:type="paragraph" w:customStyle="1" w:styleId="p1">
    <w:name w:val="p1"/>
    <w:basedOn w:val="Normal"/>
    <w:rsid w:val="005173BE"/>
    <w:pPr>
      <w:shd w:val="clear" w:color="auto" w:fill="FFFFFF"/>
      <w:tabs>
        <w:tab w:val="clear" w:pos="1134"/>
      </w:tabs>
      <w:jc w:val="left"/>
    </w:pPr>
    <w:rPr>
      <w:rFonts w:ascii="Helvetica" w:eastAsia="Calibri" w:hAnsi="Helvetica" w:cs="Times New Roman"/>
      <w:color w:val="3367D6"/>
      <w:lang w:eastAsia="en-GB"/>
    </w:rPr>
  </w:style>
  <w:style w:type="character" w:customStyle="1" w:styleId="s1">
    <w:name w:val="s1"/>
    <w:basedOn w:val="DefaultParagraphFont"/>
    <w:rsid w:val="005173BE"/>
    <w:rPr>
      <w:color w:val="212121"/>
    </w:rPr>
  </w:style>
  <w:style w:type="character" w:customStyle="1" w:styleId="s2">
    <w:name w:val="s2"/>
    <w:basedOn w:val="DefaultParagraphFont"/>
    <w:rsid w:val="005173BE"/>
    <w:rPr>
      <w:color w:val="3367D6"/>
      <w:u w:val="single"/>
    </w:rPr>
  </w:style>
  <w:style w:type="character" w:customStyle="1" w:styleId="CommentTextChar">
    <w:name w:val="Comment Text Char"/>
    <w:basedOn w:val="DefaultParagraphFont"/>
    <w:link w:val="CommentText"/>
    <w:uiPriority w:val="99"/>
    <w:rsid w:val="005173BE"/>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5173BE"/>
    <w:rPr>
      <w:rFonts w:ascii="Verdana" w:eastAsia="Arial" w:hAnsi="Verdana" w:cs="Arial"/>
      <w:b/>
      <w:bCs/>
      <w:lang w:val="en-GB" w:eastAsia="en-US"/>
    </w:rPr>
  </w:style>
  <w:style w:type="character" w:styleId="Emphasis">
    <w:name w:val="Emphasis"/>
    <w:basedOn w:val="DefaultParagraphFont"/>
    <w:uiPriority w:val="20"/>
    <w:qFormat/>
    <w:rsid w:val="005173BE"/>
    <w:rPr>
      <w:i/>
      <w:iCs/>
    </w:rPr>
  </w:style>
  <w:style w:type="paragraph" w:customStyle="1" w:styleId="p2">
    <w:name w:val="p2"/>
    <w:basedOn w:val="Normal"/>
    <w:rsid w:val="005173BE"/>
    <w:pPr>
      <w:tabs>
        <w:tab w:val="clear" w:pos="1134"/>
      </w:tabs>
      <w:jc w:val="left"/>
    </w:pPr>
    <w:rPr>
      <w:rFonts w:ascii="Helvetica Neue" w:eastAsia="Calibri" w:hAnsi="Helvetica Neue" w:cs="Times New Roman"/>
      <w:color w:val="454545"/>
      <w:sz w:val="18"/>
      <w:szCs w:val="18"/>
      <w:lang w:eastAsia="en-GB"/>
    </w:rPr>
  </w:style>
  <w:style w:type="character" w:customStyle="1" w:styleId="apple-converted-space">
    <w:name w:val="apple-converted-space"/>
    <w:basedOn w:val="DefaultParagraphFont"/>
    <w:rsid w:val="005173BE"/>
  </w:style>
  <w:style w:type="paragraph" w:styleId="Revision">
    <w:name w:val="Revision"/>
    <w:hidden/>
    <w:uiPriority w:val="99"/>
    <w:semiHidden/>
    <w:rsid w:val="005173BE"/>
    <w:rPr>
      <w:rFonts w:ascii="Calibri" w:eastAsia="Calibri" w:hAnsi="Calibri"/>
      <w:sz w:val="24"/>
      <w:szCs w:val="24"/>
      <w:lang w:val="en-GB" w:eastAsia="en-US"/>
    </w:rPr>
  </w:style>
  <w:style w:type="character" w:customStyle="1" w:styleId="DocumentMapChar">
    <w:name w:val="Document Map Char"/>
    <w:basedOn w:val="DefaultParagraphFont"/>
    <w:link w:val="DocumentMap"/>
    <w:uiPriority w:val="99"/>
    <w:semiHidden/>
    <w:rsid w:val="005173BE"/>
    <w:rPr>
      <w:rFonts w:ascii="Tahoma" w:eastAsia="Arial" w:hAnsi="Tahoma" w:cs="Tahoma"/>
      <w:shd w:val="clear" w:color="auto" w:fill="000080"/>
      <w:lang w:val="en-GB" w:eastAsia="en-US"/>
    </w:rPr>
  </w:style>
  <w:style w:type="paragraph" w:customStyle="1" w:styleId="Caption1">
    <w:name w:val="Caption1"/>
    <w:basedOn w:val="Normal"/>
    <w:next w:val="Normal"/>
    <w:uiPriority w:val="35"/>
    <w:unhideWhenUsed/>
    <w:qFormat/>
    <w:rsid w:val="005173BE"/>
    <w:pPr>
      <w:tabs>
        <w:tab w:val="clear" w:pos="1134"/>
      </w:tabs>
      <w:spacing w:after="200"/>
      <w:jc w:val="left"/>
    </w:pPr>
    <w:rPr>
      <w:rFonts w:ascii="Calibri" w:eastAsia="Calibri" w:hAnsi="Calibri" w:cs="Times New Roman"/>
      <w:i/>
      <w:iCs/>
      <w:color w:val="44546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 Spacing" w:qFormat="1"/>
    <w:lsdException w:name="Revision" w:semiHidden="1" w:uiPriority="99"/>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link w:val="DocumentMapChar"/>
    <w:uiPriority w:val="99"/>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numbering" w:customStyle="1" w:styleId="NoList1">
    <w:name w:val="No List1"/>
    <w:next w:val="NoList"/>
    <w:uiPriority w:val="99"/>
    <w:semiHidden/>
    <w:unhideWhenUsed/>
    <w:rsid w:val="005173BE"/>
  </w:style>
  <w:style w:type="character" w:customStyle="1" w:styleId="TitleChar">
    <w:name w:val="Title Char"/>
    <w:basedOn w:val="DefaultParagraphFont"/>
    <w:link w:val="Title"/>
    <w:uiPriority w:val="10"/>
    <w:rsid w:val="005173BE"/>
    <w:rPr>
      <w:rFonts w:ascii="Verdana" w:eastAsia="Arial" w:hAnsi="Verdana" w:cs="Arial"/>
      <w:b/>
      <w:bCs/>
      <w:kern w:val="28"/>
      <w:sz w:val="32"/>
      <w:szCs w:val="32"/>
      <w:lang w:val="en-GB" w:eastAsia="en-US"/>
    </w:rPr>
  </w:style>
  <w:style w:type="character" w:customStyle="1" w:styleId="FooterChar">
    <w:name w:val="Footer Char"/>
    <w:basedOn w:val="DefaultParagraphFont"/>
    <w:link w:val="Footer"/>
    <w:uiPriority w:val="99"/>
    <w:rsid w:val="005173BE"/>
    <w:rPr>
      <w:rFonts w:ascii="Verdana" w:eastAsia="Arial" w:hAnsi="Verdana" w:cs="Arial"/>
      <w:lang w:val="en-GB" w:eastAsia="en-US"/>
    </w:rPr>
  </w:style>
  <w:style w:type="character" w:customStyle="1" w:styleId="HeaderChar">
    <w:name w:val="Header Char"/>
    <w:basedOn w:val="DefaultParagraphFont"/>
    <w:link w:val="Header"/>
    <w:uiPriority w:val="99"/>
    <w:rsid w:val="005173BE"/>
    <w:rPr>
      <w:rFonts w:ascii="Verdana" w:eastAsia="Arial" w:hAnsi="Verdana" w:cs="Arial"/>
      <w:lang w:val="en-GB" w:eastAsia="en-US"/>
    </w:rPr>
  </w:style>
  <w:style w:type="paragraph" w:customStyle="1" w:styleId="p1">
    <w:name w:val="p1"/>
    <w:basedOn w:val="Normal"/>
    <w:rsid w:val="005173BE"/>
    <w:pPr>
      <w:shd w:val="clear" w:color="auto" w:fill="FFFFFF"/>
      <w:tabs>
        <w:tab w:val="clear" w:pos="1134"/>
      </w:tabs>
      <w:jc w:val="left"/>
    </w:pPr>
    <w:rPr>
      <w:rFonts w:ascii="Helvetica" w:eastAsia="Calibri" w:hAnsi="Helvetica" w:cs="Times New Roman"/>
      <w:color w:val="3367D6"/>
      <w:lang w:eastAsia="en-GB"/>
    </w:rPr>
  </w:style>
  <w:style w:type="character" w:customStyle="1" w:styleId="s1">
    <w:name w:val="s1"/>
    <w:basedOn w:val="DefaultParagraphFont"/>
    <w:rsid w:val="005173BE"/>
    <w:rPr>
      <w:color w:val="212121"/>
    </w:rPr>
  </w:style>
  <w:style w:type="character" w:customStyle="1" w:styleId="s2">
    <w:name w:val="s2"/>
    <w:basedOn w:val="DefaultParagraphFont"/>
    <w:rsid w:val="005173BE"/>
    <w:rPr>
      <w:color w:val="3367D6"/>
      <w:u w:val="single"/>
    </w:rPr>
  </w:style>
  <w:style w:type="character" w:customStyle="1" w:styleId="CommentTextChar">
    <w:name w:val="Comment Text Char"/>
    <w:basedOn w:val="DefaultParagraphFont"/>
    <w:link w:val="CommentText"/>
    <w:uiPriority w:val="99"/>
    <w:rsid w:val="005173BE"/>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5173BE"/>
    <w:rPr>
      <w:rFonts w:ascii="Verdana" w:eastAsia="Arial" w:hAnsi="Verdana" w:cs="Arial"/>
      <w:b/>
      <w:bCs/>
      <w:lang w:val="en-GB" w:eastAsia="en-US"/>
    </w:rPr>
  </w:style>
  <w:style w:type="character" w:styleId="Emphasis">
    <w:name w:val="Emphasis"/>
    <w:basedOn w:val="DefaultParagraphFont"/>
    <w:uiPriority w:val="20"/>
    <w:qFormat/>
    <w:rsid w:val="005173BE"/>
    <w:rPr>
      <w:i/>
      <w:iCs/>
    </w:rPr>
  </w:style>
  <w:style w:type="paragraph" w:customStyle="1" w:styleId="p2">
    <w:name w:val="p2"/>
    <w:basedOn w:val="Normal"/>
    <w:rsid w:val="005173BE"/>
    <w:pPr>
      <w:tabs>
        <w:tab w:val="clear" w:pos="1134"/>
      </w:tabs>
      <w:jc w:val="left"/>
    </w:pPr>
    <w:rPr>
      <w:rFonts w:ascii="Helvetica Neue" w:eastAsia="Calibri" w:hAnsi="Helvetica Neue" w:cs="Times New Roman"/>
      <w:color w:val="454545"/>
      <w:sz w:val="18"/>
      <w:szCs w:val="18"/>
      <w:lang w:eastAsia="en-GB"/>
    </w:rPr>
  </w:style>
  <w:style w:type="character" w:customStyle="1" w:styleId="apple-converted-space">
    <w:name w:val="apple-converted-space"/>
    <w:basedOn w:val="DefaultParagraphFont"/>
    <w:rsid w:val="005173BE"/>
  </w:style>
  <w:style w:type="paragraph" w:styleId="Revision">
    <w:name w:val="Revision"/>
    <w:hidden/>
    <w:uiPriority w:val="99"/>
    <w:semiHidden/>
    <w:rsid w:val="005173BE"/>
    <w:rPr>
      <w:rFonts w:ascii="Calibri" w:eastAsia="Calibri" w:hAnsi="Calibri"/>
      <w:sz w:val="24"/>
      <w:szCs w:val="24"/>
      <w:lang w:val="en-GB" w:eastAsia="en-US"/>
    </w:rPr>
  </w:style>
  <w:style w:type="character" w:customStyle="1" w:styleId="DocumentMapChar">
    <w:name w:val="Document Map Char"/>
    <w:basedOn w:val="DefaultParagraphFont"/>
    <w:link w:val="DocumentMap"/>
    <w:uiPriority w:val="99"/>
    <w:semiHidden/>
    <w:rsid w:val="005173BE"/>
    <w:rPr>
      <w:rFonts w:ascii="Tahoma" w:eastAsia="Arial" w:hAnsi="Tahoma" w:cs="Tahoma"/>
      <w:shd w:val="clear" w:color="auto" w:fill="000080"/>
      <w:lang w:val="en-GB" w:eastAsia="en-US"/>
    </w:rPr>
  </w:style>
  <w:style w:type="paragraph" w:customStyle="1" w:styleId="Caption1">
    <w:name w:val="Caption1"/>
    <w:basedOn w:val="Normal"/>
    <w:next w:val="Normal"/>
    <w:uiPriority w:val="35"/>
    <w:unhideWhenUsed/>
    <w:qFormat/>
    <w:rsid w:val="005173BE"/>
    <w:pPr>
      <w:tabs>
        <w:tab w:val="clear" w:pos="1134"/>
      </w:tabs>
      <w:spacing w:after="200"/>
      <w:jc w:val="left"/>
    </w:pPr>
    <w:rPr>
      <w:rFonts w:ascii="Calibri" w:eastAsia="Calibri" w:hAnsi="Calibri" w:cs="Times New Roman"/>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service-manual/agile-delivery/how-the-discovery-phase-work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eader" Target="header1.xm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gov.uk/service-manual/agile-delivery/how-the-alpha-phase-work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w3.org/Consortium/Patent-Policy-20040205/" TargetMode="External"/><Relationship Id="rId2" Type="http://schemas.openxmlformats.org/officeDocument/2006/relationships/hyperlink" Target="http://openwis.github.io/openwis-documentation/conduct/" TargetMode="External"/><Relationship Id="rId1" Type="http://schemas.openxmlformats.org/officeDocument/2006/relationships/hyperlink" Target="https://www.apache.org/foundation/policies/conduct" TargetMode="External"/><Relationship Id="rId4" Type="http://schemas.openxmlformats.org/officeDocument/2006/relationships/hyperlink" Target="http://library.wmo.int/pmb_ged/wmo_1127_en.pdf"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B3258FF072BA142A562A96605470899"/>
        <w:category>
          <w:name w:val="General"/>
          <w:gallery w:val="placeholder"/>
        </w:category>
        <w:types>
          <w:type w:val="bbPlcHdr"/>
        </w:types>
        <w:behaviors>
          <w:behavior w:val="content"/>
        </w:behaviors>
        <w:guid w:val="{90F33E10-B307-F64D-8411-C5930BC8827B}"/>
      </w:docPartPr>
      <w:docPartBody>
        <w:p w:rsidR="00961077" w:rsidRDefault="00E140D9">
          <w:pPr>
            <w:pStyle w:val="1B3258FF072BA142A562A96605470899"/>
          </w:pPr>
          <w:r w:rsidRPr="00F0761C">
            <w:rPr>
              <w:rStyle w:val="PlaceholderText"/>
            </w:rPr>
            <w:t>[Keywords]</w:t>
          </w:r>
        </w:p>
      </w:docPartBody>
    </w:docPart>
    <w:docPart>
      <w:docPartPr>
        <w:name w:val="6581D5A48F57B5408AD65411042A196F"/>
        <w:category>
          <w:name w:val="General"/>
          <w:gallery w:val="placeholder"/>
        </w:category>
        <w:types>
          <w:type w:val="bbPlcHdr"/>
        </w:types>
        <w:behaviors>
          <w:behavior w:val="content"/>
        </w:behaviors>
        <w:guid w:val="{01237D5A-AA25-6B40-A283-0E903385161D}"/>
      </w:docPartPr>
      <w:docPartBody>
        <w:p w:rsidR="00961077" w:rsidRDefault="00E140D9">
          <w:pPr>
            <w:pStyle w:val="6581D5A48F57B5408AD65411042A196F"/>
          </w:pPr>
          <w:r w:rsidRPr="00F0761C">
            <w:rPr>
              <w:rStyle w:val="PlaceholderText"/>
            </w:rPr>
            <w:t>[Category]</w:t>
          </w:r>
        </w:p>
      </w:docPartBody>
    </w:docPart>
    <w:docPart>
      <w:docPartPr>
        <w:name w:val="80279B5B724F044CA5760BCD9BAC8B98"/>
        <w:category>
          <w:name w:val="General"/>
          <w:gallery w:val="placeholder"/>
        </w:category>
        <w:types>
          <w:type w:val="bbPlcHdr"/>
        </w:types>
        <w:behaviors>
          <w:behavior w:val="content"/>
        </w:behaviors>
        <w:guid w:val="{5BFBF2F3-82F7-7343-B64D-F9B6119B1930}"/>
      </w:docPartPr>
      <w:docPartBody>
        <w:p w:rsidR="00961077" w:rsidRDefault="00E140D9">
          <w:pPr>
            <w:pStyle w:val="80279B5B724F044CA5760BCD9BAC8B98"/>
          </w:pPr>
          <w:r w:rsidRPr="00F0761C">
            <w:rPr>
              <w:rStyle w:val="PlaceholderText"/>
            </w:rPr>
            <w:t>[Status]</w:t>
          </w:r>
        </w:p>
      </w:docPartBody>
    </w:docPart>
    <w:docPart>
      <w:docPartPr>
        <w:name w:val="09967BC8C80F3F428B26F39D16B42E1C"/>
        <w:category>
          <w:name w:val="General"/>
          <w:gallery w:val="placeholder"/>
        </w:category>
        <w:types>
          <w:type w:val="bbPlcHdr"/>
        </w:types>
        <w:behaviors>
          <w:behavior w:val="content"/>
        </w:behaviors>
        <w:guid w:val="{349B7870-92E8-C54C-BB95-F704E901B3BF}"/>
      </w:docPartPr>
      <w:docPartBody>
        <w:p w:rsidR="00961077" w:rsidRDefault="00E140D9">
          <w:pPr>
            <w:pStyle w:val="09967BC8C80F3F428B26F39D16B42E1C"/>
          </w:pPr>
          <w:r w:rsidRPr="00F0761C">
            <w:rPr>
              <w:rStyle w:val="PlaceholderText"/>
            </w:rPr>
            <w:t>[Keywords]</w:t>
          </w:r>
        </w:p>
      </w:docPartBody>
    </w:docPart>
    <w:docPart>
      <w:docPartPr>
        <w:name w:val="3862F30A44592B4E8B888933B053744D"/>
        <w:category>
          <w:name w:val="General"/>
          <w:gallery w:val="placeholder"/>
        </w:category>
        <w:types>
          <w:type w:val="bbPlcHdr"/>
        </w:types>
        <w:behaviors>
          <w:behavior w:val="content"/>
        </w:behaviors>
        <w:guid w:val="{FDE77D54-345A-BC46-B1DA-57B62E4C1071}"/>
      </w:docPartPr>
      <w:docPartBody>
        <w:p w:rsidR="00961077" w:rsidRDefault="00E140D9">
          <w:pPr>
            <w:pStyle w:val="3862F30A44592B4E8B888933B053744D"/>
          </w:pPr>
          <w:r w:rsidRPr="00F0761C">
            <w:rPr>
              <w:rStyle w:val="PlaceholderText"/>
            </w:rPr>
            <w:t>[Category]</w:t>
          </w:r>
        </w:p>
      </w:docPartBody>
    </w:docPart>
    <w:docPart>
      <w:docPartPr>
        <w:name w:val="9E1E29F477251540B5BBEEDB378F73B9"/>
        <w:category>
          <w:name w:val="General"/>
          <w:gallery w:val="placeholder"/>
        </w:category>
        <w:types>
          <w:type w:val="bbPlcHdr"/>
        </w:types>
        <w:behaviors>
          <w:behavior w:val="content"/>
        </w:behaviors>
        <w:guid w:val="{E1E3F165-3ED6-084D-A62B-14FAD1C64692}"/>
      </w:docPartPr>
      <w:docPartBody>
        <w:p w:rsidR="00961077" w:rsidRDefault="00E140D9">
          <w:pPr>
            <w:pStyle w:val="9E1E29F477251540B5BBEEDB378F73B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0D9"/>
    <w:rsid w:val="002B7FB9"/>
    <w:rsid w:val="00961077"/>
    <w:rsid w:val="00E14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1B3258FF072BA142A562A96605470899">
    <w:name w:val="1B3258FF072BA142A562A96605470899"/>
  </w:style>
  <w:style w:type="paragraph" w:customStyle="1" w:styleId="6581D5A48F57B5408AD65411042A196F">
    <w:name w:val="6581D5A48F57B5408AD65411042A196F"/>
  </w:style>
  <w:style w:type="paragraph" w:customStyle="1" w:styleId="80279B5B724F044CA5760BCD9BAC8B98">
    <w:name w:val="80279B5B724F044CA5760BCD9BAC8B98"/>
  </w:style>
  <w:style w:type="paragraph" w:customStyle="1" w:styleId="09967BC8C80F3F428B26F39D16B42E1C">
    <w:name w:val="09967BC8C80F3F428B26F39D16B42E1C"/>
  </w:style>
  <w:style w:type="paragraph" w:customStyle="1" w:styleId="3862F30A44592B4E8B888933B053744D">
    <w:name w:val="3862F30A44592B4E8B888933B053744D"/>
  </w:style>
  <w:style w:type="paragraph" w:customStyle="1" w:styleId="9E1E29F477251540B5BBEEDB378F73B9">
    <w:name w:val="9E1E29F477251540B5BBEEDB378F73B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1B3258FF072BA142A562A96605470899">
    <w:name w:val="1B3258FF072BA142A562A96605470899"/>
  </w:style>
  <w:style w:type="paragraph" w:customStyle="1" w:styleId="6581D5A48F57B5408AD65411042A196F">
    <w:name w:val="6581D5A48F57B5408AD65411042A196F"/>
  </w:style>
  <w:style w:type="paragraph" w:customStyle="1" w:styleId="80279B5B724F044CA5760BCD9BAC8B98">
    <w:name w:val="80279B5B724F044CA5760BCD9BAC8B98"/>
  </w:style>
  <w:style w:type="paragraph" w:customStyle="1" w:styleId="09967BC8C80F3F428B26F39D16B42E1C">
    <w:name w:val="09967BC8C80F3F428B26F39D16B42E1C"/>
  </w:style>
  <w:style w:type="paragraph" w:customStyle="1" w:styleId="3862F30A44592B4E8B888933B053744D">
    <w:name w:val="3862F30A44592B4E8B888933B053744D"/>
  </w:style>
  <w:style w:type="paragraph" w:customStyle="1" w:styleId="9E1E29F477251540B5BBEEDB378F73B9">
    <w:name w:val="9E1E29F477251540B5BBEEDB378F73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78251-86B7-4283-A9FA-EBA38861C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23</Pages>
  <Words>7411</Words>
  <Characters>42244</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49556</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Tandy, Jeremy</dc:creator>
  <cp:keywords>CBS-MG-17</cp:keywords>
  <dc:description>[Commission and OPAG]</dc:description>
  <cp:lastModifiedBy>Etienne Charpentier</cp:lastModifiedBy>
  <cp:revision>4</cp:revision>
  <cp:lastPrinted>2017-02-23T15:41:00Z</cp:lastPrinted>
  <dcterms:created xsi:type="dcterms:W3CDTF">2017-02-23T12:28:00Z</dcterms:created>
  <dcterms:modified xsi:type="dcterms:W3CDTF">2017-02-23T15:42:00Z</dcterms:modified>
  <cp:category>Doc. 9.3(1)</cp:category>
  <cp:contentStatus>DRAFT 1</cp:contentStatus>
</cp:coreProperties>
</file>