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4C3AF7">
        <w:trPr>
          <w:cantSplit/>
          <w:trHeight w:val="1438"/>
        </w:trPr>
        <w:tc>
          <w:tcPr>
            <w:tcW w:w="4548" w:type="dxa"/>
            <w:vAlign w:val="center"/>
          </w:tcPr>
          <w:p w:rsidR="00701FDB" w:rsidRPr="004C3AF7" w:rsidRDefault="00701FDB" w:rsidP="00E92931">
            <w:pPr>
              <w:shd w:val="clear" w:color="auto" w:fill="FFFFFF"/>
              <w:spacing w:after="180" w:afterAutospacing="0"/>
              <w:jc w:val="center"/>
              <w:outlineLvl w:val="1"/>
              <w:rPr>
                <w:b/>
                <w:bCs/>
                <w:sz w:val="22"/>
                <w:szCs w:val="22"/>
              </w:rPr>
            </w:pPr>
          </w:p>
          <w:p w:rsidR="00701FDB" w:rsidRPr="004C3AF7" w:rsidRDefault="00701FDB" w:rsidP="00E92931">
            <w:pPr>
              <w:shd w:val="clear" w:color="auto" w:fill="FFFFFF"/>
              <w:spacing w:before="60" w:beforeAutospacing="0" w:after="120" w:afterAutospacing="0"/>
              <w:jc w:val="center"/>
              <w:outlineLvl w:val="1"/>
              <w:rPr>
                <w:b/>
                <w:bCs/>
                <w:sz w:val="22"/>
                <w:szCs w:val="22"/>
              </w:rPr>
            </w:pPr>
            <w:r w:rsidRPr="004C3AF7">
              <w:rPr>
                <w:b/>
                <w:bCs/>
                <w:sz w:val="22"/>
                <w:szCs w:val="22"/>
              </w:rPr>
              <w:t>COMMISSION FOR BASIC SYSTEMS</w:t>
            </w:r>
          </w:p>
        </w:tc>
        <w:bookmarkStart w:id="0" w:name="ditulogo"/>
        <w:bookmarkEnd w:id="0"/>
        <w:tc>
          <w:tcPr>
            <w:tcW w:w="5483" w:type="dxa"/>
            <w:gridSpan w:val="4"/>
            <w:tcMar>
              <w:left w:w="6" w:type="dxa"/>
              <w:right w:w="6" w:type="dxa"/>
            </w:tcMar>
          </w:tcPr>
          <w:p w:rsidR="00701FDB" w:rsidRPr="004C3AF7" w:rsidRDefault="00E33512" w:rsidP="00E33512">
            <w:pPr>
              <w:shd w:val="solid" w:color="FFFFFF" w:fill="FFFFFF"/>
              <w:spacing w:before="240" w:beforeAutospacing="0" w:after="0" w:afterAutospacing="0" w:line="240" w:lineRule="atLeast"/>
              <w:rPr>
                <w:sz w:val="22"/>
                <w:szCs w:val="22"/>
              </w:rPr>
            </w:pPr>
            <w:r w:rsidRPr="004C3AF7">
              <w:rPr>
                <w:sz w:val="22"/>
                <w:szCs w:val="22"/>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5.5pt" o:ole="">
                  <v:imagedata r:id="rId9" o:title=""/>
                </v:shape>
                <o:OLEObject Type="Embed" ProgID="PBrush" ShapeID="_x0000_i1025" DrawAspect="Content" ObjectID="_1545203187" r:id="rId10"/>
              </w:object>
            </w:r>
          </w:p>
        </w:tc>
      </w:tr>
      <w:tr w:rsidR="00701FDB" w:rsidRPr="004C3AF7">
        <w:trPr>
          <w:cantSplit/>
        </w:trPr>
        <w:tc>
          <w:tcPr>
            <w:tcW w:w="6228" w:type="dxa"/>
            <w:gridSpan w:val="2"/>
            <w:tcBorders>
              <w:top w:val="single" w:sz="12" w:space="0" w:color="auto"/>
            </w:tcBorders>
          </w:tcPr>
          <w:p w:rsidR="00701FDB" w:rsidRPr="004C3AF7" w:rsidRDefault="00701FDB" w:rsidP="00E33512">
            <w:pPr>
              <w:shd w:val="solid" w:color="FFFFFF" w:fill="FFFFFF"/>
              <w:spacing w:after="48"/>
              <w:rPr>
                <w:sz w:val="22"/>
                <w:szCs w:val="22"/>
              </w:rPr>
            </w:pPr>
          </w:p>
        </w:tc>
        <w:tc>
          <w:tcPr>
            <w:tcW w:w="3803" w:type="dxa"/>
            <w:gridSpan w:val="3"/>
            <w:tcBorders>
              <w:top w:val="single" w:sz="12" w:space="0" w:color="auto"/>
            </w:tcBorders>
          </w:tcPr>
          <w:p w:rsidR="00701FDB" w:rsidRPr="004C3AF7" w:rsidRDefault="00701FDB" w:rsidP="00E33512">
            <w:pPr>
              <w:shd w:val="solid" w:color="FFFFFF" w:fill="FFFFFF"/>
              <w:spacing w:after="48" w:line="240" w:lineRule="atLeast"/>
              <w:rPr>
                <w:sz w:val="22"/>
                <w:szCs w:val="22"/>
              </w:rPr>
            </w:pPr>
          </w:p>
        </w:tc>
      </w:tr>
      <w:tr w:rsidR="00682FE9" w:rsidRPr="004C3AF7">
        <w:trPr>
          <w:cantSplit/>
          <w:trHeight w:val="83"/>
        </w:trPr>
        <w:tc>
          <w:tcPr>
            <w:tcW w:w="6228" w:type="dxa"/>
            <w:gridSpan w:val="2"/>
            <w:vMerge w:val="restart"/>
          </w:tcPr>
          <w:p w:rsidR="00682FE9" w:rsidRPr="004C3AF7" w:rsidRDefault="00872AB2" w:rsidP="00872AB2">
            <w:pPr>
              <w:shd w:val="solid" w:color="FFFFFF" w:fill="FFFFFF"/>
              <w:spacing w:after="240"/>
              <w:rPr>
                <w:b/>
                <w:sz w:val="22"/>
                <w:szCs w:val="22"/>
              </w:rPr>
            </w:pPr>
            <w:bookmarkStart w:id="1" w:name="recibido"/>
            <w:bookmarkStart w:id="2" w:name="dnum" w:colFirst="1" w:colLast="1"/>
            <w:bookmarkEnd w:id="1"/>
            <w:r w:rsidRPr="004C3AF7">
              <w:rPr>
                <w:b/>
                <w:sz w:val="22"/>
                <w:szCs w:val="22"/>
              </w:rPr>
              <w:t xml:space="preserve">Steering Group on Radio Frequency </w:t>
            </w:r>
            <w:r w:rsidRPr="004C3AF7">
              <w:rPr>
                <w:b/>
                <w:sz w:val="22"/>
                <w:szCs w:val="22"/>
              </w:rPr>
              <w:br/>
              <w:t>Coordination (SG-RFC)</w:t>
            </w:r>
          </w:p>
          <w:p w:rsidR="00872AB2" w:rsidRDefault="00C731AD" w:rsidP="00C731AD">
            <w:pPr>
              <w:shd w:val="solid" w:color="FFFFFF" w:fill="FFFFFF"/>
              <w:spacing w:after="240"/>
              <w:rPr>
                <w:b/>
                <w:sz w:val="22"/>
                <w:szCs w:val="22"/>
              </w:rPr>
            </w:pPr>
            <w:r>
              <w:rPr>
                <w:b/>
                <w:sz w:val="22"/>
                <w:szCs w:val="22"/>
              </w:rPr>
              <w:t>Geneva, 24-27 January 2017</w:t>
            </w:r>
          </w:p>
          <w:p w:rsidR="006C73CD" w:rsidRPr="00AC6C80" w:rsidRDefault="006C73CD" w:rsidP="00C731AD">
            <w:pPr>
              <w:shd w:val="solid" w:color="FFFFFF" w:fill="FFFFFF"/>
              <w:spacing w:after="240"/>
              <w:rPr>
                <w:b/>
                <w:sz w:val="22"/>
                <w:szCs w:val="22"/>
              </w:rPr>
            </w:pPr>
            <w:r w:rsidRPr="00AC6C80">
              <w:rPr>
                <w:b/>
                <w:sz w:val="22"/>
                <w:szCs w:val="22"/>
              </w:rPr>
              <w:t>Submitted by : Focal Point for CEPT</w:t>
            </w:r>
          </w:p>
        </w:tc>
        <w:tc>
          <w:tcPr>
            <w:tcW w:w="3803" w:type="dxa"/>
            <w:gridSpan w:val="3"/>
          </w:tcPr>
          <w:p w:rsidR="00682FE9" w:rsidRPr="004C3AF7" w:rsidRDefault="00682FE9" w:rsidP="005179DE">
            <w:pPr>
              <w:shd w:val="solid" w:color="FFFFFF" w:fill="FFFFFF"/>
              <w:spacing w:line="240" w:lineRule="atLeast"/>
              <w:rPr>
                <w:sz w:val="22"/>
                <w:szCs w:val="22"/>
                <w:lang w:eastAsia="zh-CN"/>
              </w:rPr>
            </w:pPr>
            <w:r w:rsidRPr="004C3AF7">
              <w:rPr>
                <w:b/>
                <w:bCs/>
                <w:sz w:val="22"/>
                <w:szCs w:val="22"/>
                <w:lang w:eastAsia="zh-CN"/>
              </w:rPr>
              <w:t>SG-RFC/201</w:t>
            </w:r>
            <w:r w:rsidR="00C731AD">
              <w:rPr>
                <w:b/>
                <w:bCs/>
                <w:sz w:val="22"/>
                <w:szCs w:val="22"/>
                <w:lang w:eastAsia="zh-CN"/>
              </w:rPr>
              <w:t>7</w:t>
            </w:r>
            <w:r w:rsidRPr="004C3AF7">
              <w:rPr>
                <w:b/>
                <w:bCs/>
                <w:sz w:val="22"/>
                <w:szCs w:val="22"/>
                <w:lang w:eastAsia="zh-CN"/>
              </w:rPr>
              <w:t>-</w:t>
            </w:r>
            <w:r w:rsidR="00C731AD">
              <w:rPr>
                <w:b/>
                <w:bCs/>
                <w:sz w:val="22"/>
                <w:szCs w:val="22"/>
                <w:lang w:eastAsia="zh-CN"/>
              </w:rPr>
              <w:t>Doc</w:t>
            </w:r>
            <w:r w:rsidR="005179DE">
              <w:rPr>
                <w:b/>
                <w:bCs/>
                <w:sz w:val="22"/>
                <w:szCs w:val="22"/>
                <w:lang w:eastAsia="zh-CN"/>
              </w:rPr>
              <w:t>[6.3]</w:t>
            </w:r>
            <w:r w:rsidR="005179DE">
              <w:t xml:space="preserve"> </w:t>
            </w:r>
            <w:r w:rsidR="005179DE">
              <w:br/>
            </w:r>
            <w:r w:rsidR="005179DE" w:rsidRPr="005179DE">
              <w:rPr>
                <w:b/>
                <w:bCs/>
                <w:sz w:val="22"/>
                <w:szCs w:val="22"/>
                <w:lang w:eastAsia="zh-CN"/>
              </w:rPr>
              <w:t>Agenda Item [2.4]</w:t>
            </w:r>
          </w:p>
        </w:tc>
      </w:tr>
      <w:tr w:rsidR="00682FE9" w:rsidRPr="004C3AF7">
        <w:trPr>
          <w:cantSplit/>
          <w:trHeight w:val="81"/>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C731AD" w:rsidP="00C731AD">
            <w:pPr>
              <w:shd w:val="solid" w:color="FFFFFF" w:fill="FFFFFF"/>
              <w:spacing w:before="0" w:line="240" w:lineRule="atLeast"/>
              <w:rPr>
                <w:sz w:val="22"/>
                <w:szCs w:val="22"/>
                <w:lang w:eastAsia="zh-CN"/>
              </w:rPr>
            </w:pPr>
            <w:r>
              <w:rPr>
                <w:b/>
                <w:bCs/>
                <w:sz w:val="22"/>
                <w:szCs w:val="22"/>
                <w:lang w:eastAsia="zh-CN"/>
              </w:rPr>
              <w:t>5 January 2017</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sz w:val="22"/>
                <w:szCs w:val="22"/>
                <w:lang w:eastAsia="zh-CN"/>
              </w:rPr>
            </w:pPr>
            <w:r w:rsidRPr="004C3AF7">
              <w:rPr>
                <w:rFonts w:eastAsia="SimSun"/>
                <w:b/>
                <w:bCs/>
                <w:sz w:val="22"/>
                <w:szCs w:val="22"/>
                <w:lang w:eastAsia="zh-CN"/>
              </w:rPr>
              <w:t>English only</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b/>
                <w:bCs/>
                <w:sz w:val="22"/>
                <w:szCs w:val="22"/>
                <w:lang w:eastAsia="zh-CN"/>
              </w:rPr>
            </w:pP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2880" w:type="dxa"/>
            <w:tcBorders>
              <w:right w:val="single" w:sz="8" w:space="0" w:color="auto"/>
            </w:tcBorders>
            <w:tcMar>
              <w:top w:w="11" w:type="dxa"/>
              <w:bottom w:w="11" w:type="dxa"/>
            </w:tcMar>
            <w:vAlign w:val="center"/>
          </w:tcPr>
          <w:p w:rsidR="00682FE9" w:rsidRPr="004C3AF7" w:rsidRDefault="00682FE9" w:rsidP="005179DE">
            <w:pPr>
              <w:shd w:val="solid" w:color="FFFFFF" w:fill="FFFFFF"/>
              <w:spacing w:before="0" w:line="240" w:lineRule="atLeast"/>
              <w:rPr>
                <w:rFonts w:eastAsia="SimSun"/>
                <w:b/>
                <w:bCs/>
                <w:sz w:val="22"/>
                <w:szCs w:val="22"/>
                <w:lang w:eastAsia="zh-CN"/>
              </w:rPr>
            </w:pPr>
            <w:r w:rsidRPr="004C3AF7">
              <w:rPr>
                <w:rFonts w:eastAsia="SimSun"/>
                <w:b/>
                <w:bCs/>
                <w:sz w:val="22"/>
                <w:szCs w:val="22"/>
                <w:lang w:eastAsia="zh-CN"/>
              </w:rPr>
              <w:t xml:space="preserve">Restricted access </w:t>
            </w:r>
            <w:r w:rsidR="005179DE">
              <w:rPr>
                <w:rFonts w:eastAsia="SimSun"/>
                <w:b/>
                <w:bCs/>
                <w:sz w:val="22"/>
                <w:szCs w:val="22"/>
                <w:lang w:eastAsia="zh-CN"/>
              </w:rPr>
              <w:t xml:space="preserve">required? </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r w:rsidRPr="003E6ECD">
              <w:rPr>
                <w:rFonts w:eastAsia="SimSun"/>
                <w:b/>
                <w:bCs/>
                <w:sz w:val="22"/>
                <w:szCs w:val="22"/>
                <w:lang w:eastAsia="zh-CN"/>
              </w:rPr>
              <w:t>N</w:t>
            </w:r>
          </w:p>
        </w:tc>
        <w:tc>
          <w:tcPr>
            <w:tcW w:w="443" w:type="dxa"/>
            <w:tcBorders>
              <w:left w:val="single" w:sz="8" w:space="0" w:color="auto"/>
            </w:tcBorders>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p>
        </w:tc>
      </w:tr>
      <w:tr w:rsidR="00B1454C" w:rsidRPr="004C3AF7">
        <w:trPr>
          <w:cantSplit/>
        </w:trPr>
        <w:tc>
          <w:tcPr>
            <w:tcW w:w="10031" w:type="dxa"/>
            <w:gridSpan w:val="5"/>
          </w:tcPr>
          <w:p w:rsidR="00342936" w:rsidRPr="00AC6C80" w:rsidRDefault="00342936" w:rsidP="006C73CD">
            <w:pPr>
              <w:pStyle w:val="Reptitle"/>
              <w:rPr>
                <w:rFonts w:ascii="Times New Roman" w:hAnsi="Times New Roman" w:cs="Times New Roman"/>
                <w:bCs w:val="0"/>
                <w:sz w:val="22"/>
                <w:szCs w:val="22"/>
                <w:lang w:val="en-US"/>
              </w:rPr>
            </w:pPr>
            <w:bookmarkStart w:id="3" w:name="dtitle1" w:colFirst="0" w:colLast="0"/>
            <w:bookmarkEnd w:id="2"/>
          </w:p>
          <w:p w:rsidR="00B1454C" w:rsidRPr="004C3AF7" w:rsidRDefault="007566C2" w:rsidP="006C73CD">
            <w:pPr>
              <w:pStyle w:val="Reptitle"/>
              <w:rPr>
                <w:rFonts w:ascii="Times New Roman" w:hAnsi="Times New Roman" w:cs="Times New Roman"/>
                <w:bCs w:val="0"/>
                <w:sz w:val="22"/>
                <w:szCs w:val="22"/>
                <w:lang w:eastAsia="zh-CN"/>
              </w:rPr>
            </w:pPr>
            <w:r w:rsidRPr="004C3AF7">
              <w:rPr>
                <w:rFonts w:ascii="Times New Roman" w:hAnsi="Times New Roman" w:cs="Times New Roman"/>
                <w:bCs w:val="0"/>
                <w:sz w:val="22"/>
                <w:szCs w:val="22"/>
              </w:rPr>
              <w:t>CEPT</w:t>
            </w:r>
            <w:r w:rsidR="00781BC4" w:rsidRPr="004C3AF7">
              <w:rPr>
                <w:rFonts w:ascii="Times New Roman" w:hAnsi="Times New Roman" w:cs="Times New Roman"/>
                <w:bCs w:val="0"/>
                <w:sz w:val="22"/>
                <w:szCs w:val="22"/>
              </w:rPr>
              <w:t xml:space="preserve"> </w:t>
            </w:r>
            <w:r w:rsidRPr="004C3AF7">
              <w:rPr>
                <w:rFonts w:ascii="Times New Roman" w:hAnsi="Times New Roman" w:cs="Times New Roman"/>
                <w:bCs w:val="0"/>
                <w:sz w:val="22"/>
                <w:szCs w:val="22"/>
              </w:rPr>
              <w:t>Preliminary Positions</w:t>
            </w:r>
            <w:r w:rsidR="00AC6C80">
              <w:rPr>
                <w:rFonts w:ascii="Times New Roman" w:hAnsi="Times New Roman" w:cs="Times New Roman"/>
                <w:bCs w:val="0"/>
                <w:sz w:val="22"/>
                <w:szCs w:val="22"/>
              </w:rPr>
              <w:t xml:space="preserve"> on WRC-19</w:t>
            </w:r>
            <w:r w:rsidR="00781BC4" w:rsidRPr="004C3AF7">
              <w:rPr>
                <w:rFonts w:ascii="Times New Roman" w:hAnsi="Times New Roman" w:cs="Times New Roman"/>
                <w:bCs w:val="0"/>
                <w:sz w:val="22"/>
                <w:szCs w:val="22"/>
              </w:rPr>
              <w:t xml:space="preserve"> Agenda Items</w:t>
            </w:r>
            <w:r w:rsidR="003D38B9" w:rsidRPr="004C3AF7">
              <w:rPr>
                <w:rFonts w:ascii="Times New Roman" w:hAnsi="Times New Roman" w:cs="Times New Roman"/>
                <w:bCs w:val="0"/>
                <w:sz w:val="22"/>
                <w:szCs w:val="22"/>
              </w:rPr>
              <w:t xml:space="preserve"> of WMO </w:t>
            </w:r>
            <w:r w:rsidR="004F0476" w:rsidRPr="004C3AF7">
              <w:rPr>
                <w:rFonts w:ascii="Times New Roman" w:hAnsi="Times New Roman" w:cs="Times New Roman"/>
                <w:bCs w:val="0"/>
                <w:sz w:val="22"/>
                <w:szCs w:val="22"/>
              </w:rPr>
              <w:t xml:space="preserve">prime </w:t>
            </w:r>
            <w:r w:rsidR="003D38B9" w:rsidRPr="004C3AF7">
              <w:rPr>
                <w:rFonts w:ascii="Times New Roman" w:hAnsi="Times New Roman" w:cs="Times New Roman"/>
                <w:bCs w:val="0"/>
                <w:sz w:val="22"/>
                <w:szCs w:val="22"/>
              </w:rPr>
              <w:t>Interest</w:t>
            </w:r>
          </w:p>
        </w:tc>
      </w:tr>
      <w:bookmarkEnd w:id="3"/>
    </w:tbl>
    <w:p w:rsidR="00B1454C" w:rsidRPr="004C3AF7" w:rsidRDefault="00B1454C" w:rsidP="00B1454C">
      <w:pPr>
        <w:shd w:val="clear" w:color="auto" w:fill="FFFFFF"/>
        <w:spacing w:before="0" w:beforeAutospacing="0" w:after="0" w:afterAutospacing="0"/>
        <w:jc w:val="center"/>
        <w:outlineLvl w:val="1"/>
        <w:rPr>
          <w:b/>
          <w:bCs/>
          <w:sz w:val="22"/>
          <w:szCs w:val="22"/>
        </w:rPr>
      </w:pPr>
    </w:p>
    <w:p w:rsidR="00B1454C" w:rsidRPr="004C3AF7" w:rsidRDefault="00647BFE" w:rsidP="00A530FD">
      <w:pPr>
        <w:rPr>
          <w:sz w:val="22"/>
          <w:szCs w:val="22"/>
        </w:rPr>
      </w:pPr>
      <w:r>
        <w:rPr>
          <w:b/>
          <w:bCs/>
          <w:sz w:val="22"/>
          <w:szCs w:val="22"/>
          <w:u w:val="single"/>
        </w:rPr>
        <w:t>1</w:t>
      </w:r>
      <w:r>
        <w:rPr>
          <w:b/>
          <w:bCs/>
          <w:sz w:val="22"/>
          <w:szCs w:val="22"/>
          <w:u w:val="single"/>
        </w:rPr>
        <w:tab/>
      </w:r>
      <w:r w:rsidR="00B1454C" w:rsidRPr="004C3AF7">
        <w:rPr>
          <w:b/>
          <w:bCs/>
          <w:sz w:val="22"/>
          <w:szCs w:val="22"/>
          <w:u w:val="single"/>
        </w:rPr>
        <w:t>Introduction</w:t>
      </w:r>
    </w:p>
    <w:p w:rsidR="00D60108" w:rsidRPr="00D60108" w:rsidRDefault="00236EE2" w:rsidP="00412162">
      <w:pPr>
        <w:rPr>
          <w:sz w:val="22"/>
          <w:szCs w:val="22"/>
        </w:rPr>
      </w:pPr>
      <w:r w:rsidRPr="00D60108">
        <w:rPr>
          <w:sz w:val="22"/>
          <w:szCs w:val="22"/>
        </w:rPr>
        <w:t>T</w:t>
      </w:r>
      <w:r w:rsidR="007566C2" w:rsidRPr="00D60108">
        <w:rPr>
          <w:sz w:val="22"/>
          <w:szCs w:val="22"/>
        </w:rPr>
        <w:t xml:space="preserve">he CEPT </w:t>
      </w:r>
      <w:r w:rsidR="00412162" w:rsidRPr="00D60108">
        <w:rPr>
          <w:sz w:val="22"/>
          <w:szCs w:val="22"/>
        </w:rPr>
        <w:t xml:space="preserve">Conference Preparatory Group </w:t>
      </w:r>
      <w:r w:rsidR="007566C2" w:rsidRPr="00D60108">
        <w:rPr>
          <w:sz w:val="22"/>
          <w:szCs w:val="22"/>
        </w:rPr>
        <w:t>(</w:t>
      </w:r>
      <w:r w:rsidR="00D60108">
        <w:rPr>
          <w:sz w:val="22"/>
          <w:szCs w:val="22"/>
        </w:rPr>
        <w:t>ECC/</w:t>
      </w:r>
      <w:r w:rsidR="007566C2" w:rsidRPr="00D60108">
        <w:rPr>
          <w:sz w:val="22"/>
          <w:szCs w:val="22"/>
        </w:rPr>
        <w:t xml:space="preserve">CPG) </w:t>
      </w:r>
      <w:r w:rsidRPr="00D60108">
        <w:rPr>
          <w:sz w:val="22"/>
          <w:szCs w:val="22"/>
        </w:rPr>
        <w:t xml:space="preserve">for WRC-19 met two times since WRC-15 and held its last meeting </w:t>
      </w:r>
      <w:r w:rsidR="00D60108" w:rsidRPr="00D60108">
        <w:rPr>
          <w:sz w:val="22"/>
          <w:szCs w:val="22"/>
        </w:rPr>
        <w:t xml:space="preserve">6-9 December </w:t>
      </w:r>
      <w:r w:rsidR="00466CE7">
        <w:rPr>
          <w:sz w:val="22"/>
          <w:szCs w:val="22"/>
        </w:rPr>
        <w:t xml:space="preserve">2016 </w:t>
      </w:r>
      <w:r w:rsidR="00D60108" w:rsidRPr="00D60108">
        <w:rPr>
          <w:sz w:val="22"/>
          <w:szCs w:val="22"/>
        </w:rPr>
        <w:t xml:space="preserve">in </w:t>
      </w:r>
      <w:proofErr w:type="spellStart"/>
      <w:r w:rsidR="00D60108" w:rsidRPr="00D60108">
        <w:rPr>
          <w:sz w:val="22"/>
          <w:szCs w:val="22"/>
        </w:rPr>
        <w:t>Feusisberg</w:t>
      </w:r>
      <w:proofErr w:type="spellEnd"/>
      <w:r w:rsidR="00D60108" w:rsidRPr="00D60108">
        <w:rPr>
          <w:sz w:val="22"/>
          <w:szCs w:val="22"/>
        </w:rPr>
        <w:t xml:space="preserve"> (Switzerland).</w:t>
      </w:r>
    </w:p>
    <w:p w:rsidR="00D60108" w:rsidRDefault="00D60108" w:rsidP="00D60108">
      <w:pPr>
        <w:pStyle w:val="Texte"/>
        <w:widowControl w:val="0"/>
        <w:suppressAutoHyphens/>
        <w:spacing w:before="120" w:after="0"/>
        <w:rPr>
          <w:sz w:val="22"/>
          <w:szCs w:val="22"/>
        </w:rPr>
      </w:pPr>
      <w:r w:rsidRPr="00D60108">
        <w:rPr>
          <w:sz w:val="22"/>
          <w:szCs w:val="22"/>
        </w:rPr>
        <w:t xml:space="preserve">At this early stage of the WRC-19 preparation, ECC/CPG </w:t>
      </w:r>
      <w:bookmarkStart w:id="4" w:name="_GoBack"/>
      <w:bookmarkEnd w:id="4"/>
      <w:r w:rsidRPr="00D60108">
        <w:rPr>
          <w:sz w:val="22"/>
          <w:szCs w:val="22"/>
        </w:rPr>
        <w:t xml:space="preserve">only considered the </w:t>
      </w:r>
      <w:r w:rsidR="00CE46C1">
        <w:rPr>
          <w:sz w:val="22"/>
          <w:szCs w:val="22"/>
        </w:rPr>
        <w:t xml:space="preserve">CEPT Briefs </w:t>
      </w:r>
      <w:r w:rsidRPr="00D60108">
        <w:rPr>
          <w:sz w:val="22"/>
          <w:szCs w:val="22"/>
        </w:rPr>
        <w:t>of the various agenda items</w:t>
      </w:r>
      <w:r w:rsidR="00CE46C1">
        <w:rPr>
          <w:sz w:val="22"/>
          <w:szCs w:val="22"/>
        </w:rPr>
        <w:t xml:space="preserve"> with very preliminary positions</w:t>
      </w:r>
      <w:r w:rsidRPr="00D60108">
        <w:rPr>
          <w:sz w:val="22"/>
          <w:szCs w:val="22"/>
        </w:rPr>
        <w:t>.</w:t>
      </w:r>
    </w:p>
    <w:p w:rsidR="00427A8D" w:rsidRPr="00D60108" w:rsidRDefault="009B022A" w:rsidP="00D60108">
      <w:pPr>
        <w:pStyle w:val="Texte"/>
        <w:widowControl w:val="0"/>
        <w:suppressAutoHyphens/>
        <w:spacing w:before="120" w:after="0"/>
        <w:rPr>
          <w:sz w:val="22"/>
          <w:szCs w:val="22"/>
        </w:rPr>
      </w:pPr>
      <w:r>
        <w:rPr>
          <w:bCs w:val="0"/>
          <w:sz w:val="22"/>
          <w:szCs w:val="22"/>
        </w:rPr>
        <w:t xml:space="preserve">These </w:t>
      </w:r>
      <w:r w:rsidRPr="004C3AF7">
        <w:rPr>
          <w:bCs w:val="0"/>
          <w:sz w:val="22"/>
          <w:szCs w:val="22"/>
        </w:rPr>
        <w:t>CEPT Preliminary Positions</w:t>
      </w:r>
      <w:r>
        <w:rPr>
          <w:bCs w:val="0"/>
          <w:sz w:val="22"/>
          <w:szCs w:val="22"/>
        </w:rPr>
        <w:t xml:space="preserve"> on WRC-19</w:t>
      </w:r>
      <w:r w:rsidRPr="004C3AF7">
        <w:rPr>
          <w:bCs w:val="0"/>
          <w:sz w:val="22"/>
          <w:szCs w:val="22"/>
        </w:rPr>
        <w:t xml:space="preserve"> Agenda Items of WMO </w:t>
      </w:r>
      <w:r>
        <w:rPr>
          <w:bCs w:val="0"/>
          <w:sz w:val="22"/>
          <w:szCs w:val="22"/>
        </w:rPr>
        <w:t>i</w:t>
      </w:r>
      <w:r w:rsidRPr="004C3AF7">
        <w:rPr>
          <w:bCs w:val="0"/>
          <w:sz w:val="22"/>
          <w:szCs w:val="22"/>
        </w:rPr>
        <w:t>nterest</w:t>
      </w:r>
      <w:r w:rsidR="00AC6C80">
        <w:rPr>
          <w:bCs w:val="0"/>
          <w:sz w:val="22"/>
          <w:szCs w:val="22"/>
        </w:rPr>
        <w:t xml:space="preserve"> are given in the attached table</w:t>
      </w:r>
      <w:r>
        <w:rPr>
          <w:bCs w:val="0"/>
          <w:sz w:val="22"/>
          <w:szCs w:val="22"/>
        </w:rPr>
        <w:t>.</w:t>
      </w:r>
    </w:p>
    <w:p w:rsidR="005D6572" w:rsidRPr="004C3AF7" w:rsidRDefault="00C33900" w:rsidP="00A530FD">
      <w:pPr>
        <w:rPr>
          <w:bCs/>
          <w:sz w:val="22"/>
          <w:szCs w:val="22"/>
        </w:rPr>
      </w:pPr>
      <w:r w:rsidRPr="004C3AF7">
        <w:rPr>
          <w:b/>
          <w:bCs/>
          <w:sz w:val="22"/>
          <w:szCs w:val="22"/>
          <w:u w:val="single"/>
        </w:rPr>
        <w:t>2</w:t>
      </w:r>
      <w:r w:rsidR="00A530FD" w:rsidRPr="004C3AF7">
        <w:rPr>
          <w:b/>
          <w:bCs/>
          <w:sz w:val="22"/>
          <w:szCs w:val="22"/>
          <w:u w:val="single"/>
        </w:rPr>
        <w:t>. Action (by SG-RFC) Proposed</w:t>
      </w:r>
      <w:r w:rsidR="00A530FD" w:rsidRPr="004C3AF7">
        <w:rPr>
          <w:bCs/>
          <w:i/>
          <w:sz w:val="22"/>
          <w:szCs w:val="22"/>
        </w:rPr>
        <w:t xml:space="preserve"> </w:t>
      </w:r>
    </w:p>
    <w:p w:rsidR="00A530FD" w:rsidRPr="004C3AF7" w:rsidRDefault="001B10D7" w:rsidP="00A530FD">
      <w:pPr>
        <w:rPr>
          <w:sz w:val="22"/>
          <w:szCs w:val="22"/>
        </w:rPr>
      </w:pPr>
      <w:r w:rsidRPr="004C3AF7">
        <w:rPr>
          <w:sz w:val="22"/>
          <w:szCs w:val="22"/>
        </w:rPr>
        <w:t>Note the information in the attached table.</w:t>
      </w:r>
    </w:p>
    <w:p w:rsidR="00A530FD" w:rsidRPr="004C3AF7" w:rsidRDefault="00C33900" w:rsidP="00A530FD">
      <w:pPr>
        <w:rPr>
          <w:bCs/>
          <w:i/>
          <w:sz w:val="22"/>
          <w:szCs w:val="22"/>
        </w:rPr>
      </w:pPr>
      <w:r w:rsidRPr="004C3AF7">
        <w:rPr>
          <w:b/>
          <w:bCs/>
          <w:sz w:val="22"/>
          <w:szCs w:val="22"/>
          <w:u w:val="single"/>
        </w:rPr>
        <w:t>3</w:t>
      </w:r>
      <w:r w:rsidR="00A530FD" w:rsidRPr="004C3AF7">
        <w:rPr>
          <w:b/>
          <w:bCs/>
          <w:sz w:val="22"/>
          <w:szCs w:val="22"/>
          <w:u w:val="single"/>
        </w:rPr>
        <w:t xml:space="preserve">. </w:t>
      </w:r>
      <w:r w:rsidR="00427A8D">
        <w:rPr>
          <w:b/>
          <w:bCs/>
          <w:sz w:val="22"/>
          <w:szCs w:val="22"/>
          <w:u w:val="single"/>
        </w:rPr>
        <w:t>Recommended text</w:t>
      </w:r>
      <w:r w:rsidR="00107650" w:rsidRPr="004C3AF7">
        <w:rPr>
          <w:bCs/>
          <w:i/>
          <w:sz w:val="22"/>
          <w:szCs w:val="22"/>
        </w:rPr>
        <w:t xml:space="preserve"> </w:t>
      </w:r>
    </w:p>
    <w:p w:rsidR="00C33900" w:rsidRPr="004C3AF7" w:rsidRDefault="00C33900" w:rsidP="00A530FD">
      <w:pPr>
        <w:rPr>
          <w:sz w:val="22"/>
          <w:szCs w:val="22"/>
        </w:rPr>
      </w:pPr>
      <w:r w:rsidRPr="004C3AF7">
        <w:rPr>
          <w:bCs/>
          <w:sz w:val="22"/>
          <w:szCs w:val="22"/>
        </w:rPr>
        <w:t>None</w:t>
      </w:r>
      <w:r w:rsidR="00FE3FBC" w:rsidRPr="004C3AF7">
        <w:rPr>
          <w:bCs/>
          <w:sz w:val="22"/>
          <w:szCs w:val="22"/>
        </w:rPr>
        <w:t>.</w:t>
      </w:r>
    </w:p>
    <w:p w:rsidR="00A530FD" w:rsidRPr="004C3AF7" w:rsidRDefault="00A530FD" w:rsidP="00A530FD">
      <w:pPr>
        <w:pStyle w:val="Default"/>
        <w:jc w:val="both"/>
        <w:rPr>
          <w:sz w:val="22"/>
          <w:szCs w:val="22"/>
        </w:rPr>
      </w:pPr>
    </w:p>
    <w:p w:rsidR="00D82060" w:rsidRPr="004C3AF7" w:rsidRDefault="00D82060" w:rsidP="007566C2">
      <w:pPr>
        <w:jc w:val="center"/>
        <w:rPr>
          <w:sz w:val="22"/>
          <w:szCs w:val="22"/>
        </w:rPr>
        <w:sectPr w:rsidR="00D82060" w:rsidRPr="004C3AF7" w:rsidSect="00167708">
          <w:headerReference w:type="default" r:id="rId11"/>
          <w:footnotePr>
            <w:numFmt w:val="chicago"/>
          </w:footnotePr>
          <w:pgSz w:w="11907" w:h="16840" w:code="9"/>
          <w:pgMar w:top="1134" w:right="1134" w:bottom="1134" w:left="1134" w:header="720" w:footer="720" w:gutter="0"/>
          <w:cols w:space="720"/>
          <w:titlePg/>
          <w:docGrid w:linePitch="360"/>
        </w:sect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3"/>
        <w:gridCol w:w="9526"/>
      </w:tblGrid>
      <w:tr w:rsidR="004C3AF7" w:rsidRPr="004A4FFB" w:rsidTr="00F5724C">
        <w:tc>
          <w:tcPr>
            <w:tcW w:w="817" w:type="dxa"/>
            <w:tcBorders>
              <w:top w:val="single" w:sz="4" w:space="0" w:color="auto"/>
              <w:left w:val="single" w:sz="4" w:space="0" w:color="auto"/>
              <w:bottom w:val="single" w:sz="4" w:space="0" w:color="auto"/>
              <w:right w:val="nil"/>
            </w:tcBorders>
          </w:tcPr>
          <w:p w:rsidR="004C3AF7" w:rsidRPr="004A4FFB" w:rsidRDefault="004C3AF7" w:rsidP="00924F3F">
            <w:pPr>
              <w:jc w:val="center"/>
              <w:rPr>
                <w:b/>
                <w:sz w:val="20"/>
                <w:szCs w:val="20"/>
              </w:rPr>
            </w:pPr>
          </w:p>
        </w:tc>
        <w:tc>
          <w:tcPr>
            <w:tcW w:w="4253" w:type="dxa"/>
            <w:tcBorders>
              <w:left w:val="nil"/>
            </w:tcBorders>
          </w:tcPr>
          <w:p w:rsidR="004C3AF7" w:rsidRPr="004A4FFB" w:rsidRDefault="00D67682" w:rsidP="00924F3F">
            <w:pPr>
              <w:jc w:val="center"/>
              <w:rPr>
                <w:b/>
                <w:sz w:val="20"/>
                <w:szCs w:val="20"/>
              </w:rPr>
            </w:pPr>
            <w:r w:rsidRPr="004A4FFB">
              <w:rPr>
                <w:b/>
                <w:sz w:val="20"/>
                <w:szCs w:val="20"/>
              </w:rPr>
              <w:t>WRC-19</w:t>
            </w:r>
            <w:r w:rsidR="004C3AF7" w:rsidRPr="004A4FFB">
              <w:rPr>
                <w:b/>
                <w:sz w:val="20"/>
                <w:szCs w:val="20"/>
              </w:rPr>
              <w:t xml:space="preserve"> Agenda Item</w:t>
            </w:r>
          </w:p>
        </w:tc>
        <w:tc>
          <w:tcPr>
            <w:tcW w:w="9526" w:type="dxa"/>
          </w:tcPr>
          <w:p w:rsidR="004C3AF7" w:rsidRPr="004A4FFB" w:rsidRDefault="00DE6A8F" w:rsidP="009D4904">
            <w:pPr>
              <w:jc w:val="center"/>
              <w:rPr>
                <w:b/>
                <w:sz w:val="20"/>
                <w:szCs w:val="20"/>
              </w:rPr>
            </w:pPr>
            <w:r>
              <w:rPr>
                <w:b/>
                <w:sz w:val="20"/>
                <w:szCs w:val="20"/>
              </w:rPr>
              <w:t xml:space="preserve">Preliminary </w:t>
            </w:r>
            <w:r w:rsidR="00D67682" w:rsidRPr="004A4FFB">
              <w:rPr>
                <w:b/>
                <w:sz w:val="20"/>
                <w:szCs w:val="20"/>
              </w:rPr>
              <w:t>CEPT Positions (CPG meeting December 2016</w:t>
            </w:r>
            <w:r w:rsidR="004C3AF7" w:rsidRPr="004A4FFB">
              <w:rPr>
                <w:b/>
                <w:sz w:val="20"/>
                <w:szCs w:val="20"/>
              </w:rPr>
              <w:t>)</w:t>
            </w:r>
          </w:p>
        </w:tc>
      </w:tr>
      <w:tr w:rsidR="004C3AF7" w:rsidRPr="004A4FFB" w:rsidTr="00F5724C">
        <w:tc>
          <w:tcPr>
            <w:tcW w:w="817" w:type="dxa"/>
            <w:tcBorders>
              <w:top w:val="single" w:sz="4" w:space="0" w:color="auto"/>
            </w:tcBorders>
          </w:tcPr>
          <w:p w:rsidR="004C3AF7" w:rsidRPr="004A4FFB" w:rsidRDefault="004C3AF7" w:rsidP="00D9389A">
            <w:pPr>
              <w:spacing w:before="120" w:beforeAutospacing="0" w:after="120" w:afterAutospacing="0"/>
              <w:jc w:val="center"/>
              <w:rPr>
                <w:sz w:val="20"/>
                <w:szCs w:val="20"/>
              </w:rPr>
            </w:pPr>
            <w:r w:rsidRPr="004A4FFB">
              <w:rPr>
                <w:sz w:val="20"/>
                <w:szCs w:val="20"/>
              </w:rPr>
              <w:t>1.1</w:t>
            </w:r>
          </w:p>
          <w:p w:rsidR="004C3AF7" w:rsidRPr="004A4FFB" w:rsidRDefault="004C3AF7" w:rsidP="00D9389A">
            <w:pPr>
              <w:spacing w:before="120" w:beforeAutospacing="0" w:after="120" w:afterAutospacing="0"/>
              <w:jc w:val="center"/>
              <w:rPr>
                <w:color w:val="000000"/>
                <w:sz w:val="20"/>
                <w:szCs w:val="20"/>
              </w:rPr>
            </w:pPr>
          </w:p>
        </w:tc>
        <w:tc>
          <w:tcPr>
            <w:tcW w:w="4253" w:type="dxa"/>
          </w:tcPr>
          <w:p w:rsidR="004C3AF7" w:rsidRPr="004A4FFB" w:rsidRDefault="00CA3ED5" w:rsidP="00D9389A">
            <w:pPr>
              <w:spacing w:before="120" w:beforeAutospacing="0" w:after="120" w:afterAutospacing="0"/>
              <w:rPr>
                <w:sz w:val="20"/>
                <w:szCs w:val="20"/>
              </w:rPr>
            </w:pPr>
            <w:r w:rsidRPr="004A4FFB">
              <w:rPr>
                <w:sz w:val="20"/>
                <w:szCs w:val="20"/>
              </w:rPr>
              <w:t>to consider an allocation of the frequency band 50-54 MHz to the amateur service in Region 1, in accordance with Resolution</w:t>
            </w:r>
            <w:r w:rsidRPr="004A4FFB">
              <w:rPr>
                <w:rStyle w:val="Artdef"/>
                <w:sz w:val="20"/>
                <w:szCs w:val="20"/>
              </w:rPr>
              <w:t> </w:t>
            </w:r>
            <w:r w:rsidRPr="004A4FFB">
              <w:rPr>
                <w:b/>
                <w:sz w:val="20"/>
                <w:szCs w:val="20"/>
              </w:rPr>
              <w:t>658 (WRC</w:t>
            </w:r>
            <w:r w:rsidRPr="004A4FFB">
              <w:rPr>
                <w:b/>
                <w:sz w:val="20"/>
                <w:szCs w:val="20"/>
              </w:rPr>
              <w:noBreakHyphen/>
              <w:t>15)</w:t>
            </w:r>
          </w:p>
        </w:tc>
        <w:tc>
          <w:tcPr>
            <w:tcW w:w="9526" w:type="dxa"/>
          </w:tcPr>
          <w:p w:rsidR="00665CAB" w:rsidRPr="004A4FFB" w:rsidRDefault="00510700" w:rsidP="00D9389A">
            <w:pPr>
              <w:numPr>
                <w:ilvl w:val="0"/>
                <w:numId w:val="8"/>
              </w:numPr>
              <w:spacing w:before="120" w:beforeAutospacing="0" w:after="120" w:afterAutospacing="0"/>
              <w:ind w:left="0"/>
              <w:rPr>
                <w:sz w:val="20"/>
                <w:szCs w:val="20"/>
                <w:lang w:val="en-GB"/>
              </w:rPr>
            </w:pPr>
            <w:r w:rsidRPr="004A4FFB">
              <w:rPr>
                <w:sz w:val="20"/>
                <w:szCs w:val="20"/>
                <w:lang w:val="en-GB"/>
              </w:rPr>
              <w:t>No position at this stage</w:t>
            </w:r>
          </w:p>
        </w:tc>
      </w:tr>
      <w:tr w:rsidR="00FD349E" w:rsidRPr="004A4FFB" w:rsidTr="00F5724C">
        <w:tc>
          <w:tcPr>
            <w:tcW w:w="817" w:type="dxa"/>
          </w:tcPr>
          <w:p w:rsidR="00FD349E" w:rsidRPr="004A4FFB" w:rsidRDefault="00CA3ED5" w:rsidP="00D9389A">
            <w:pPr>
              <w:spacing w:before="120" w:beforeAutospacing="0" w:after="120" w:afterAutospacing="0"/>
              <w:jc w:val="center"/>
              <w:rPr>
                <w:sz w:val="20"/>
                <w:szCs w:val="20"/>
              </w:rPr>
            </w:pPr>
            <w:r w:rsidRPr="004A4FFB">
              <w:rPr>
                <w:sz w:val="20"/>
                <w:szCs w:val="20"/>
              </w:rPr>
              <w:t>1.2</w:t>
            </w:r>
          </w:p>
          <w:p w:rsidR="00FD349E" w:rsidRPr="004A4FFB" w:rsidRDefault="00FD349E" w:rsidP="00D9389A">
            <w:pPr>
              <w:spacing w:before="120" w:beforeAutospacing="0" w:after="120" w:afterAutospacing="0"/>
              <w:jc w:val="center"/>
              <w:rPr>
                <w:sz w:val="20"/>
                <w:szCs w:val="20"/>
              </w:rPr>
            </w:pPr>
          </w:p>
          <w:p w:rsidR="00FD349E" w:rsidRPr="004A4FFB" w:rsidRDefault="00FD349E" w:rsidP="00D9389A">
            <w:pPr>
              <w:spacing w:before="120" w:beforeAutospacing="0" w:after="120" w:afterAutospacing="0"/>
              <w:jc w:val="center"/>
              <w:rPr>
                <w:color w:val="000000"/>
                <w:sz w:val="20"/>
                <w:szCs w:val="20"/>
              </w:rPr>
            </w:pPr>
          </w:p>
        </w:tc>
        <w:tc>
          <w:tcPr>
            <w:tcW w:w="4253" w:type="dxa"/>
          </w:tcPr>
          <w:p w:rsidR="00FD349E" w:rsidRPr="004A4FFB" w:rsidRDefault="00794BD7" w:rsidP="00D9389A">
            <w:pPr>
              <w:tabs>
                <w:tab w:val="num" w:pos="2250"/>
              </w:tabs>
              <w:spacing w:before="120" w:beforeAutospacing="0" w:after="120" w:afterAutospacing="0"/>
              <w:rPr>
                <w:rFonts w:eastAsia="SimSun"/>
                <w:bCs/>
                <w:sz w:val="20"/>
                <w:szCs w:val="20"/>
                <w:lang w:val="en-GB" w:eastAsia="zh-CN"/>
              </w:rPr>
            </w:pPr>
            <w:r w:rsidRPr="004A4FFB">
              <w:rPr>
                <w:sz w:val="20"/>
                <w:szCs w:val="20"/>
              </w:rPr>
              <w:t>to consider in-band power limits for earth stations operating in the mobile-satellite service, meteorological-satellite service and Earth exploration-satellite service in the frequency bands 401-403 MHz and 399.9-400.05 MHz, in accordance with Resolution</w:t>
            </w:r>
            <w:r w:rsidRPr="004A4FFB">
              <w:rPr>
                <w:b/>
                <w:bCs/>
                <w:sz w:val="20"/>
                <w:szCs w:val="20"/>
              </w:rPr>
              <w:t> </w:t>
            </w:r>
            <w:r w:rsidRPr="004A4FFB">
              <w:rPr>
                <w:b/>
                <w:sz w:val="20"/>
                <w:szCs w:val="20"/>
              </w:rPr>
              <w:t>765 (WRC</w:t>
            </w:r>
            <w:r w:rsidRPr="004A4FFB">
              <w:rPr>
                <w:b/>
                <w:sz w:val="20"/>
                <w:szCs w:val="20"/>
              </w:rPr>
              <w:noBreakHyphen/>
              <w:t>15)</w:t>
            </w:r>
          </w:p>
        </w:tc>
        <w:tc>
          <w:tcPr>
            <w:tcW w:w="9526" w:type="dxa"/>
          </w:tcPr>
          <w:p w:rsidR="00FD349E" w:rsidRPr="004A4FFB" w:rsidRDefault="00510700" w:rsidP="00D9389A">
            <w:pPr>
              <w:pStyle w:val="ECCParagraph"/>
              <w:spacing w:before="120" w:after="120"/>
              <w:rPr>
                <w:rFonts w:ascii="Times New Roman" w:hAnsi="Times New Roman"/>
                <w:sz w:val="20"/>
                <w:szCs w:val="20"/>
              </w:rPr>
            </w:pPr>
            <w:r w:rsidRPr="004A4FFB">
              <w:rPr>
                <w:rFonts w:ascii="Times New Roman" w:hAnsi="Times New Roman"/>
                <w:sz w:val="20"/>
                <w:szCs w:val="20"/>
              </w:rPr>
              <w:t xml:space="preserve">In order to ensure long term continuity for the operation of satellite data collection systems, CEPT supports the  establishment of in-band power limits, as appropriate, for earth stations in the EESS and </w:t>
            </w:r>
            <w:proofErr w:type="spellStart"/>
            <w:r w:rsidRPr="004A4FFB">
              <w:rPr>
                <w:rFonts w:ascii="Times New Roman" w:hAnsi="Times New Roman"/>
                <w:sz w:val="20"/>
                <w:szCs w:val="20"/>
              </w:rPr>
              <w:t>MetSat</w:t>
            </w:r>
            <w:proofErr w:type="spellEnd"/>
            <w:r w:rsidRPr="004A4FFB">
              <w:rPr>
                <w:rFonts w:ascii="Times New Roman" w:hAnsi="Times New Roman"/>
                <w:sz w:val="20"/>
                <w:szCs w:val="20"/>
              </w:rPr>
              <w:t xml:space="preserve"> in the frequency band 401-403 MHz and the MSS in the frequency band 399.9-400.05 MHz, taking into account the result of studies.</w:t>
            </w:r>
          </w:p>
        </w:tc>
      </w:tr>
      <w:tr w:rsidR="00F5724C" w:rsidRPr="004A4FFB" w:rsidTr="00F5724C">
        <w:tc>
          <w:tcPr>
            <w:tcW w:w="817" w:type="dxa"/>
          </w:tcPr>
          <w:p w:rsidR="00F5724C" w:rsidRPr="004A4FFB" w:rsidRDefault="00CA3ED5" w:rsidP="00D9389A">
            <w:pPr>
              <w:spacing w:before="120" w:beforeAutospacing="0" w:after="120" w:afterAutospacing="0"/>
              <w:jc w:val="center"/>
              <w:rPr>
                <w:sz w:val="20"/>
                <w:szCs w:val="20"/>
              </w:rPr>
            </w:pPr>
            <w:r w:rsidRPr="004A4FFB">
              <w:rPr>
                <w:sz w:val="20"/>
                <w:szCs w:val="20"/>
              </w:rPr>
              <w:t>1.3</w:t>
            </w:r>
          </w:p>
          <w:p w:rsidR="00F5724C" w:rsidRPr="004A4FFB" w:rsidRDefault="00F5724C" w:rsidP="00D9389A">
            <w:pPr>
              <w:spacing w:before="120" w:beforeAutospacing="0" w:after="120" w:afterAutospacing="0"/>
              <w:jc w:val="center"/>
              <w:rPr>
                <w:color w:val="FF0000"/>
                <w:sz w:val="20"/>
                <w:szCs w:val="20"/>
              </w:rPr>
            </w:pPr>
          </w:p>
          <w:p w:rsidR="00F5724C" w:rsidRPr="004A4FFB" w:rsidRDefault="00F5724C" w:rsidP="00D9389A">
            <w:pPr>
              <w:spacing w:before="120" w:beforeAutospacing="0" w:after="120" w:afterAutospacing="0"/>
              <w:rPr>
                <w:color w:val="000000"/>
                <w:sz w:val="20"/>
                <w:szCs w:val="20"/>
              </w:rPr>
            </w:pPr>
          </w:p>
        </w:tc>
        <w:tc>
          <w:tcPr>
            <w:tcW w:w="4253" w:type="dxa"/>
          </w:tcPr>
          <w:p w:rsidR="00F5724C" w:rsidRPr="004A4FFB" w:rsidRDefault="004243CF" w:rsidP="00D9389A">
            <w:pPr>
              <w:spacing w:before="120" w:beforeAutospacing="0" w:after="120" w:afterAutospacing="0"/>
              <w:rPr>
                <w:sz w:val="20"/>
                <w:szCs w:val="20"/>
              </w:rPr>
            </w:pPr>
            <w:r w:rsidRPr="004A4FFB">
              <w:rPr>
                <w:sz w:val="20"/>
                <w:szCs w:val="20"/>
              </w:rPr>
              <w:t>to consider possible upgrading of the secondary allocation to the meteorological-satellite service (space-to-Earth) to primary status and a possible primary allocation to the Earth exploration-satellite service (space-to-Earth) in the frequency band 460-470 MHz, in accordance with</w:t>
            </w:r>
            <w:r w:rsidR="00001090" w:rsidRPr="004A4FFB">
              <w:rPr>
                <w:sz w:val="20"/>
                <w:szCs w:val="20"/>
              </w:rPr>
              <w:t xml:space="preserve"> </w:t>
            </w:r>
            <w:r w:rsidRPr="004A4FFB">
              <w:rPr>
                <w:sz w:val="20"/>
                <w:szCs w:val="20"/>
              </w:rPr>
              <w:t>Resolution</w:t>
            </w:r>
            <w:r w:rsidRPr="004A4FFB">
              <w:rPr>
                <w:rStyle w:val="Artdef"/>
                <w:sz w:val="20"/>
                <w:szCs w:val="20"/>
              </w:rPr>
              <w:t> </w:t>
            </w:r>
            <w:r w:rsidRPr="004A4FFB">
              <w:rPr>
                <w:b/>
                <w:sz w:val="20"/>
                <w:szCs w:val="20"/>
              </w:rPr>
              <w:t>766 (WRC</w:t>
            </w:r>
            <w:r w:rsidRPr="004A4FFB">
              <w:rPr>
                <w:b/>
                <w:sz w:val="20"/>
                <w:szCs w:val="20"/>
              </w:rPr>
              <w:noBreakHyphen/>
              <w:t>15)</w:t>
            </w:r>
          </w:p>
        </w:tc>
        <w:tc>
          <w:tcPr>
            <w:tcW w:w="9526" w:type="dxa"/>
          </w:tcPr>
          <w:p w:rsidR="00F5724C" w:rsidRPr="004A4FFB" w:rsidRDefault="00510700" w:rsidP="00D9389A">
            <w:pPr>
              <w:spacing w:before="120" w:beforeAutospacing="0" w:after="120" w:afterAutospacing="0"/>
              <w:rPr>
                <w:sz w:val="20"/>
                <w:szCs w:val="20"/>
              </w:rPr>
            </w:pPr>
            <w:r w:rsidRPr="004A4FFB">
              <w:rPr>
                <w:sz w:val="20"/>
                <w:szCs w:val="20"/>
              </w:rPr>
              <w:t xml:space="preserve">CEPT supports that the </w:t>
            </w:r>
            <w:proofErr w:type="spellStart"/>
            <w:r w:rsidRPr="004A4FFB">
              <w:rPr>
                <w:sz w:val="20"/>
                <w:szCs w:val="20"/>
              </w:rPr>
              <w:t>MetSat</w:t>
            </w:r>
            <w:proofErr w:type="spellEnd"/>
            <w:r w:rsidRPr="004A4FFB">
              <w:rPr>
                <w:sz w:val="20"/>
                <w:szCs w:val="20"/>
              </w:rPr>
              <w:t xml:space="preserve"> (space-to-Earth) allocation should be upgraded from secondary to primary status and a primary EESS (space-to-Earth) allocation should be added in the frequency band 460-470 MHz while providing protection and not imposing any additional constraints on existing primary services to which the frequency band is already allocated or in the adjacent frequency bands. This should be </w:t>
            </w:r>
            <w:proofErr w:type="spellStart"/>
            <w:r w:rsidRPr="004A4FFB">
              <w:rPr>
                <w:sz w:val="20"/>
                <w:szCs w:val="20"/>
              </w:rPr>
              <w:t>realised</w:t>
            </w:r>
            <w:proofErr w:type="spellEnd"/>
            <w:r w:rsidRPr="004A4FFB">
              <w:rPr>
                <w:sz w:val="20"/>
                <w:szCs w:val="20"/>
              </w:rPr>
              <w:t xml:space="preserve"> while retaining the priority of </w:t>
            </w:r>
            <w:proofErr w:type="spellStart"/>
            <w:r w:rsidRPr="004A4FFB">
              <w:rPr>
                <w:sz w:val="20"/>
                <w:szCs w:val="20"/>
              </w:rPr>
              <w:t>MetSat</w:t>
            </w:r>
            <w:proofErr w:type="spellEnd"/>
            <w:r w:rsidRPr="004A4FFB">
              <w:rPr>
                <w:sz w:val="20"/>
                <w:szCs w:val="20"/>
              </w:rPr>
              <w:t xml:space="preserve"> over EESS as</w:t>
            </w:r>
            <w:r w:rsidR="00D9389A">
              <w:rPr>
                <w:sz w:val="20"/>
                <w:szCs w:val="20"/>
              </w:rPr>
              <w:t xml:space="preserve"> currently expressed in the RR.</w:t>
            </w:r>
          </w:p>
        </w:tc>
      </w:tr>
      <w:tr w:rsidR="00F5724C" w:rsidRPr="004A4FFB" w:rsidTr="00F5724C">
        <w:tc>
          <w:tcPr>
            <w:tcW w:w="817" w:type="dxa"/>
          </w:tcPr>
          <w:p w:rsidR="00F5724C" w:rsidRPr="004A4FFB" w:rsidRDefault="00CA3ED5" w:rsidP="00D9389A">
            <w:pPr>
              <w:spacing w:before="120" w:beforeAutospacing="0" w:after="120" w:afterAutospacing="0"/>
              <w:jc w:val="center"/>
              <w:rPr>
                <w:sz w:val="20"/>
                <w:szCs w:val="20"/>
              </w:rPr>
            </w:pPr>
            <w:r w:rsidRPr="004A4FFB">
              <w:rPr>
                <w:sz w:val="20"/>
                <w:szCs w:val="20"/>
              </w:rPr>
              <w:t>1.6</w:t>
            </w:r>
          </w:p>
          <w:p w:rsidR="00F5724C" w:rsidRPr="004A4FFB" w:rsidRDefault="00F5724C" w:rsidP="00D9389A">
            <w:pPr>
              <w:spacing w:before="120" w:beforeAutospacing="0" w:after="120" w:afterAutospacing="0"/>
              <w:jc w:val="center"/>
              <w:rPr>
                <w:sz w:val="20"/>
                <w:szCs w:val="20"/>
              </w:rPr>
            </w:pPr>
          </w:p>
          <w:p w:rsidR="00F5724C" w:rsidRPr="004A4FFB" w:rsidRDefault="00F5724C" w:rsidP="00D9389A">
            <w:pPr>
              <w:spacing w:before="120" w:beforeAutospacing="0" w:after="120" w:afterAutospacing="0"/>
              <w:jc w:val="center"/>
              <w:rPr>
                <w:color w:val="000000"/>
                <w:sz w:val="20"/>
                <w:szCs w:val="20"/>
              </w:rPr>
            </w:pPr>
          </w:p>
        </w:tc>
        <w:tc>
          <w:tcPr>
            <w:tcW w:w="4253" w:type="dxa"/>
          </w:tcPr>
          <w:p w:rsidR="00F5724C" w:rsidRPr="004A4FFB" w:rsidRDefault="004243CF" w:rsidP="00D9389A">
            <w:pPr>
              <w:tabs>
                <w:tab w:val="left" w:pos="3480"/>
              </w:tabs>
              <w:spacing w:before="120" w:beforeAutospacing="0" w:after="120" w:afterAutospacing="0"/>
              <w:rPr>
                <w:sz w:val="20"/>
                <w:szCs w:val="20"/>
                <w:lang w:val="en-GB"/>
              </w:rPr>
            </w:pPr>
            <w:r w:rsidRPr="004A4FFB">
              <w:rPr>
                <w:sz w:val="20"/>
                <w:szCs w:val="20"/>
              </w:rPr>
              <w:t xml:space="preserve">to consider the development of a regulatory framework for non-GSO FSS satellite systems that may operate in the frequency bands 37.5-39.5 GHz (space-to-Earth), 39.5-42.5 GHz (space-to-Earth), 47.2-50.2 GHz (Earth-to-space) and 50.4-51.4 GHz (Earth-to-space), in accordance with Resolution </w:t>
            </w:r>
            <w:r w:rsidRPr="004A4FFB">
              <w:rPr>
                <w:b/>
                <w:sz w:val="20"/>
                <w:szCs w:val="20"/>
              </w:rPr>
              <w:t>159 (WRC</w:t>
            </w:r>
            <w:r w:rsidRPr="004A4FFB">
              <w:rPr>
                <w:b/>
                <w:sz w:val="20"/>
                <w:szCs w:val="20"/>
              </w:rPr>
              <w:noBreakHyphen/>
              <w:t>15)</w:t>
            </w:r>
          </w:p>
        </w:tc>
        <w:tc>
          <w:tcPr>
            <w:tcW w:w="9526" w:type="dxa"/>
          </w:tcPr>
          <w:p w:rsidR="00022F17" w:rsidRPr="004A4FFB" w:rsidRDefault="00022F17" w:rsidP="00D9389A">
            <w:pPr>
              <w:spacing w:before="120" w:beforeAutospacing="0" w:after="120" w:afterAutospacing="0"/>
              <w:rPr>
                <w:sz w:val="20"/>
                <w:szCs w:val="20"/>
              </w:rPr>
            </w:pPr>
            <w:r w:rsidRPr="004A4FFB">
              <w:rPr>
                <w:sz w:val="20"/>
                <w:szCs w:val="20"/>
              </w:rPr>
              <w:t>CEPT considers that studies for the development of regulatory provisions and technical and operational conditions shall ensure protection for GSO satellite networks and stations of other existing services including passive services in the adjacent frequency bands. To ensure the protection of the EESS (passive) and RAS CEPT supports to study the effects of aggregate FSS interference from GSO satellite networks and NGSO systems operating in the relevant bands.</w:t>
            </w:r>
          </w:p>
          <w:p w:rsidR="00022F17" w:rsidRPr="004A4FFB" w:rsidRDefault="00022F17" w:rsidP="00D9389A">
            <w:pPr>
              <w:spacing w:before="120" w:beforeAutospacing="0" w:after="120" w:afterAutospacing="0"/>
              <w:rPr>
                <w:sz w:val="20"/>
                <w:szCs w:val="20"/>
              </w:rPr>
            </w:pPr>
            <w:r w:rsidRPr="004A4FFB">
              <w:rPr>
                <w:sz w:val="20"/>
                <w:szCs w:val="20"/>
              </w:rPr>
              <w:t xml:space="preserve">CEPT considers that the criteria based on Recommendation ITU-R S.1323 or other new possible ITU-R Recommendation shall be used while developing the aggregate </w:t>
            </w:r>
            <w:proofErr w:type="spellStart"/>
            <w:r w:rsidRPr="004A4FFB">
              <w:rPr>
                <w:sz w:val="20"/>
                <w:szCs w:val="20"/>
              </w:rPr>
              <w:t>epfd</w:t>
            </w:r>
            <w:proofErr w:type="spellEnd"/>
            <w:r w:rsidRPr="004A4FFB">
              <w:rPr>
                <w:sz w:val="20"/>
                <w:szCs w:val="20"/>
              </w:rPr>
              <w:t xml:space="preserve"> limits for protection of GSO networks. CEPT supports a methodology of interference assessment that takes into account the correlation between a fading event attenuating both the wanted signal and interfering signals in the frequency bands 40/50 GHz.</w:t>
            </w:r>
          </w:p>
          <w:p w:rsidR="006E7CAF" w:rsidRPr="004A4FFB" w:rsidRDefault="00022F17" w:rsidP="00D9389A">
            <w:pPr>
              <w:spacing w:before="120" w:beforeAutospacing="0" w:after="120" w:afterAutospacing="0"/>
              <w:rPr>
                <w:sz w:val="20"/>
                <w:szCs w:val="20"/>
              </w:rPr>
            </w:pPr>
            <w:r w:rsidRPr="004A4FFB">
              <w:rPr>
                <w:sz w:val="20"/>
                <w:szCs w:val="20"/>
              </w:rPr>
              <w:t>CEPT supports further studies on methodology of interference assessment applicable to frequency bands above 30 GHz to verify compliance with the criteria in Recommendation ITU-R S.1323.</w:t>
            </w:r>
          </w:p>
        </w:tc>
      </w:tr>
      <w:tr w:rsidR="006E7CAF" w:rsidRPr="004A4FFB" w:rsidTr="00F5724C">
        <w:tc>
          <w:tcPr>
            <w:tcW w:w="817" w:type="dxa"/>
          </w:tcPr>
          <w:p w:rsidR="006E7CAF" w:rsidRPr="004A4FFB" w:rsidRDefault="00CA3ED5" w:rsidP="00D9389A">
            <w:pPr>
              <w:spacing w:before="120" w:beforeAutospacing="0" w:after="120" w:afterAutospacing="0"/>
              <w:jc w:val="center"/>
              <w:rPr>
                <w:sz w:val="20"/>
                <w:szCs w:val="20"/>
              </w:rPr>
            </w:pPr>
            <w:r w:rsidRPr="004A4FFB">
              <w:rPr>
                <w:sz w:val="20"/>
                <w:szCs w:val="20"/>
              </w:rPr>
              <w:t>1.7</w:t>
            </w:r>
          </w:p>
          <w:p w:rsidR="006E7CAF" w:rsidRPr="004A4FFB" w:rsidRDefault="006E7CAF" w:rsidP="00D9389A">
            <w:pPr>
              <w:spacing w:before="120" w:beforeAutospacing="0" w:after="120" w:afterAutospacing="0"/>
              <w:jc w:val="center"/>
              <w:rPr>
                <w:sz w:val="20"/>
                <w:szCs w:val="20"/>
              </w:rPr>
            </w:pPr>
          </w:p>
          <w:p w:rsidR="006E7CAF" w:rsidRPr="004A4FFB" w:rsidRDefault="006E7CAF" w:rsidP="00D9389A">
            <w:pPr>
              <w:spacing w:before="120" w:beforeAutospacing="0" w:after="120" w:afterAutospacing="0"/>
              <w:jc w:val="center"/>
              <w:rPr>
                <w:color w:val="000000"/>
                <w:sz w:val="20"/>
                <w:szCs w:val="20"/>
              </w:rPr>
            </w:pPr>
          </w:p>
        </w:tc>
        <w:tc>
          <w:tcPr>
            <w:tcW w:w="4253" w:type="dxa"/>
          </w:tcPr>
          <w:p w:rsidR="006E7CAF" w:rsidRPr="004A4FFB" w:rsidRDefault="004243CF" w:rsidP="00D9389A">
            <w:pPr>
              <w:spacing w:before="120" w:beforeAutospacing="0" w:after="120" w:afterAutospacing="0"/>
              <w:rPr>
                <w:sz w:val="20"/>
                <w:szCs w:val="20"/>
              </w:rPr>
            </w:pPr>
            <w:r w:rsidRPr="004A4FFB">
              <w:rPr>
                <w:sz w:val="20"/>
                <w:szCs w:val="20"/>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w:t>
            </w:r>
            <w:r w:rsidRPr="004A4FFB">
              <w:rPr>
                <w:b/>
                <w:sz w:val="20"/>
                <w:szCs w:val="20"/>
              </w:rPr>
              <w:t>659 (WRC</w:t>
            </w:r>
            <w:r w:rsidRPr="004A4FFB">
              <w:rPr>
                <w:b/>
                <w:sz w:val="20"/>
                <w:szCs w:val="20"/>
              </w:rPr>
              <w:noBreakHyphen/>
              <w:t>15)</w:t>
            </w:r>
          </w:p>
        </w:tc>
        <w:tc>
          <w:tcPr>
            <w:tcW w:w="9526" w:type="dxa"/>
          </w:tcPr>
          <w:p w:rsidR="00022F17" w:rsidRPr="004A4FFB" w:rsidRDefault="00022F17" w:rsidP="00D9389A">
            <w:pPr>
              <w:spacing w:before="120" w:beforeAutospacing="0" w:after="120" w:afterAutospacing="0"/>
              <w:rPr>
                <w:sz w:val="20"/>
                <w:szCs w:val="20"/>
              </w:rPr>
            </w:pPr>
            <w:r w:rsidRPr="004A4FFB">
              <w:rPr>
                <w:sz w:val="20"/>
                <w:szCs w:val="20"/>
              </w:rPr>
              <w:t>CEPT supports additional allocations or upgrades of existing allocations to the space operation service for short duration mission satellites provided that:</w:t>
            </w:r>
          </w:p>
          <w:p w:rsidR="00022F17" w:rsidRPr="004A4FFB" w:rsidRDefault="00022F17" w:rsidP="00D9389A">
            <w:pPr>
              <w:pStyle w:val="ECCBulletsLv2"/>
              <w:numPr>
                <w:ilvl w:val="0"/>
                <w:numId w:val="14"/>
              </w:numPr>
              <w:tabs>
                <w:tab w:val="left" w:pos="340"/>
              </w:tabs>
              <w:spacing w:before="120" w:after="120"/>
              <w:ind w:left="680" w:hanging="340"/>
              <w:rPr>
                <w:rFonts w:ascii="Times New Roman" w:hAnsi="Times New Roman"/>
                <w:szCs w:val="20"/>
              </w:rPr>
            </w:pPr>
            <w:r w:rsidRPr="004A4FFB">
              <w:rPr>
                <w:rFonts w:ascii="Times New Roman" w:hAnsi="Times New Roman"/>
                <w:szCs w:val="20"/>
              </w:rPr>
              <w:t>Studies of spectrum requirements are based on satellite missions planned and constellation development.</w:t>
            </w:r>
          </w:p>
          <w:p w:rsidR="00022F17" w:rsidRPr="004A4FFB" w:rsidRDefault="00022F17" w:rsidP="00D9389A">
            <w:pPr>
              <w:pStyle w:val="ECCBulletsLv2"/>
              <w:numPr>
                <w:ilvl w:val="0"/>
                <w:numId w:val="14"/>
              </w:numPr>
              <w:tabs>
                <w:tab w:val="left" w:pos="340"/>
              </w:tabs>
              <w:spacing w:before="120" w:after="120"/>
              <w:ind w:left="680" w:hanging="340"/>
              <w:rPr>
                <w:rFonts w:ascii="Times New Roman" w:hAnsi="Times New Roman"/>
                <w:szCs w:val="20"/>
              </w:rPr>
            </w:pPr>
            <w:r w:rsidRPr="004A4FFB">
              <w:rPr>
                <w:rFonts w:ascii="Times New Roman" w:hAnsi="Times New Roman"/>
                <w:szCs w:val="20"/>
              </w:rPr>
              <w:t>Studies of spectrum requirements show the need for additional allocations or upgrades of existing allocations.</w:t>
            </w:r>
          </w:p>
          <w:p w:rsidR="00022F17" w:rsidRPr="004A4FFB" w:rsidRDefault="00022F17" w:rsidP="00D9389A">
            <w:pPr>
              <w:pStyle w:val="ECCBulletsLv2"/>
              <w:numPr>
                <w:ilvl w:val="0"/>
                <w:numId w:val="14"/>
              </w:numPr>
              <w:tabs>
                <w:tab w:val="left" w:pos="340"/>
              </w:tabs>
              <w:spacing w:before="120" w:after="120"/>
              <w:ind w:left="680" w:hanging="340"/>
              <w:rPr>
                <w:rFonts w:ascii="Times New Roman" w:hAnsi="Times New Roman"/>
                <w:szCs w:val="20"/>
              </w:rPr>
            </w:pPr>
            <w:r w:rsidRPr="004A4FFB">
              <w:rPr>
                <w:rFonts w:ascii="Times New Roman" w:hAnsi="Times New Roman"/>
                <w:szCs w:val="20"/>
              </w:rPr>
              <w:lastRenderedPageBreak/>
              <w:t>Studies show compatibility with existing services.</w:t>
            </w:r>
          </w:p>
          <w:p w:rsidR="006E7CAF" w:rsidRPr="004A4FFB" w:rsidRDefault="00022F17" w:rsidP="00D9389A">
            <w:pPr>
              <w:spacing w:before="120" w:beforeAutospacing="0" w:after="120" w:afterAutospacing="0"/>
              <w:rPr>
                <w:sz w:val="20"/>
                <w:szCs w:val="20"/>
              </w:rPr>
            </w:pPr>
            <w:r w:rsidRPr="004A4FFB">
              <w:rPr>
                <w:sz w:val="20"/>
                <w:szCs w:val="20"/>
              </w:rPr>
              <w:t xml:space="preserve">CEPT </w:t>
            </w:r>
            <w:proofErr w:type="spellStart"/>
            <w:r w:rsidRPr="004A4FFB">
              <w:rPr>
                <w:sz w:val="20"/>
                <w:szCs w:val="20"/>
              </w:rPr>
              <w:t>recognises</w:t>
            </w:r>
            <w:proofErr w:type="spellEnd"/>
            <w:r w:rsidRPr="004A4FFB">
              <w:rPr>
                <w:sz w:val="20"/>
                <w:szCs w:val="20"/>
              </w:rPr>
              <w:t xml:space="preserve"> that studies with regard to the bands 399.9 to 400.05 MHz and 401 to 403 MHz shall take into account the considerations under Agenda item 1.2.</w:t>
            </w:r>
          </w:p>
        </w:tc>
      </w:tr>
      <w:tr w:rsidR="009C04CB" w:rsidRPr="004A4FFB" w:rsidTr="00F5724C">
        <w:tc>
          <w:tcPr>
            <w:tcW w:w="817" w:type="dxa"/>
          </w:tcPr>
          <w:p w:rsidR="009C04CB" w:rsidRPr="004A4FFB" w:rsidRDefault="00CA3ED5" w:rsidP="00D9389A">
            <w:pPr>
              <w:spacing w:before="120" w:beforeAutospacing="0" w:after="120" w:afterAutospacing="0"/>
              <w:jc w:val="center"/>
              <w:rPr>
                <w:sz w:val="20"/>
                <w:szCs w:val="20"/>
              </w:rPr>
            </w:pPr>
            <w:r w:rsidRPr="004A4FFB">
              <w:rPr>
                <w:sz w:val="20"/>
                <w:szCs w:val="20"/>
              </w:rPr>
              <w:lastRenderedPageBreak/>
              <w:t>1.13</w:t>
            </w:r>
          </w:p>
        </w:tc>
        <w:tc>
          <w:tcPr>
            <w:tcW w:w="4253" w:type="dxa"/>
          </w:tcPr>
          <w:p w:rsidR="009C04CB" w:rsidRPr="004A4FFB" w:rsidRDefault="004243CF" w:rsidP="00D9389A">
            <w:pPr>
              <w:spacing w:before="120" w:beforeAutospacing="0" w:after="120" w:afterAutospacing="0"/>
              <w:rPr>
                <w:sz w:val="20"/>
                <w:szCs w:val="20"/>
              </w:rPr>
            </w:pPr>
            <w:r w:rsidRPr="004A4FFB">
              <w:rPr>
                <w:sz w:val="20"/>
                <w:szCs w:val="20"/>
              </w:rPr>
              <w:t>to consider identification of frequency bands for the future development of International Mobile Telecommunications (IMT), including possible additional allocations to the mobile service on a primary basis, in accordance with Resolution </w:t>
            </w:r>
            <w:r w:rsidRPr="004A4FFB">
              <w:rPr>
                <w:b/>
                <w:sz w:val="20"/>
                <w:szCs w:val="20"/>
              </w:rPr>
              <w:t>238 </w:t>
            </w:r>
            <w:r w:rsidRPr="004A4FFB">
              <w:rPr>
                <w:rFonts w:eastAsia="SimSun"/>
                <w:b/>
                <w:sz w:val="20"/>
                <w:szCs w:val="20"/>
              </w:rPr>
              <w:t>(WRC</w:t>
            </w:r>
            <w:r w:rsidRPr="004A4FFB">
              <w:rPr>
                <w:rFonts w:eastAsia="SimSun"/>
                <w:b/>
                <w:sz w:val="20"/>
                <w:szCs w:val="20"/>
              </w:rPr>
              <w:noBreakHyphen/>
              <w:t>15)</w:t>
            </w:r>
          </w:p>
        </w:tc>
        <w:tc>
          <w:tcPr>
            <w:tcW w:w="9526" w:type="dxa"/>
          </w:tcPr>
          <w:p w:rsidR="000F5279" w:rsidRPr="004A4FFB" w:rsidRDefault="000F5279" w:rsidP="00D9389A">
            <w:pPr>
              <w:spacing w:before="120" w:beforeAutospacing="0" w:after="120" w:afterAutospacing="0"/>
              <w:rPr>
                <w:sz w:val="20"/>
                <w:szCs w:val="20"/>
              </w:rPr>
            </w:pPr>
            <w:r w:rsidRPr="004A4FFB">
              <w:rPr>
                <w:sz w:val="20"/>
                <w:szCs w:val="20"/>
              </w:rPr>
              <w:t>CEPT supports studies on IMT spectrum needs in the range 24.25-86 GHz and sharing and compatibility studies for the bands listed in Resolves 2 of Resolution 238 (24.25-27.5 GHz, 31.8-33.4 GHz, 37-43.5 GHz, 45.5-50.2 GHz, 50.4-52.6 GHz, 66-76 GHz and 81-86 GHz),with the focus on the frequency bands 24.25-27.5 GHz, 31.8-33.4 GHz and 40.5-43.5 GHz.</w:t>
            </w:r>
          </w:p>
          <w:p w:rsidR="000F5279" w:rsidRPr="004A4FFB" w:rsidRDefault="000F5279" w:rsidP="00D9389A">
            <w:pPr>
              <w:pStyle w:val="ECCBulletsLv1"/>
              <w:numPr>
                <w:ilvl w:val="0"/>
                <w:numId w:val="0"/>
              </w:numPr>
              <w:spacing w:before="120" w:after="120"/>
              <w:rPr>
                <w:rFonts w:ascii="Times New Roman" w:hAnsi="Times New Roman"/>
                <w:sz w:val="20"/>
                <w:szCs w:val="20"/>
              </w:rPr>
            </w:pPr>
            <w:r w:rsidRPr="004A4FFB">
              <w:rPr>
                <w:rFonts w:ascii="Times New Roman" w:hAnsi="Times New Roman"/>
                <w:sz w:val="20"/>
                <w:szCs w:val="20"/>
              </w:rPr>
              <w:t>CEPT intends to harmonise the 24.25-27.5 GHz band for Europe for 5G before WRC-19 through the adoption of a harmonisation decision and to promote it for worldwide harmonisation. Hence the 24.25-27.5 GHz is a clear priority for immediate study within CEPT. Studies need to take into account the compatibility with and protection of all existing services in the same and adjacent frequency bands in particular the protection of current and future EESS/SRS earth stations should be addressed.</w:t>
            </w:r>
          </w:p>
          <w:p w:rsidR="000F5279" w:rsidRPr="004A4FFB" w:rsidRDefault="000F5279" w:rsidP="00D9389A">
            <w:pPr>
              <w:spacing w:before="120" w:beforeAutospacing="0" w:after="120" w:afterAutospacing="0"/>
              <w:rPr>
                <w:sz w:val="20"/>
                <w:szCs w:val="20"/>
              </w:rPr>
            </w:pPr>
            <w:r w:rsidRPr="004A4FFB">
              <w:rPr>
                <w:sz w:val="20"/>
                <w:szCs w:val="20"/>
              </w:rPr>
              <w:t xml:space="preserve">CEPT supports the identification of global bands for IMT among the bands listed in </w:t>
            </w:r>
            <w:r w:rsidRPr="004A4FFB">
              <w:rPr>
                <w:rStyle w:val="Emphasis"/>
                <w:i/>
                <w:sz w:val="20"/>
                <w:szCs w:val="20"/>
              </w:rPr>
              <w:t>resolves to invite ITU</w:t>
            </w:r>
            <w:r w:rsidRPr="004A4FFB">
              <w:rPr>
                <w:rStyle w:val="Emphasis"/>
                <w:i/>
                <w:sz w:val="20"/>
                <w:szCs w:val="20"/>
              </w:rPr>
              <w:noBreakHyphen/>
              <w:t>R 2</w:t>
            </w:r>
            <w:r w:rsidRPr="004A4FFB">
              <w:rPr>
                <w:sz w:val="20"/>
                <w:szCs w:val="20"/>
              </w:rPr>
              <w:t xml:space="preserve"> of Resolution 238, taking into account the results of sharing and compatibility studies with existing services. Bands outside those listed in </w:t>
            </w:r>
            <w:r w:rsidRPr="004A4FFB">
              <w:rPr>
                <w:rStyle w:val="Emphasis"/>
                <w:i/>
                <w:sz w:val="20"/>
                <w:szCs w:val="20"/>
              </w:rPr>
              <w:t>resolves to invite ITU-R 2</w:t>
            </w:r>
            <w:r w:rsidRPr="004A4FFB">
              <w:rPr>
                <w:sz w:val="20"/>
                <w:szCs w:val="20"/>
              </w:rPr>
              <w:t xml:space="preserve"> of Resolution 238 are not supported for consideration under this Agenda item.</w:t>
            </w:r>
          </w:p>
          <w:p w:rsidR="009C04CB" w:rsidRPr="004A4FFB" w:rsidRDefault="000F5279" w:rsidP="00D9389A">
            <w:pPr>
              <w:spacing w:before="120" w:beforeAutospacing="0" w:after="120" w:afterAutospacing="0"/>
              <w:rPr>
                <w:sz w:val="20"/>
                <w:szCs w:val="20"/>
              </w:rPr>
            </w:pPr>
            <w:r w:rsidRPr="004A4FFB">
              <w:rPr>
                <w:rStyle w:val="Emphasis"/>
                <w:i/>
                <w:sz w:val="20"/>
                <w:szCs w:val="20"/>
              </w:rPr>
              <w:t xml:space="preserve">Note: CEPT has developed a roadmap on 5G (see ECC(16)110 Annex 17). In this respect it is noted that “Europe has </w:t>
            </w:r>
            <w:proofErr w:type="spellStart"/>
            <w:r w:rsidRPr="004A4FFB">
              <w:rPr>
                <w:rStyle w:val="Emphasis"/>
                <w:i/>
                <w:sz w:val="20"/>
                <w:szCs w:val="20"/>
              </w:rPr>
              <w:t>harmonised</w:t>
            </w:r>
            <w:proofErr w:type="spellEnd"/>
            <w:r w:rsidRPr="004A4FFB">
              <w:rPr>
                <w:rStyle w:val="Emphasis"/>
                <w:i/>
                <w:sz w:val="20"/>
                <w:szCs w:val="20"/>
              </w:rPr>
              <w:t xml:space="preserve"> the 27.5-29.5 GHz band for broadband satellite and is supportive of the worldwide use of this band for ESIM. This band is therefore not available for 5G”.</w:t>
            </w:r>
          </w:p>
        </w:tc>
      </w:tr>
      <w:tr w:rsidR="00794BD7" w:rsidRPr="004A4FFB" w:rsidTr="0061244E">
        <w:tc>
          <w:tcPr>
            <w:tcW w:w="817" w:type="dxa"/>
          </w:tcPr>
          <w:p w:rsidR="00794BD7" w:rsidRPr="004A4FFB" w:rsidRDefault="00794BD7" w:rsidP="00D9389A">
            <w:pPr>
              <w:spacing w:before="120" w:beforeAutospacing="0" w:after="120" w:afterAutospacing="0"/>
              <w:jc w:val="center"/>
              <w:rPr>
                <w:sz w:val="20"/>
                <w:szCs w:val="20"/>
              </w:rPr>
            </w:pPr>
            <w:r w:rsidRPr="004A4FFB">
              <w:rPr>
                <w:sz w:val="20"/>
                <w:szCs w:val="20"/>
              </w:rPr>
              <w:t>1.14</w:t>
            </w:r>
          </w:p>
          <w:p w:rsidR="00794BD7" w:rsidRPr="004A4FFB" w:rsidRDefault="00794BD7" w:rsidP="00D9389A">
            <w:pPr>
              <w:spacing w:before="120" w:beforeAutospacing="0" w:after="120" w:afterAutospacing="0"/>
              <w:jc w:val="center"/>
              <w:rPr>
                <w:sz w:val="20"/>
                <w:szCs w:val="20"/>
              </w:rPr>
            </w:pPr>
          </w:p>
          <w:p w:rsidR="00794BD7" w:rsidRPr="004A4FFB" w:rsidRDefault="00794BD7" w:rsidP="00D9389A">
            <w:pPr>
              <w:spacing w:before="120" w:beforeAutospacing="0" w:after="120" w:afterAutospacing="0"/>
              <w:jc w:val="center"/>
              <w:rPr>
                <w:color w:val="000000"/>
                <w:sz w:val="20"/>
                <w:szCs w:val="20"/>
              </w:rPr>
            </w:pPr>
          </w:p>
        </w:tc>
        <w:tc>
          <w:tcPr>
            <w:tcW w:w="4253" w:type="dxa"/>
          </w:tcPr>
          <w:p w:rsidR="00794BD7" w:rsidRPr="004A4FFB" w:rsidRDefault="004243CF" w:rsidP="00D9389A">
            <w:pPr>
              <w:tabs>
                <w:tab w:val="left" w:pos="1755"/>
              </w:tabs>
              <w:spacing w:before="120" w:beforeAutospacing="0" w:after="120" w:afterAutospacing="0"/>
              <w:rPr>
                <w:sz w:val="20"/>
                <w:szCs w:val="20"/>
              </w:rPr>
            </w:pPr>
            <w:r w:rsidRPr="004A4FFB">
              <w:rPr>
                <w:sz w:val="20"/>
                <w:szCs w:val="20"/>
              </w:rPr>
              <w:t>to consider, on the basis of ITU</w:t>
            </w:r>
            <w:r w:rsidRPr="004A4FFB">
              <w:rPr>
                <w:sz w:val="20"/>
                <w:szCs w:val="20"/>
              </w:rPr>
              <w:noBreakHyphen/>
              <w:t>R studies in accordance with Resolution </w:t>
            </w:r>
            <w:r w:rsidRPr="004A4FFB">
              <w:rPr>
                <w:b/>
                <w:sz w:val="20"/>
                <w:szCs w:val="20"/>
              </w:rPr>
              <w:t>160 (WRC</w:t>
            </w:r>
            <w:r w:rsidRPr="004A4FFB">
              <w:rPr>
                <w:b/>
                <w:sz w:val="20"/>
                <w:szCs w:val="20"/>
              </w:rPr>
              <w:noBreakHyphen/>
              <w:t>15)</w:t>
            </w:r>
            <w:r w:rsidRPr="004A4FFB">
              <w:rPr>
                <w:sz w:val="20"/>
                <w:szCs w:val="20"/>
              </w:rPr>
              <w:t>, appropriate regulatory actions for high-altitude platform stations (HAPS), within existing fixed-service allocations</w:t>
            </w:r>
          </w:p>
        </w:tc>
        <w:tc>
          <w:tcPr>
            <w:tcW w:w="9526" w:type="dxa"/>
          </w:tcPr>
          <w:p w:rsidR="00324DE2" w:rsidRPr="004A4FFB" w:rsidRDefault="00324DE2" w:rsidP="00D9389A">
            <w:pPr>
              <w:pStyle w:val="ECCBulletsLv1"/>
              <w:numPr>
                <w:ilvl w:val="0"/>
                <w:numId w:val="0"/>
              </w:numPr>
              <w:spacing w:before="120" w:after="120"/>
              <w:rPr>
                <w:rFonts w:ascii="Times New Roman" w:hAnsi="Times New Roman"/>
                <w:sz w:val="20"/>
                <w:szCs w:val="20"/>
              </w:rPr>
            </w:pPr>
            <w:r w:rsidRPr="004A4FFB">
              <w:rPr>
                <w:rFonts w:ascii="Times New Roman" w:hAnsi="Times New Roman"/>
                <w:sz w:val="20"/>
                <w:szCs w:val="20"/>
              </w:rPr>
              <w:t xml:space="preserve">CEPT supports consideration of this Agenda item in accordance with Resolution </w:t>
            </w:r>
            <w:r w:rsidRPr="004A4FFB">
              <w:rPr>
                <w:rStyle w:val="ECCHLbold"/>
                <w:rFonts w:ascii="Times New Roman" w:hAnsi="Times New Roman"/>
                <w:sz w:val="20"/>
                <w:szCs w:val="20"/>
              </w:rPr>
              <w:t>160 (WRC-15)</w:t>
            </w:r>
            <w:r w:rsidRPr="004A4FFB">
              <w:rPr>
                <w:rFonts w:ascii="Times New Roman" w:hAnsi="Times New Roman"/>
                <w:sz w:val="20"/>
                <w:szCs w:val="20"/>
              </w:rPr>
              <w:t xml:space="preserve"> with a view to gather the necessary information to decide whether or not the frequency bands currently identified for HAPS above 6 GHz are sufficient or if identification of new frequency bands for HAPS are necessary.</w:t>
            </w:r>
          </w:p>
          <w:p w:rsidR="00324DE2" w:rsidRPr="004A4FFB" w:rsidRDefault="00324DE2" w:rsidP="00D9389A">
            <w:pPr>
              <w:pStyle w:val="ECCBulletsLv1"/>
              <w:numPr>
                <w:ilvl w:val="0"/>
                <w:numId w:val="0"/>
              </w:numPr>
              <w:tabs>
                <w:tab w:val="left" w:pos="340"/>
              </w:tabs>
              <w:spacing w:before="120" w:after="120"/>
              <w:ind w:left="340" w:hanging="340"/>
              <w:rPr>
                <w:rFonts w:ascii="Times New Roman" w:hAnsi="Times New Roman"/>
                <w:sz w:val="20"/>
                <w:szCs w:val="20"/>
              </w:rPr>
            </w:pPr>
            <w:r w:rsidRPr="004A4FFB">
              <w:rPr>
                <w:rFonts w:ascii="Times New Roman" w:hAnsi="Times New Roman"/>
                <w:sz w:val="20"/>
                <w:szCs w:val="20"/>
              </w:rPr>
              <w:t>The above consideration needs to include:</w:t>
            </w:r>
          </w:p>
          <w:p w:rsidR="00324DE2" w:rsidRPr="004A4FFB" w:rsidRDefault="00324DE2" w:rsidP="00D9389A">
            <w:pPr>
              <w:pStyle w:val="ECCBulletsLv2"/>
              <w:numPr>
                <w:ilvl w:val="0"/>
                <w:numId w:val="14"/>
              </w:numPr>
              <w:tabs>
                <w:tab w:val="left" w:pos="340"/>
              </w:tabs>
              <w:spacing w:before="120" w:after="120"/>
              <w:ind w:left="680" w:hanging="340"/>
              <w:rPr>
                <w:rFonts w:ascii="Times New Roman" w:hAnsi="Times New Roman"/>
                <w:szCs w:val="20"/>
              </w:rPr>
            </w:pPr>
            <w:r w:rsidRPr="004A4FFB">
              <w:rPr>
                <w:rFonts w:ascii="Times New Roman" w:hAnsi="Times New Roman"/>
                <w:szCs w:val="20"/>
              </w:rPr>
              <w:t>the developments and requirements in HAPS in the fixed service and the associated spectrum sharing aspects</w:t>
            </w:r>
          </w:p>
          <w:p w:rsidR="00324DE2" w:rsidRPr="004A4FFB" w:rsidRDefault="00324DE2" w:rsidP="00D9389A">
            <w:pPr>
              <w:pStyle w:val="ECCBulletsLv2"/>
              <w:numPr>
                <w:ilvl w:val="0"/>
                <w:numId w:val="14"/>
              </w:numPr>
              <w:tabs>
                <w:tab w:val="left" w:pos="340"/>
              </w:tabs>
              <w:spacing w:before="120" w:after="120"/>
              <w:ind w:left="680" w:hanging="340"/>
              <w:rPr>
                <w:rFonts w:ascii="Times New Roman" w:hAnsi="Times New Roman"/>
                <w:szCs w:val="20"/>
              </w:rPr>
            </w:pPr>
            <w:r w:rsidRPr="004A4FFB">
              <w:rPr>
                <w:rFonts w:ascii="Times New Roman" w:hAnsi="Times New Roman"/>
                <w:szCs w:val="20"/>
              </w:rPr>
              <w:t>the need to ensure there is protection in place in order not to limit the possibility to use and develop existing services including other applications of the fixed service in the frequency bands identified and, as appropriate, in the adjacent bands.</w:t>
            </w:r>
            <w:r w:rsidRPr="004A4FFB">
              <w:rPr>
                <w:rFonts w:ascii="Times New Roman" w:hAnsi="Times New Roman"/>
                <w:szCs w:val="20"/>
              </w:rPr>
              <w:tab/>
            </w:r>
          </w:p>
          <w:p w:rsidR="00794BD7" w:rsidRPr="004A4FFB" w:rsidRDefault="00324DE2" w:rsidP="00D9389A">
            <w:pPr>
              <w:pStyle w:val="ECCBulletsLv1"/>
              <w:numPr>
                <w:ilvl w:val="0"/>
                <w:numId w:val="0"/>
              </w:numPr>
              <w:spacing w:before="120" w:after="120"/>
              <w:rPr>
                <w:rFonts w:ascii="Times New Roman" w:hAnsi="Times New Roman"/>
                <w:sz w:val="20"/>
                <w:szCs w:val="20"/>
              </w:rPr>
            </w:pPr>
            <w:r w:rsidRPr="004A4FFB">
              <w:rPr>
                <w:rFonts w:ascii="Times New Roman" w:hAnsi="Times New Roman"/>
                <w:sz w:val="20"/>
                <w:szCs w:val="20"/>
              </w:rPr>
              <w:t>CEPT is of the view that any consideration of the frequency band 24.25-27.5 GHz under this Agenda item should not limit the possibility to identify the band for IMT on a global level under Agenda item 1.13.</w:t>
            </w:r>
          </w:p>
        </w:tc>
      </w:tr>
      <w:tr w:rsidR="00794BD7" w:rsidRPr="004A4FFB" w:rsidTr="0061244E">
        <w:tc>
          <w:tcPr>
            <w:tcW w:w="817" w:type="dxa"/>
          </w:tcPr>
          <w:p w:rsidR="00794BD7" w:rsidRPr="004A4FFB" w:rsidRDefault="00794BD7" w:rsidP="00D9389A">
            <w:pPr>
              <w:spacing w:before="120" w:beforeAutospacing="0" w:after="120" w:afterAutospacing="0"/>
              <w:jc w:val="center"/>
              <w:rPr>
                <w:sz w:val="20"/>
                <w:szCs w:val="20"/>
              </w:rPr>
            </w:pPr>
            <w:r w:rsidRPr="004A4FFB">
              <w:rPr>
                <w:sz w:val="20"/>
                <w:szCs w:val="20"/>
              </w:rPr>
              <w:t>1.15</w:t>
            </w:r>
          </w:p>
          <w:p w:rsidR="00794BD7" w:rsidRPr="004A4FFB" w:rsidRDefault="00794BD7" w:rsidP="00D9389A">
            <w:pPr>
              <w:spacing w:before="120" w:beforeAutospacing="0" w:after="120" w:afterAutospacing="0"/>
              <w:jc w:val="center"/>
              <w:rPr>
                <w:sz w:val="20"/>
                <w:szCs w:val="20"/>
              </w:rPr>
            </w:pPr>
          </w:p>
          <w:p w:rsidR="00794BD7" w:rsidRPr="004A4FFB" w:rsidRDefault="00794BD7" w:rsidP="00D9389A">
            <w:pPr>
              <w:spacing w:before="120" w:beforeAutospacing="0" w:after="120" w:afterAutospacing="0"/>
              <w:jc w:val="center"/>
              <w:rPr>
                <w:color w:val="000000"/>
                <w:sz w:val="20"/>
                <w:szCs w:val="20"/>
              </w:rPr>
            </w:pPr>
          </w:p>
        </w:tc>
        <w:tc>
          <w:tcPr>
            <w:tcW w:w="4253" w:type="dxa"/>
          </w:tcPr>
          <w:p w:rsidR="00794BD7" w:rsidRPr="004A4FFB" w:rsidRDefault="004243CF" w:rsidP="00D9389A">
            <w:pPr>
              <w:tabs>
                <w:tab w:val="left" w:pos="1755"/>
              </w:tabs>
              <w:spacing w:before="120" w:beforeAutospacing="0" w:after="120" w:afterAutospacing="0"/>
              <w:rPr>
                <w:sz w:val="20"/>
                <w:szCs w:val="20"/>
              </w:rPr>
            </w:pPr>
            <w:r w:rsidRPr="004A4FFB">
              <w:rPr>
                <w:rStyle w:val="BRNormal"/>
                <w:sz w:val="20"/>
                <w:szCs w:val="20"/>
              </w:rPr>
              <w:lastRenderedPageBreak/>
              <w:t xml:space="preserve">to consider identification of frequency bands for use by administrations for the land-mobile and fixed services applications operating in the </w:t>
            </w:r>
            <w:r w:rsidRPr="004A4FFB">
              <w:rPr>
                <w:rStyle w:val="BRNormal"/>
                <w:sz w:val="20"/>
                <w:szCs w:val="20"/>
              </w:rPr>
              <w:lastRenderedPageBreak/>
              <w:t xml:space="preserve">frequency range 275-450 GHz, </w:t>
            </w:r>
            <w:r w:rsidRPr="004A4FFB">
              <w:rPr>
                <w:sz w:val="20"/>
                <w:szCs w:val="20"/>
              </w:rPr>
              <w:t>in accordance with Resolution</w:t>
            </w:r>
            <w:r w:rsidRPr="004A4FFB">
              <w:rPr>
                <w:rStyle w:val="Artdef"/>
                <w:sz w:val="20"/>
                <w:szCs w:val="20"/>
              </w:rPr>
              <w:t> </w:t>
            </w:r>
            <w:r w:rsidRPr="004A4FFB">
              <w:rPr>
                <w:b/>
                <w:sz w:val="20"/>
                <w:szCs w:val="20"/>
              </w:rPr>
              <w:t>767 (WRC</w:t>
            </w:r>
            <w:r w:rsidRPr="004A4FFB">
              <w:rPr>
                <w:b/>
                <w:sz w:val="20"/>
                <w:szCs w:val="20"/>
              </w:rPr>
              <w:noBreakHyphen/>
              <w:t>15)</w:t>
            </w:r>
          </w:p>
        </w:tc>
        <w:tc>
          <w:tcPr>
            <w:tcW w:w="9526" w:type="dxa"/>
          </w:tcPr>
          <w:p w:rsidR="00794BD7" w:rsidRPr="004A4FFB" w:rsidRDefault="00095E2E" w:rsidP="00D9389A">
            <w:pPr>
              <w:pStyle w:val="ECCParagraph"/>
              <w:spacing w:before="120" w:after="120"/>
              <w:rPr>
                <w:rFonts w:ascii="Times New Roman" w:eastAsia="Calibri" w:hAnsi="Times New Roman"/>
                <w:sz w:val="20"/>
                <w:szCs w:val="20"/>
                <w:lang w:val="en-US"/>
              </w:rPr>
            </w:pPr>
            <w:r w:rsidRPr="004A4FFB">
              <w:rPr>
                <w:rFonts w:ascii="Times New Roman" w:eastAsia="Calibri" w:hAnsi="Times New Roman"/>
                <w:sz w:val="20"/>
                <w:szCs w:val="20"/>
                <w:lang w:val="en-US"/>
              </w:rPr>
              <w:lastRenderedPageBreak/>
              <w:t>CEPT supports the identification of frequency bands for land-mobile and fixed services in the frequency range 275-450 GHz under the condition that the protection of passive services identified in No 5.565 is ensured.</w:t>
            </w:r>
          </w:p>
        </w:tc>
      </w:tr>
      <w:tr w:rsidR="00DA0268" w:rsidRPr="004A4FFB" w:rsidTr="00F5724C">
        <w:tc>
          <w:tcPr>
            <w:tcW w:w="817" w:type="dxa"/>
          </w:tcPr>
          <w:p w:rsidR="00DA0268" w:rsidRPr="004A4FFB" w:rsidRDefault="00794BD7" w:rsidP="00D9389A">
            <w:pPr>
              <w:spacing w:before="120" w:beforeAutospacing="0" w:after="120" w:afterAutospacing="0"/>
              <w:jc w:val="center"/>
              <w:rPr>
                <w:sz w:val="20"/>
                <w:szCs w:val="20"/>
              </w:rPr>
            </w:pPr>
            <w:r w:rsidRPr="004A4FFB">
              <w:rPr>
                <w:sz w:val="20"/>
                <w:szCs w:val="20"/>
              </w:rPr>
              <w:lastRenderedPageBreak/>
              <w:t>1.16</w:t>
            </w:r>
          </w:p>
          <w:p w:rsidR="00DA0268" w:rsidRPr="004A4FFB" w:rsidRDefault="00DA0268" w:rsidP="00D9389A">
            <w:pPr>
              <w:spacing w:before="120" w:beforeAutospacing="0" w:after="120" w:afterAutospacing="0"/>
              <w:jc w:val="center"/>
              <w:rPr>
                <w:sz w:val="20"/>
                <w:szCs w:val="20"/>
              </w:rPr>
            </w:pPr>
          </w:p>
          <w:p w:rsidR="00DA0268" w:rsidRPr="004A4FFB" w:rsidRDefault="00DA0268" w:rsidP="00D9389A">
            <w:pPr>
              <w:spacing w:before="120" w:beforeAutospacing="0" w:after="120" w:afterAutospacing="0"/>
              <w:jc w:val="center"/>
              <w:rPr>
                <w:color w:val="000000"/>
                <w:sz w:val="20"/>
                <w:szCs w:val="20"/>
              </w:rPr>
            </w:pPr>
          </w:p>
        </w:tc>
        <w:tc>
          <w:tcPr>
            <w:tcW w:w="4253" w:type="dxa"/>
          </w:tcPr>
          <w:p w:rsidR="00DA0268" w:rsidRPr="004A4FFB" w:rsidRDefault="004243CF" w:rsidP="00D9389A">
            <w:pPr>
              <w:tabs>
                <w:tab w:val="left" w:pos="1755"/>
              </w:tabs>
              <w:spacing w:before="120" w:beforeAutospacing="0" w:after="120" w:afterAutospacing="0"/>
              <w:rPr>
                <w:sz w:val="20"/>
                <w:szCs w:val="20"/>
              </w:rPr>
            </w:pPr>
            <w:r w:rsidRPr="004A4FFB">
              <w:rPr>
                <w:sz w:val="20"/>
                <w:szCs w:val="20"/>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w:t>
            </w:r>
            <w:r w:rsidRPr="004A4FFB">
              <w:rPr>
                <w:b/>
                <w:sz w:val="20"/>
                <w:szCs w:val="20"/>
              </w:rPr>
              <w:t>239 (WRC</w:t>
            </w:r>
            <w:r w:rsidRPr="004A4FFB">
              <w:rPr>
                <w:b/>
                <w:sz w:val="20"/>
                <w:szCs w:val="20"/>
              </w:rPr>
              <w:noBreakHyphen/>
              <w:t>15)</w:t>
            </w:r>
          </w:p>
        </w:tc>
        <w:tc>
          <w:tcPr>
            <w:tcW w:w="9526" w:type="dxa"/>
          </w:tcPr>
          <w:p w:rsidR="00095E2E" w:rsidRPr="004A4FFB" w:rsidRDefault="00095E2E" w:rsidP="00D9389A">
            <w:pPr>
              <w:spacing w:before="120" w:beforeAutospacing="0" w:after="120" w:afterAutospacing="0"/>
              <w:rPr>
                <w:sz w:val="20"/>
                <w:szCs w:val="20"/>
              </w:rPr>
            </w:pPr>
            <w:r w:rsidRPr="004A4FFB">
              <w:rPr>
                <w:sz w:val="20"/>
                <w:szCs w:val="20"/>
              </w:rPr>
              <w:t xml:space="preserve">CEPT supports studies to be performed under Agenda item 1.16 in accordance with Resolution </w:t>
            </w:r>
            <w:r w:rsidRPr="004A4FFB">
              <w:rPr>
                <w:rStyle w:val="ECCHLbold"/>
                <w:sz w:val="20"/>
                <w:szCs w:val="20"/>
              </w:rPr>
              <w:t>239 (WRC-15)</w:t>
            </w:r>
            <w:r w:rsidRPr="004A4FFB">
              <w:rPr>
                <w:sz w:val="20"/>
                <w:szCs w:val="20"/>
              </w:rPr>
              <w:t>.</w:t>
            </w:r>
          </w:p>
          <w:p w:rsidR="00095E2E" w:rsidRPr="004A4FFB" w:rsidRDefault="00095E2E" w:rsidP="00D9389A">
            <w:pPr>
              <w:spacing w:before="120" w:beforeAutospacing="0" w:after="120" w:afterAutospacing="0"/>
              <w:rPr>
                <w:sz w:val="20"/>
                <w:szCs w:val="20"/>
              </w:rPr>
            </w:pPr>
            <w:r w:rsidRPr="004A4FFB">
              <w:rPr>
                <w:sz w:val="20"/>
                <w:szCs w:val="20"/>
              </w:rPr>
              <w:t xml:space="preserve">In the 5150-5350 MHz band, CEPT would support relaxing the access conditions applicable to WAS/RLANs, if results of studies show that sharing and compatibility can be achieved with EESS, radars, MSS feeder links, aeronautical </w:t>
            </w:r>
            <w:proofErr w:type="spellStart"/>
            <w:r w:rsidRPr="004A4FFB">
              <w:rPr>
                <w:sz w:val="20"/>
                <w:szCs w:val="20"/>
              </w:rPr>
              <w:t>radionavigation</w:t>
            </w:r>
            <w:proofErr w:type="spellEnd"/>
            <w:r w:rsidRPr="004A4FFB">
              <w:rPr>
                <w:sz w:val="20"/>
                <w:szCs w:val="20"/>
              </w:rPr>
              <w:t xml:space="preserve"> and aeronautical telemetry (see No 5.446C).</w:t>
            </w:r>
          </w:p>
          <w:p w:rsidR="00095E2E" w:rsidRPr="004A4FFB" w:rsidRDefault="00095E2E" w:rsidP="00D9389A">
            <w:pPr>
              <w:spacing w:before="120" w:beforeAutospacing="0" w:after="120" w:afterAutospacing="0"/>
              <w:rPr>
                <w:sz w:val="20"/>
                <w:szCs w:val="20"/>
              </w:rPr>
            </w:pPr>
            <w:r w:rsidRPr="004A4FFB">
              <w:rPr>
                <w:sz w:val="20"/>
                <w:szCs w:val="20"/>
              </w:rPr>
              <w:t xml:space="preserve">In the 5350-5470 MHz band, CEPT opposes any new allocation to the mobile service with a view to accommodating WAS/RLAN use unless the mitigation techniques (such as DFS for radars) can be shown to provide co-existence with EESS (all types of sensors) and compatibility with all radio determination systems (including Meteorological Radars), taking into account their feasibility (including real implementation at international level) and effectiveness. </w:t>
            </w:r>
          </w:p>
          <w:p w:rsidR="00095E2E" w:rsidRPr="004A4FFB" w:rsidRDefault="00095E2E" w:rsidP="00D9389A">
            <w:pPr>
              <w:spacing w:before="120" w:beforeAutospacing="0" w:after="120" w:afterAutospacing="0"/>
              <w:rPr>
                <w:sz w:val="20"/>
                <w:szCs w:val="20"/>
              </w:rPr>
            </w:pPr>
            <w:r w:rsidRPr="004A4FFB">
              <w:rPr>
                <w:sz w:val="20"/>
                <w:szCs w:val="20"/>
              </w:rPr>
              <w:t>In the 5725-5850 MHz band, CEPT would support a new mobile allocation to accommodate WAS/RLANs use if sharing and compatibility studies can demonstrate the effectiveness of new proposed interference mitigation techniques to ensure the protection of radars, fixed service (see RR footnote 5.455)</w:t>
            </w:r>
            <w:r w:rsidRPr="004A4FFB">
              <w:rPr>
                <w:rStyle w:val="ECCHLyellow"/>
                <w:rFonts w:ascii="Times New Roman" w:hAnsi="Times New Roman"/>
                <w:sz w:val="20"/>
                <w:szCs w:val="20"/>
              </w:rPr>
              <w:t xml:space="preserve"> </w:t>
            </w:r>
            <w:r w:rsidRPr="004A4FFB">
              <w:rPr>
                <w:sz w:val="20"/>
                <w:szCs w:val="20"/>
              </w:rPr>
              <w:t>and FSS uplinks. It is to be noted that CEPT will take into account compatibility studies between RLAN and specific applications within CEPT (e.g. road tolling systems).</w:t>
            </w:r>
          </w:p>
          <w:p w:rsidR="00201D83" w:rsidRPr="004A4FFB" w:rsidRDefault="00095E2E" w:rsidP="00D9389A">
            <w:pPr>
              <w:pStyle w:val="ECCParagraph"/>
              <w:spacing w:before="120" w:after="120"/>
              <w:rPr>
                <w:rFonts w:ascii="Times New Roman" w:eastAsia="Calibri" w:hAnsi="Times New Roman"/>
                <w:sz w:val="20"/>
                <w:szCs w:val="20"/>
                <w:lang w:val="en-US"/>
              </w:rPr>
            </w:pPr>
            <w:r w:rsidRPr="004A4FFB">
              <w:rPr>
                <w:rFonts w:ascii="Times New Roman" w:hAnsi="Times New Roman"/>
                <w:sz w:val="20"/>
                <w:szCs w:val="20"/>
              </w:rPr>
              <w:t>In the 5850-5925 MHz band, CEPT is still in discussion over its initial preliminary position for this band, taking into account the need to not impose any additional constraints on existing services such as FSS and existing applications under the mobile service such as ITS.</w:t>
            </w:r>
          </w:p>
        </w:tc>
      </w:tr>
      <w:tr w:rsidR="00201D83" w:rsidRPr="004A4FFB" w:rsidTr="00F5724C">
        <w:tc>
          <w:tcPr>
            <w:tcW w:w="817" w:type="dxa"/>
          </w:tcPr>
          <w:p w:rsidR="00201D83" w:rsidRPr="004A4FFB" w:rsidRDefault="00B254A1" w:rsidP="00D9389A">
            <w:pPr>
              <w:spacing w:before="120" w:beforeAutospacing="0" w:after="120" w:afterAutospacing="0"/>
              <w:jc w:val="center"/>
              <w:rPr>
                <w:sz w:val="20"/>
                <w:szCs w:val="20"/>
              </w:rPr>
            </w:pPr>
            <w:r w:rsidRPr="004A4FFB">
              <w:rPr>
                <w:sz w:val="20"/>
                <w:szCs w:val="20"/>
              </w:rPr>
              <w:t>9.1.5</w:t>
            </w:r>
          </w:p>
          <w:p w:rsidR="00201D83" w:rsidRPr="004A4FFB" w:rsidRDefault="00201D83" w:rsidP="00D9389A">
            <w:pPr>
              <w:spacing w:before="120" w:beforeAutospacing="0" w:after="120" w:afterAutospacing="0"/>
              <w:jc w:val="center"/>
              <w:rPr>
                <w:sz w:val="20"/>
                <w:szCs w:val="20"/>
              </w:rPr>
            </w:pPr>
          </w:p>
          <w:p w:rsidR="00201D83" w:rsidRPr="004A4FFB" w:rsidRDefault="00201D83" w:rsidP="00D9389A">
            <w:pPr>
              <w:spacing w:before="120" w:beforeAutospacing="0" w:after="120" w:afterAutospacing="0"/>
              <w:jc w:val="center"/>
              <w:rPr>
                <w:color w:val="000000"/>
                <w:sz w:val="20"/>
                <w:szCs w:val="20"/>
              </w:rPr>
            </w:pPr>
          </w:p>
        </w:tc>
        <w:tc>
          <w:tcPr>
            <w:tcW w:w="4253" w:type="dxa"/>
          </w:tcPr>
          <w:p w:rsidR="00201D83" w:rsidRPr="004A4FFB" w:rsidRDefault="00B254A1" w:rsidP="00D9389A">
            <w:pPr>
              <w:spacing w:before="120" w:beforeAutospacing="0" w:after="120" w:afterAutospacing="0"/>
              <w:rPr>
                <w:bCs/>
                <w:sz w:val="20"/>
                <w:szCs w:val="20"/>
                <w:lang w:val="en-GB"/>
              </w:rPr>
            </w:pPr>
            <w:r w:rsidRPr="004A4FFB">
              <w:rPr>
                <w:rFonts w:eastAsia="Times New Roman"/>
                <w:sz w:val="20"/>
                <w:szCs w:val="20"/>
                <w:lang w:val="en-GB"/>
              </w:rPr>
              <w:t>Consideration of the technical and regulatory impacts of referencing Recommendations ITU</w:t>
            </w:r>
            <w:r w:rsidRPr="004A4FFB">
              <w:rPr>
                <w:rFonts w:eastAsia="Times New Roman"/>
                <w:sz w:val="20"/>
                <w:szCs w:val="20"/>
                <w:lang w:val="en-GB"/>
              </w:rPr>
              <w:noBreakHyphen/>
              <w:t>R M.1638</w:t>
            </w:r>
            <w:r w:rsidRPr="004A4FFB">
              <w:rPr>
                <w:rFonts w:eastAsia="Times New Roman"/>
                <w:sz w:val="20"/>
                <w:szCs w:val="20"/>
                <w:lang w:val="en-GB"/>
              </w:rPr>
              <w:noBreakHyphen/>
              <w:t>1 and ITU</w:t>
            </w:r>
            <w:r w:rsidRPr="004A4FFB">
              <w:rPr>
                <w:rFonts w:eastAsia="Times New Roman"/>
                <w:sz w:val="20"/>
                <w:szCs w:val="20"/>
                <w:lang w:val="en-GB"/>
              </w:rPr>
              <w:noBreakHyphen/>
              <w:t>R M.1849</w:t>
            </w:r>
            <w:r w:rsidRPr="004A4FFB">
              <w:rPr>
                <w:rFonts w:eastAsia="Times New Roman"/>
                <w:sz w:val="20"/>
                <w:szCs w:val="20"/>
                <w:lang w:val="en-GB"/>
              </w:rPr>
              <w:noBreakHyphen/>
              <w:t>1</w:t>
            </w:r>
            <w:r w:rsidRPr="004A4FFB">
              <w:rPr>
                <w:rFonts w:eastAsia="Times New Roman"/>
                <w:sz w:val="20"/>
                <w:szCs w:val="20"/>
                <w:lang w:val="en-GB"/>
              </w:rPr>
              <w:br/>
              <w:t xml:space="preserve">in </w:t>
            </w:r>
            <w:r w:rsidRPr="004A4FFB">
              <w:rPr>
                <w:rFonts w:eastAsia="Times New Roman"/>
                <w:sz w:val="20"/>
                <w:szCs w:val="20"/>
                <w:lang w:val="en-GB" w:eastAsia="ja-JP"/>
              </w:rPr>
              <w:t>Nos. </w:t>
            </w:r>
            <w:r w:rsidRPr="004A4FFB">
              <w:rPr>
                <w:rFonts w:eastAsia="Times New Roman"/>
                <w:sz w:val="20"/>
                <w:szCs w:val="20"/>
                <w:lang w:val="en-GB"/>
              </w:rPr>
              <w:t>5.447F and 5.</w:t>
            </w:r>
            <w:r w:rsidRPr="004A4FFB">
              <w:rPr>
                <w:rFonts w:eastAsia="Times New Roman"/>
                <w:sz w:val="20"/>
                <w:szCs w:val="20"/>
                <w:lang w:val="en-GB" w:eastAsia="ja-JP"/>
              </w:rPr>
              <w:t>45</w:t>
            </w:r>
            <w:r w:rsidRPr="004A4FFB">
              <w:rPr>
                <w:rFonts w:eastAsia="Times New Roman"/>
                <w:sz w:val="20"/>
                <w:szCs w:val="20"/>
                <w:lang w:val="en-GB"/>
              </w:rPr>
              <w:t>0A of the Radio Regulations (</w:t>
            </w:r>
            <w:r w:rsidR="00B32BBD" w:rsidRPr="004A4FFB">
              <w:rPr>
                <w:rFonts w:eastAsia="Times New Roman"/>
                <w:sz w:val="20"/>
                <w:szCs w:val="20"/>
                <w:lang w:val="en-GB"/>
              </w:rPr>
              <w:t xml:space="preserve">Resolution </w:t>
            </w:r>
            <w:r w:rsidR="00B32BBD" w:rsidRPr="004A4FFB">
              <w:rPr>
                <w:rFonts w:eastAsia="Times New Roman"/>
                <w:b/>
                <w:sz w:val="20"/>
                <w:szCs w:val="20"/>
                <w:lang w:val="en-GB"/>
              </w:rPr>
              <w:t>764(WRC-2015)</w:t>
            </w:r>
            <w:r w:rsidR="00B32BBD" w:rsidRPr="004A4FFB">
              <w:rPr>
                <w:rFonts w:eastAsia="Times New Roman"/>
                <w:sz w:val="20"/>
                <w:szCs w:val="20"/>
                <w:lang w:val="en-GB"/>
              </w:rPr>
              <w:t>)</w:t>
            </w:r>
          </w:p>
        </w:tc>
        <w:tc>
          <w:tcPr>
            <w:tcW w:w="9526" w:type="dxa"/>
          </w:tcPr>
          <w:p w:rsidR="00201D83" w:rsidRPr="004A4FFB" w:rsidRDefault="005A4505" w:rsidP="00D9389A">
            <w:pPr>
              <w:pStyle w:val="ECCParagraph"/>
              <w:spacing w:before="120" w:after="120"/>
              <w:rPr>
                <w:rFonts w:ascii="Times New Roman" w:eastAsia="Calibri" w:hAnsi="Times New Roman"/>
                <w:sz w:val="20"/>
                <w:szCs w:val="20"/>
                <w:lang w:val="en-US"/>
              </w:rPr>
            </w:pPr>
            <w:r w:rsidRPr="004A4FFB">
              <w:rPr>
                <w:rFonts w:ascii="Times New Roman" w:hAnsi="Times New Roman"/>
                <w:sz w:val="20"/>
                <w:szCs w:val="20"/>
              </w:rPr>
              <w:t>No position at this stage</w:t>
            </w:r>
          </w:p>
        </w:tc>
      </w:tr>
      <w:tr w:rsidR="005A4505" w:rsidRPr="004A4FFB" w:rsidTr="00F5724C">
        <w:tc>
          <w:tcPr>
            <w:tcW w:w="817" w:type="dxa"/>
          </w:tcPr>
          <w:p w:rsidR="005A4505" w:rsidRPr="002C5E11" w:rsidRDefault="005A4505" w:rsidP="002C5E11">
            <w:pPr>
              <w:spacing w:before="120" w:beforeAutospacing="0" w:after="120" w:afterAutospacing="0"/>
              <w:jc w:val="center"/>
              <w:rPr>
                <w:sz w:val="20"/>
                <w:szCs w:val="20"/>
              </w:rPr>
            </w:pPr>
            <w:r w:rsidRPr="004A4FFB">
              <w:rPr>
                <w:sz w:val="20"/>
                <w:szCs w:val="20"/>
              </w:rPr>
              <w:t>9.1.6</w:t>
            </w:r>
          </w:p>
        </w:tc>
        <w:tc>
          <w:tcPr>
            <w:tcW w:w="4253" w:type="dxa"/>
          </w:tcPr>
          <w:p w:rsidR="005A4505" w:rsidRPr="004A4FFB" w:rsidRDefault="005A4505" w:rsidP="00D9389A">
            <w:pPr>
              <w:spacing w:before="120" w:beforeAutospacing="0" w:after="120" w:afterAutospacing="0"/>
              <w:rPr>
                <w:sz w:val="20"/>
                <w:szCs w:val="20"/>
              </w:rPr>
            </w:pPr>
            <w:r w:rsidRPr="004A4FFB">
              <w:rPr>
                <w:sz w:val="20"/>
                <w:szCs w:val="20"/>
              </w:rPr>
              <w:t xml:space="preserve">Wireless Power Transmission </w:t>
            </w:r>
            <w:r w:rsidRPr="004A4FFB">
              <w:rPr>
                <w:rFonts w:eastAsia="Times New Roman"/>
                <w:sz w:val="20"/>
                <w:szCs w:val="20"/>
                <w:lang w:val="en-GB"/>
              </w:rPr>
              <w:t xml:space="preserve">(Resolution </w:t>
            </w:r>
            <w:r w:rsidRPr="004A4FFB">
              <w:rPr>
                <w:rFonts w:eastAsia="Times New Roman"/>
                <w:b/>
                <w:sz w:val="20"/>
                <w:szCs w:val="20"/>
                <w:lang w:val="en-GB"/>
              </w:rPr>
              <w:t>958 (WRC-2015)</w:t>
            </w:r>
            <w:r w:rsidRPr="004A4FFB">
              <w:rPr>
                <w:rFonts w:eastAsia="Times New Roman"/>
                <w:sz w:val="20"/>
                <w:szCs w:val="20"/>
                <w:lang w:val="en-GB"/>
              </w:rPr>
              <w:t>)</w:t>
            </w:r>
          </w:p>
        </w:tc>
        <w:tc>
          <w:tcPr>
            <w:tcW w:w="9526" w:type="dxa"/>
          </w:tcPr>
          <w:p w:rsidR="005A4505" w:rsidRPr="004A4FFB" w:rsidRDefault="005A4505" w:rsidP="00D9389A">
            <w:pPr>
              <w:pStyle w:val="ECCParagraph"/>
              <w:spacing w:before="120" w:after="120"/>
              <w:rPr>
                <w:rFonts w:ascii="Times New Roman" w:eastAsia="Calibri" w:hAnsi="Times New Roman"/>
                <w:sz w:val="20"/>
                <w:szCs w:val="20"/>
                <w:lang w:val="en-US"/>
              </w:rPr>
            </w:pPr>
            <w:r w:rsidRPr="004A4FFB">
              <w:rPr>
                <w:rFonts w:ascii="Times New Roman" w:hAnsi="Times New Roman"/>
                <w:sz w:val="20"/>
                <w:szCs w:val="20"/>
              </w:rPr>
              <w:t>No position at this stage</w:t>
            </w:r>
          </w:p>
        </w:tc>
      </w:tr>
      <w:tr w:rsidR="005A4505" w:rsidRPr="004A4FFB" w:rsidTr="00F5724C">
        <w:tc>
          <w:tcPr>
            <w:tcW w:w="817" w:type="dxa"/>
            <w:tcBorders>
              <w:top w:val="single" w:sz="4" w:space="0" w:color="auto"/>
              <w:left w:val="single" w:sz="4" w:space="0" w:color="auto"/>
              <w:bottom w:val="single" w:sz="4" w:space="0" w:color="auto"/>
              <w:right w:val="single" w:sz="4" w:space="0" w:color="auto"/>
            </w:tcBorders>
          </w:tcPr>
          <w:p w:rsidR="005A4505" w:rsidRPr="004A4FFB" w:rsidRDefault="005A4505" w:rsidP="00D9389A">
            <w:pPr>
              <w:spacing w:before="120" w:beforeAutospacing="0" w:after="120" w:afterAutospacing="0"/>
              <w:jc w:val="center"/>
              <w:rPr>
                <w:sz w:val="20"/>
                <w:szCs w:val="20"/>
              </w:rPr>
            </w:pPr>
            <w:r w:rsidRPr="004A4FFB">
              <w:rPr>
                <w:sz w:val="20"/>
                <w:szCs w:val="20"/>
              </w:rPr>
              <w:t>9.1.9</w:t>
            </w:r>
          </w:p>
        </w:tc>
        <w:tc>
          <w:tcPr>
            <w:tcW w:w="4253" w:type="dxa"/>
            <w:tcBorders>
              <w:top w:val="single" w:sz="4" w:space="0" w:color="auto"/>
              <w:left w:val="single" w:sz="4" w:space="0" w:color="auto"/>
              <w:bottom w:val="single" w:sz="4" w:space="0" w:color="auto"/>
              <w:right w:val="single" w:sz="4" w:space="0" w:color="auto"/>
            </w:tcBorders>
          </w:tcPr>
          <w:p w:rsidR="005A4505" w:rsidRPr="004A4FFB" w:rsidRDefault="005A4505" w:rsidP="00D9389A">
            <w:pPr>
              <w:spacing w:before="120" w:beforeAutospacing="0" w:after="120" w:afterAutospacing="0"/>
              <w:rPr>
                <w:sz w:val="20"/>
                <w:szCs w:val="20"/>
              </w:rPr>
            </w:pPr>
            <w:r w:rsidRPr="004A4FFB">
              <w:rPr>
                <w:sz w:val="20"/>
                <w:szCs w:val="20"/>
              </w:rPr>
              <w:t>Studies relating to spectrum needs and possible allocation of the band 51.4-52.4 GHz to the FSS (Earth-to-space) (see Resolution</w:t>
            </w:r>
            <w:r w:rsidRPr="004A4FFB">
              <w:rPr>
                <w:b/>
                <w:sz w:val="20"/>
                <w:szCs w:val="20"/>
              </w:rPr>
              <w:t xml:space="preserve"> 162 (WRC-15)</w:t>
            </w:r>
            <w:r w:rsidRPr="004A4FFB">
              <w:rPr>
                <w:sz w:val="20"/>
                <w:szCs w:val="20"/>
              </w:rPr>
              <w:t>)</w:t>
            </w:r>
          </w:p>
        </w:tc>
        <w:tc>
          <w:tcPr>
            <w:tcW w:w="9526" w:type="dxa"/>
            <w:tcBorders>
              <w:top w:val="single" w:sz="4" w:space="0" w:color="auto"/>
              <w:left w:val="single" w:sz="4" w:space="0" w:color="auto"/>
              <w:bottom w:val="single" w:sz="4" w:space="0" w:color="auto"/>
              <w:right w:val="single" w:sz="4" w:space="0" w:color="auto"/>
            </w:tcBorders>
          </w:tcPr>
          <w:p w:rsidR="00491B20" w:rsidRPr="004A4FFB" w:rsidRDefault="00491B20" w:rsidP="00D9389A">
            <w:pPr>
              <w:pStyle w:val="ECCParagraph"/>
              <w:spacing w:before="120" w:after="120"/>
              <w:rPr>
                <w:rFonts w:ascii="Times New Roman" w:hAnsi="Times New Roman"/>
                <w:sz w:val="20"/>
                <w:szCs w:val="20"/>
                <w:lang w:val="en-US"/>
              </w:rPr>
            </w:pPr>
            <w:r w:rsidRPr="004A4FFB">
              <w:rPr>
                <w:rFonts w:ascii="Times New Roman" w:hAnsi="Times New Roman"/>
                <w:sz w:val="20"/>
                <w:szCs w:val="20"/>
                <w:lang w:val="en-US"/>
              </w:rPr>
              <w:t>CEPT supports studies on evaluation of additional spectrum needs for development of the fixed-satellite service in accordance with resolves to invite ITU-R 1 of Resolution 162  (WRC-15). Such studies should be concluded before possible regulatory actions can be proposed under this issue of agenda item 9.1.</w:t>
            </w:r>
          </w:p>
          <w:p w:rsidR="00491B20" w:rsidRPr="004A4FFB" w:rsidRDefault="00491B20" w:rsidP="00D9389A">
            <w:pPr>
              <w:pStyle w:val="ECCParagraph"/>
              <w:spacing w:before="120" w:after="120"/>
              <w:rPr>
                <w:rFonts w:ascii="Times New Roman" w:hAnsi="Times New Roman"/>
                <w:sz w:val="20"/>
                <w:szCs w:val="20"/>
                <w:lang w:val="en-US"/>
              </w:rPr>
            </w:pPr>
            <w:r w:rsidRPr="004A4FFB">
              <w:rPr>
                <w:rFonts w:ascii="Times New Roman" w:hAnsi="Times New Roman"/>
                <w:sz w:val="20"/>
                <w:szCs w:val="20"/>
                <w:lang w:val="en-US"/>
              </w:rPr>
              <w:t>CEPT supports the sharing and compatibility studies with existing services for consideration of new primary allocation to the FSS in the frequency band 51.4-52.4 GHz (Earth-to-space) limited to FSS feeder links for geostationary orbit use.</w:t>
            </w:r>
          </w:p>
          <w:p w:rsidR="00491B20" w:rsidRPr="004A4FFB" w:rsidRDefault="00491B20" w:rsidP="00D9389A">
            <w:pPr>
              <w:pStyle w:val="ECCParagraph"/>
              <w:spacing w:before="120" w:after="120"/>
              <w:rPr>
                <w:rFonts w:ascii="Times New Roman" w:hAnsi="Times New Roman"/>
                <w:sz w:val="20"/>
                <w:szCs w:val="20"/>
                <w:lang w:val="en-US"/>
              </w:rPr>
            </w:pPr>
            <w:r w:rsidRPr="004A4FFB">
              <w:rPr>
                <w:rFonts w:ascii="Times New Roman" w:hAnsi="Times New Roman"/>
                <w:sz w:val="20"/>
                <w:szCs w:val="20"/>
                <w:lang w:val="en-US"/>
              </w:rPr>
              <w:t xml:space="preserve">To ensure the protection of the EESS (passive), operating in the band 52.6-54.25 GHz, CEPT supports to study the </w:t>
            </w:r>
            <w:r w:rsidRPr="004A4FFB">
              <w:rPr>
                <w:rFonts w:ascii="Times New Roman" w:hAnsi="Times New Roman"/>
                <w:sz w:val="20"/>
                <w:szCs w:val="20"/>
                <w:lang w:val="en-US"/>
              </w:rPr>
              <w:lastRenderedPageBreak/>
              <w:t>effects of aggregate interference from FSS GSO satellite networks in 51.4-52.4 GHz band and stations of existing terrestrial services allocated in 52.4-52.6 GHz band.</w:t>
            </w:r>
          </w:p>
          <w:p w:rsidR="005A4505" w:rsidRPr="004A4FFB" w:rsidRDefault="00491B20" w:rsidP="00D9389A">
            <w:pPr>
              <w:pStyle w:val="ECCParagraph"/>
              <w:spacing w:before="120" w:after="120"/>
              <w:rPr>
                <w:rFonts w:ascii="Times New Roman" w:hAnsi="Times New Roman"/>
                <w:sz w:val="20"/>
                <w:szCs w:val="20"/>
                <w:lang w:val="en-US"/>
              </w:rPr>
            </w:pPr>
            <w:r w:rsidRPr="004A4FFB">
              <w:rPr>
                <w:rFonts w:ascii="Times New Roman" w:hAnsi="Times New Roman"/>
                <w:sz w:val="20"/>
                <w:szCs w:val="20"/>
                <w:lang w:val="en-US"/>
              </w:rPr>
              <w:t>CEPT supports studies regarding the impact on radio astronomy observations in the band 51.4-54.25 GHz.</w:t>
            </w:r>
          </w:p>
        </w:tc>
      </w:tr>
      <w:tr w:rsidR="004A4FFB" w:rsidRPr="004A4FFB" w:rsidTr="00F5724C">
        <w:tc>
          <w:tcPr>
            <w:tcW w:w="817" w:type="dxa"/>
            <w:tcBorders>
              <w:top w:val="single" w:sz="4" w:space="0" w:color="auto"/>
              <w:left w:val="single" w:sz="4" w:space="0" w:color="auto"/>
              <w:bottom w:val="single" w:sz="4" w:space="0" w:color="auto"/>
              <w:right w:val="single" w:sz="4" w:space="0" w:color="auto"/>
            </w:tcBorders>
          </w:tcPr>
          <w:p w:rsidR="004A4FFB" w:rsidRPr="004A4FFB" w:rsidRDefault="004A4FFB" w:rsidP="00D9389A">
            <w:pPr>
              <w:spacing w:before="120" w:beforeAutospacing="0" w:after="120" w:afterAutospacing="0"/>
              <w:jc w:val="center"/>
              <w:rPr>
                <w:sz w:val="20"/>
                <w:szCs w:val="20"/>
              </w:rPr>
            </w:pPr>
            <w:r w:rsidRPr="004A4FFB">
              <w:rPr>
                <w:sz w:val="20"/>
                <w:szCs w:val="20"/>
              </w:rPr>
              <w:lastRenderedPageBreak/>
              <w:t>10</w:t>
            </w:r>
          </w:p>
        </w:tc>
        <w:tc>
          <w:tcPr>
            <w:tcW w:w="4253" w:type="dxa"/>
            <w:tcBorders>
              <w:top w:val="single" w:sz="4" w:space="0" w:color="auto"/>
              <w:left w:val="single" w:sz="4" w:space="0" w:color="auto"/>
              <w:bottom w:val="single" w:sz="4" w:space="0" w:color="auto"/>
              <w:right w:val="single" w:sz="4" w:space="0" w:color="auto"/>
            </w:tcBorders>
          </w:tcPr>
          <w:p w:rsidR="004A4FFB" w:rsidRPr="004A4FFB" w:rsidRDefault="004A4FFB" w:rsidP="00D9389A">
            <w:pPr>
              <w:spacing w:before="120" w:beforeAutospacing="0" w:after="120" w:afterAutospacing="0"/>
              <w:rPr>
                <w:sz w:val="20"/>
                <w:szCs w:val="20"/>
              </w:rPr>
            </w:pPr>
            <w:r w:rsidRPr="004A4FFB">
              <w:rPr>
                <w:sz w:val="20"/>
                <w:szCs w:val="20"/>
              </w:rPr>
              <w:t>to recommend to the Council items for inclusion in the agenda for the next WRC, and to give its views on the preliminary agenda for the subsequent conference and on possible agenda items for future conferences, in accordance with Article 7 of the Convention</w:t>
            </w:r>
          </w:p>
        </w:tc>
        <w:tc>
          <w:tcPr>
            <w:tcW w:w="9526" w:type="dxa"/>
            <w:tcBorders>
              <w:top w:val="single" w:sz="4" w:space="0" w:color="auto"/>
              <w:left w:val="single" w:sz="4" w:space="0" w:color="auto"/>
              <w:bottom w:val="single" w:sz="4" w:space="0" w:color="auto"/>
              <w:right w:val="single" w:sz="4" w:space="0" w:color="auto"/>
            </w:tcBorders>
          </w:tcPr>
          <w:p w:rsidR="004A4FFB" w:rsidRPr="004A4FFB" w:rsidRDefault="004A4FFB" w:rsidP="00D9389A">
            <w:pPr>
              <w:pStyle w:val="ECCParagraph"/>
              <w:spacing w:before="120" w:after="120"/>
              <w:rPr>
                <w:rFonts w:ascii="Times New Roman" w:eastAsia="Calibri" w:hAnsi="Times New Roman"/>
                <w:sz w:val="20"/>
                <w:szCs w:val="20"/>
                <w:lang w:val="en-US"/>
              </w:rPr>
            </w:pPr>
            <w:r w:rsidRPr="004A4FFB">
              <w:rPr>
                <w:rFonts w:ascii="Times New Roman" w:hAnsi="Times New Roman"/>
                <w:sz w:val="20"/>
                <w:szCs w:val="20"/>
              </w:rPr>
              <w:t>No position at this stage</w:t>
            </w:r>
          </w:p>
        </w:tc>
      </w:tr>
    </w:tbl>
    <w:p w:rsidR="00D82060" w:rsidRPr="004C3AF7" w:rsidRDefault="00D82060" w:rsidP="003A6054">
      <w:pPr>
        <w:rPr>
          <w:sz w:val="22"/>
          <w:szCs w:val="22"/>
        </w:rPr>
      </w:pPr>
    </w:p>
    <w:sectPr w:rsidR="00D82060" w:rsidRPr="004C3AF7" w:rsidSect="00872DBF">
      <w:footnotePr>
        <w:numFmt w:val="chicago"/>
      </w:footnotePr>
      <w:pgSz w:w="16840" w:h="11907" w:orient="landscape"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459" w:rsidRDefault="00621459" w:rsidP="007A73F8">
      <w:pPr>
        <w:spacing w:before="0" w:after="0"/>
      </w:pPr>
      <w:r>
        <w:separator/>
      </w:r>
    </w:p>
  </w:endnote>
  <w:endnote w:type="continuationSeparator" w:id="0">
    <w:p w:rsidR="00621459" w:rsidRDefault="00621459"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459" w:rsidRDefault="00621459" w:rsidP="007A73F8">
      <w:pPr>
        <w:spacing w:before="0" w:after="0"/>
      </w:pPr>
      <w:r>
        <w:separator/>
      </w:r>
    </w:p>
  </w:footnote>
  <w:footnote w:type="continuationSeparator" w:id="0">
    <w:p w:rsidR="00621459" w:rsidRDefault="00621459" w:rsidP="007A73F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50" w:rsidRPr="009C443D" w:rsidRDefault="00D72550"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5179DE">
      <w:rPr>
        <w:rStyle w:val="PageNumber"/>
        <w:noProof/>
        <w:sz w:val="18"/>
        <w:szCs w:val="18"/>
      </w:rPr>
      <w:t>3</w:t>
    </w:r>
    <w:r w:rsidRPr="009C443D">
      <w:rPr>
        <w:rStyle w:val="PageNumber"/>
        <w:sz w:val="18"/>
        <w:szCs w:val="18"/>
      </w:rPr>
      <w:fldChar w:fldCharType="end"/>
    </w:r>
    <w:r w:rsidRPr="009C443D">
      <w:rPr>
        <w:rStyle w:val="PageNumber"/>
        <w:sz w:val="18"/>
        <w:szCs w:val="18"/>
      </w:rPr>
      <w:t xml:space="preserve"> -</w:t>
    </w:r>
  </w:p>
  <w:p w:rsidR="00D72550" w:rsidRDefault="00D72550" w:rsidP="005179DE">
    <w:pPr>
      <w:pStyle w:val="Header"/>
      <w:spacing w:beforeAutospacing="0" w:afterAutospacing="0"/>
      <w:jc w:val="center"/>
      <w:rPr>
        <w:sz w:val="18"/>
        <w:szCs w:val="18"/>
      </w:rPr>
    </w:pPr>
    <w:r>
      <w:rPr>
        <w:sz w:val="18"/>
        <w:szCs w:val="18"/>
      </w:rPr>
      <w:t>SG-RFC/201</w:t>
    </w:r>
    <w:r w:rsidR="00314549">
      <w:rPr>
        <w:sz w:val="18"/>
        <w:szCs w:val="18"/>
        <w:lang w:val="en-AU"/>
      </w:rPr>
      <w:t>7</w:t>
    </w:r>
    <w:r>
      <w:rPr>
        <w:sz w:val="18"/>
        <w:szCs w:val="18"/>
      </w:rPr>
      <w:t>-</w:t>
    </w:r>
    <w:r w:rsidR="00314549">
      <w:rPr>
        <w:sz w:val="18"/>
        <w:szCs w:val="18"/>
        <w:lang w:val="en-AU"/>
      </w:rPr>
      <w:t>Do</w:t>
    </w:r>
    <w:r w:rsidR="005179DE">
      <w:rPr>
        <w:sz w:val="18"/>
        <w:szCs w:val="18"/>
        <w:lang w:val="en-AU"/>
      </w:rPr>
      <w:t>6.3</w:t>
    </w:r>
    <w:r w:rsidRPr="009C443D">
      <w:rPr>
        <w:sz w:val="18"/>
        <w:szCs w:val="18"/>
      </w:rPr>
      <w:t>-E</w:t>
    </w:r>
  </w:p>
  <w:p w:rsidR="00D72550" w:rsidRPr="009C443D" w:rsidRDefault="00D72550"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3E7D8A"/>
    <w:multiLevelType w:val="hybridMultilevel"/>
    <w:tmpl w:val="37D935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B70979"/>
    <w:multiLevelType w:val="hybridMultilevel"/>
    <w:tmpl w:val="39CE0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FEB4A7C"/>
    <w:multiLevelType w:val="hybridMultilevel"/>
    <w:tmpl w:val="9E7C6FF8"/>
    <w:lvl w:ilvl="0" w:tplc="E83CE0E0">
      <w:start w:val="1"/>
      <w:numFmt w:val="bullet"/>
      <w:lvlText w:val=""/>
      <w:lvlJc w:val="left"/>
      <w:pPr>
        <w:ind w:left="360" w:hanging="360"/>
      </w:pPr>
      <w:rPr>
        <w:rFonts w:ascii="Wingdings" w:hAnsi="Wingdings" w:hint="default"/>
        <w:color w:val="D2232A"/>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nsid w:val="10B51A74"/>
    <w:multiLevelType w:val="hybridMultilevel"/>
    <w:tmpl w:val="079A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896153"/>
    <w:multiLevelType w:val="multilevel"/>
    <w:tmpl w:val="FCEC7FBC"/>
    <w:numStyleLink w:val="ECCBullets"/>
  </w:abstractNum>
  <w:abstractNum w:abstractNumId="5">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6">
    <w:nsid w:val="1BDE4817"/>
    <w:multiLevelType w:val="hybridMultilevel"/>
    <w:tmpl w:val="93B89354"/>
    <w:lvl w:ilvl="0" w:tplc="FE3030FC">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A87A02"/>
    <w:multiLevelType w:val="hybridMultilevel"/>
    <w:tmpl w:val="F3C8E714"/>
    <w:lvl w:ilvl="0" w:tplc="7AEC2072">
      <w:start w:val="1"/>
      <w:numFmt w:val="bullet"/>
      <w:pStyle w:val="ECCBulletsLv1"/>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8">
    <w:nsid w:val="3CC06347"/>
    <w:multiLevelType w:val="multilevel"/>
    <w:tmpl w:val="FCEC7FBC"/>
    <w:numStyleLink w:val="ECCBullets"/>
  </w:abstractNum>
  <w:abstractNum w:abstractNumId="9">
    <w:nsid w:val="445A04B7"/>
    <w:multiLevelType w:val="hybridMultilevel"/>
    <w:tmpl w:val="3AFE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F4D0B65"/>
    <w:multiLevelType w:val="multilevel"/>
    <w:tmpl w:val="FCEC7FBC"/>
    <w:numStyleLink w:val="ECCBullets"/>
  </w:abstractNum>
  <w:abstractNum w:abstractNumId="11">
    <w:nsid w:val="5770231F"/>
    <w:multiLevelType w:val="hybridMultilevel"/>
    <w:tmpl w:val="C052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9A670AC"/>
    <w:multiLevelType w:val="hybridMultilevel"/>
    <w:tmpl w:val="7AF0DF6A"/>
    <w:lvl w:ilvl="0" w:tplc="34AE899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A08304D"/>
    <w:multiLevelType w:val="hybridMultilevel"/>
    <w:tmpl w:val="91EC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8"/>
  </w:num>
  <w:num w:numId="5">
    <w:abstractNumId w:val="4"/>
  </w:num>
  <w:num w:numId="6">
    <w:abstractNumId w:val="10"/>
  </w:num>
  <w:num w:numId="7">
    <w:abstractNumId w:val="3"/>
  </w:num>
  <w:num w:numId="8">
    <w:abstractNumId w:val="9"/>
  </w:num>
  <w:num w:numId="9">
    <w:abstractNumId w:val="7"/>
  </w:num>
  <w:num w:numId="10">
    <w:abstractNumId w:val="11"/>
  </w:num>
  <w:num w:numId="11">
    <w:abstractNumId w:val="13"/>
  </w:num>
  <w:num w:numId="12">
    <w:abstractNumId w:val="12"/>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1090"/>
    <w:rsid w:val="00022F17"/>
    <w:rsid w:val="00023E3C"/>
    <w:rsid w:val="000309C2"/>
    <w:rsid w:val="000309FF"/>
    <w:rsid w:val="0004008D"/>
    <w:rsid w:val="00042B2B"/>
    <w:rsid w:val="000518BF"/>
    <w:rsid w:val="000757E9"/>
    <w:rsid w:val="00082939"/>
    <w:rsid w:val="00095E2E"/>
    <w:rsid w:val="000979EA"/>
    <w:rsid w:val="000A42FF"/>
    <w:rsid w:val="000A504D"/>
    <w:rsid w:val="000D057A"/>
    <w:rsid w:val="000E608D"/>
    <w:rsid w:val="000F5279"/>
    <w:rsid w:val="00102305"/>
    <w:rsid w:val="00107650"/>
    <w:rsid w:val="00113766"/>
    <w:rsid w:val="00127822"/>
    <w:rsid w:val="0013643F"/>
    <w:rsid w:val="0014262E"/>
    <w:rsid w:val="00144843"/>
    <w:rsid w:val="00153C09"/>
    <w:rsid w:val="0016350F"/>
    <w:rsid w:val="00167708"/>
    <w:rsid w:val="00181EBA"/>
    <w:rsid w:val="00185160"/>
    <w:rsid w:val="0018521E"/>
    <w:rsid w:val="001A13D6"/>
    <w:rsid w:val="001B10D7"/>
    <w:rsid w:val="001B2071"/>
    <w:rsid w:val="001B25A7"/>
    <w:rsid w:val="001E2C33"/>
    <w:rsid w:val="00201D83"/>
    <w:rsid w:val="0020657D"/>
    <w:rsid w:val="00223B48"/>
    <w:rsid w:val="00236EE2"/>
    <w:rsid w:val="0027433C"/>
    <w:rsid w:val="00277FCC"/>
    <w:rsid w:val="0028284A"/>
    <w:rsid w:val="002A46EC"/>
    <w:rsid w:val="002A6E93"/>
    <w:rsid w:val="002C5E11"/>
    <w:rsid w:val="002E18C0"/>
    <w:rsid w:val="002F10FE"/>
    <w:rsid w:val="00304706"/>
    <w:rsid w:val="00314549"/>
    <w:rsid w:val="00324DE2"/>
    <w:rsid w:val="00342936"/>
    <w:rsid w:val="00344376"/>
    <w:rsid w:val="00347E8E"/>
    <w:rsid w:val="0036338C"/>
    <w:rsid w:val="003764B6"/>
    <w:rsid w:val="003A6054"/>
    <w:rsid w:val="003D38B9"/>
    <w:rsid w:val="003E6ECD"/>
    <w:rsid w:val="003F08D3"/>
    <w:rsid w:val="00412162"/>
    <w:rsid w:val="00422D26"/>
    <w:rsid w:val="004243CF"/>
    <w:rsid w:val="00427A8D"/>
    <w:rsid w:val="0043053C"/>
    <w:rsid w:val="0044117D"/>
    <w:rsid w:val="00441F05"/>
    <w:rsid w:val="00466CE7"/>
    <w:rsid w:val="00466E06"/>
    <w:rsid w:val="00477E34"/>
    <w:rsid w:val="00491B20"/>
    <w:rsid w:val="00497EC7"/>
    <w:rsid w:val="004A39AA"/>
    <w:rsid w:val="004A4FFB"/>
    <w:rsid w:val="004C3AF7"/>
    <w:rsid w:val="004C5A05"/>
    <w:rsid w:val="004E7941"/>
    <w:rsid w:val="004F0476"/>
    <w:rsid w:val="00510362"/>
    <w:rsid w:val="00510700"/>
    <w:rsid w:val="005179DE"/>
    <w:rsid w:val="005A4505"/>
    <w:rsid w:val="005B5FEE"/>
    <w:rsid w:val="005B77D8"/>
    <w:rsid w:val="005D6572"/>
    <w:rsid w:val="00600386"/>
    <w:rsid w:val="00604C1A"/>
    <w:rsid w:val="00613500"/>
    <w:rsid w:val="00621459"/>
    <w:rsid w:val="006237F8"/>
    <w:rsid w:val="00647BFE"/>
    <w:rsid w:val="00651604"/>
    <w:rsid w:val="006546D0"/>
    <w:rsid w:val="0065683A"/>
    <w:rsid w:val="00665CAB"/>
    <w:rsid w:val="00682FE9"/>
    <w:rsid w:val="00683FE2"/>
    <w:rsid w:val="00695EB8"/>
    <w:rsid w:val="006A471D"/>
    <w:rsid w:val="006A4FF3"/>
    <w:rsid w:val="006B4441"/>
    <w:rsid w:val="006C73CD"/>
    <w:rsid w:val="006E7CAF"/>
    <w:rsid w:val="006F650D"/>
    <w:rsid w:val="00701FDB"/>
    <w:rsid w:val="00713E61"/>
    <w:rsid w:val="00715E0D"/>
    <w:rsid w:val="00716EFA"/>
    <w:rsid w:val="00750671"/>
    <w:rsid w:val="007566C2"/>
    <w:rsid w:val="00767181"/>
    <w:rsid w:val="00776EFE"/>
    <w:rsid w:val="007777CB"/>
    <w:rsid w:val="00781BC4"/>
    <w:rsid w:val="00790387"/>
    <w:rsid w:val="00794BD7"/>
    <w:rsid w:val="007A73F8"/>
    <w:rsid w:val="007A7EA5"/>
    <w:rsid w:val="007E395D"/>
    <w:rsid w:val="007F3F87"/>
    <w:rsid w:val="007F6686"/>
    <w:rsid w:val="008018FC"/>
    <w:rsid w:val="008075D2"/>
    <w:rsid w:val="00812884"/>
    <w:rsid w:val="00820C6F"/>
    <w:rsid w:val="00821B94"/>
    <w:rsid w:val="008276D1"/>
    <w:rsid w:val="00832FA4"/>
    <w:rsid w:val="0084266A"/>
    <w:rsid w:val="00852F63"/>
    <w:rsid w:val="008674B1"/>
    <w:rsid w:val="00872AB2"/>
    <w:rsid w:val="00872DBF"/>
    <w:rsid w:val="00876393"/>
    <w:rsid w:val="008907E5"/>
    <w:rsid w:val="00891B49"/>
    <w:rsid w:val="008D24C5"/>
    <w:rsid w:val="009236D8"/>
    <w:rsid w:val="00924F3F"/>
    <w:rsid w:val="0093198A"/>
    <w:rsid w:val="00932C76"/>
    <w:rsid w:val="00964661"/>
    <w:rsid w:val="0097015B"/>
    <w:rsid w:val="00991D0C"/>
    <w:rsid w:val="009B022A"/>
    <w:rsid w:val="009B16D0"/>
    <w:rsid w:val="009B489C"/>
    <w:rsid w:val="009C04CB"/>
    <w:rsid w:val="009C443D"/>
    <w:rsid w:val="009D4904"/>
    <w:rsid w:val="00A16C11"/>
    <w:rsid w:val="00A30EDB"/>
    <w:rsid w:val="00A409CB"/>
    <w:rsid w:val="00A530FD"/>
    <w:rsid w:val="00A80B44"/>
    <w:rsid w:val="00A90A0C"/>
    <w:rsid w:val="00AA5121"/>
    <w:rsid w:val="00AC011C"/>
    <w:rsid w:val="00AC408D"/>
    <w:rsid w:val="00AC6C80"/>
    <w:rsid w:val="00B13392"/>
    <w:rsid w:val="00B1445B"/>
    <w:rsid w:val="00B1454C"/>
    <w:rsid w:val="00B16073"/>
    <w:rsid w:val="00B16AE0"/>
    <w:rsid w:val="00B254A1"/>
    <w:rsid w:val="00B32BBD"/>
    <w:rsid w:val="00B33A0B"/>
    <w:rsid w:val="00B35CA8"/>
    <w:rsid w:val="00B566E1"/>
    <w:rsid w:val="00B65F89"/>
    <w:rsid w:val="00B72FC8"/>
    <w:rsid w:val="00B82D4A"/>
    <w:rsid w:val="00B85962"/>
    <w:rsid w:val="00BA38E7"/>
    <w:rsid w:val="00BB2405"/>
    <w:rsid w:val="00BB65DE"/>
    <w:rsid w:val="00BC0BDC"/>
    <w:rsid w:val="00BC3021"/>
    <w:rsid w:val="00BE37FE"/>
    <w:rsid w:val="00BE4EE4"/>
    <w:rsid w:val="00C2697F"/>
    <w:rsid w:val="00C33900"/>
    <w:rsid w:val="00C34014"/>
    <w:rsid w:val="00C666C8"/>
    <w:rsid w:val="00C66F97"/>
    <w:rsid w:val="00C731AD"/>
    <w:rsid w:val="00CA07A6"/>
    <w:rsid w:val="00CA0ED3"/>
    <w:rsid w:val="00CA3ED5"/>
    <w:rsid w:val="00CC0BD7"/>
    <w:rsid w:val="00CC27FD"/>
    <w:rsid w:val="00CE2A96"/>
    <w:rsid w:val="00CE46C1"/>
    <w:rsid w:val="00D01EB3"/>
    <w:rsid w:val="00D027EB"/>
    <w:rsid w:val="00D15B1F"/>
    <w:rsid w:val="00D60108"/>
    <w:rsid w:val="00D67682"/>
    <w:rsid w:val="00D72550"/>
    <w:rsid w:val="00D81D79"/>
    <w:rsid w:val="00D82060"/>
    <w:rsid w:val="00D9389A"/>
    <w:rsid w:val="00D96ED6"/>
    <w:rsid w:val="00DA0268"/>
    <w:rsid w:val="00DB3E5B"/>
    <w:rsid w:val="00DC1CA7"/>
    <w:rsid w:val="00DC310B"/>
    <w:rsid w:val="00DE6A8F"/>
    <w:rsid w:val="00E24B4D"/>
    <w:rsid w:val="00E30F56"/>
    <w:rsid w:val="00E33512"/>
    <w:rsid w:val="00E6563A"/>
    <w:rsid w:val="00E70B8B"/>
    <w:rsid w:val="00E734B5"/>
    <w:rsid w:val="00E8009A"/>
    <w:rsid w:val="00E92007"/>
    <w:rsid w:val="00E92931"/>
    <w:rsid w:val="00EA7371"/>
    <w:rsid w:val="00EC7D65"/>
    <w:rsid w:val="00EE4A74"/>
    <w:rsid w:val="00F12FBE"/>
    <w:rsid w:val="00F30103"/>
    <w:rsid w:val="00F5724C"/>
    <w:rsid w:val="00F701F9"/>
    <w:rsid w:val="00F704A4"/>
    <w:rsid w:val="00F737DB"/>
    <w:rsid w:val="00FB7F60"/>
    <w:rsid w:val="00FC7EB3"/>
    <w:rsid w:val="00FD349E"/>
    <w:rsid w:val="00FD4D9D"/>
    <w:rsid w:val="00FD7ED5"/>
    <w:rsid w:val="00FE0656"/>
    <w:rsid w:val="00FE3FBC"/>
    <w:rsid w:val="00FE522A"/>
    <w:rsid w:val="00FF70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1"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qFormat/>
    <w:rsid w:val="00AC408D"/>
    <w:pPr>
      <w:numPr>
        <w:numId w:val="9"/>
      </w:numPr>
      <w:spacing w:before="0" w:beforeAutospacing="0" w:after="0" w:afterAutospacing="0"/>
      <w:jc w:val="both"/>
    </w:pPr>
    <w:rPr>
      <w:rFonts w:ascii="Arial" w:eastAsia="Times New Roman" w:hAnsi="Arial"/>
      <w:sz w:val="22"/>
      <w:szCs w:val="22"/>
      <w:lang w:val="en-GB"/>
    </w:rPr>
  </w:style>
  <w:style w:type="character" w:customStyle="1" w:styleId="BRNormal">
    <w:name w:val="BR_Normal"/>
    <w:basedOn w:val="DefaultParagraphFont"/>
    <w:uiPriority w:val="1"/>
    <w:qFormat/>
    <w:rsid w:val="00D96ED6"/>
  </w:style>
  <w:style w:type="paragraph" w:customStyle="1" w:styleId="Texte">
    <w:name w:val="Texte"/>
    <w:basedOn w:val="Normal"/>
    <w:rsid w:val="00D60108"/>
    <w:pPr>
      <w:spacing w:before="0" w:beforeAutospacing="0" w:after="120" w:afterAutospacing="0"/>
      <w:jc w:val="both"/>
    </w:pPr>
    <w:rPr>
      <w:rFonts w:eastAsia="Times New Roman"/>
      <w:bCs/>
      <w:lang w:val="en-GB" w:eastAsia="fr-FR"/>
    </w:rPr>
  </w:style>
  <w:style w:type="character" w:customStyle="1" w:styleId="Artdef">
    <w:name w:val="Art_def"/>
    <w:basedOn w:val="DefaultParagraphFont"/>
    <w:rsid w:val="00CA3ED5"/>
    <w:rPr>
      <w:rFonts w:ascii="Times New Roman" w:hAnsi="Times New Roman"/>
      <w:b/>
    </w:rPr>
  </w:style>
  <w:style w:type="paragraph" w:customStyle="1" w:styleId="ECCBulletsLv2">
    <w:name w:val="ECC Bullets Lv2"/>
    <w:basedOn w:val="ECCBulletsLv1"/>
    <w:rsid w:val="00022F17"/>
    <w:pPr>
      <w:tabs>
        <w:tab w:val="left" w:pos="340"/>
      </w:tabs>
      <w:spacing w:before="60"/>
      <w:ind w:left="680"/>
    </w:pPr>
    <w:rPr>
      <w:rFonts w:eastAsia="Calibri"/>
      <w:sz w:val="20"/>
    </w:rPr>
  </w:style>
  <w:style w:type="character" w:styleId="Emphasis">
    <w:name w:val="Emphasis"/>
    <w:aliases w:val="ECC HL italics"/>
    <w:uiPriority w:val="1"/>
    <w:qFormat/>
    <w:locked/>
    <w:rsid w:val="000F5279"/>
    <w:rPr>
      <w:iCs w:val="0"/>
    </w:rPr>
  </w:style>
  <w:style w:type="character" w:customStyle="1" w:styleId="ECCHLbold">
    <w:name w:val="ECC HL bold"/>
    <w:basedOn w:val="DefaultParagraphFont"/>
    <w:uiPriority w:val="1"/>
    <w:qFormat/>
    <w:rsid w:val="00324DE2"/>
    <w:rPr>
      <w:b/>
      <w:bCs/>
    </w:rPr>
  </w:style>
  <w:style w:type="character" w:customStyle="1" w:styleId="ECCHLyellow">
    <w:name w:val="ECC HL yellow"/>
    <w:basedOn w:val="DefaultParagraphFont"/>
    <w:uiPriority w:val="1"/>
    <w:qFormat/>
    <w:rsid w:val="00095E2E"/>
    <w:rPr>
      <w:rFonts w:ascii="Calibri" w:eastAsia="Calibri" w:hAnsi="Calibri" w:hint="default"/>
      <w:i w:val="0"/>
      <w:iCs w:val="0"/>
      <w:szCs w:val="22"/>
      <w:bdr w:val="none" w:sz="0" w:space="0" w:color="auto" w:frame="1"/>
      <w:shd w:val="solid" w:color="FFFF00" w:fill="auto"/>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1"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qFormat/>
    <w:rsid w:val="00AC408D"/>
    <w:pPr>
      <w:numPr>
        <w:numId w:val="9"/>
      </w:numPr>
      <w:spacing w:before="0" w:beforeAutospacing="0" w:after="0" w:afterAutospacing="0"/>
      <w:jc w:val="both"/>
    </w:pPr>
    <w:rPr>
      <w:rFonts w:ascii="Arial" w:eastAsia="Times New Roman" w:hAnsi="Arial"/>
      <w:sz w:val="22"/>
      <w:szCs w:val="22"/>
      <w:lang w:val="en-GB"/>
    </w:rPr>
  </w:style>
  <w:style w:type="character" w:customStyle="1" w:styleId="BRNormal">
    <w:name w:val="BR_Normal"/>
    <w:basedOn w:val="DefaultParagraphFont"/>
    <w:uiPriority w:val="1"/>
    <w:qFormat/>
    <w:rsid w:val="00D96ED6"/>
  </w:style>
  <w:style w:type="paragraph" w:customStyle="1" w:styleId="Texte">
    <w:name w:val="Texte"/>
    <w:basedOn w:val="Normal"/>
    <w:rsid w:val="00D60108"/>
    <w:pPr>
      <w:spacing w:before="0" w:beforeAutospacing="0" w:after="120" w:afterAutospacing="0"/>
      <w:jc w:val="both"/>
    </w:pPr>
    <w:rPr>
      <w:rFonts w:eastAsia="Times New Roman"/>
      <w:bCs/>
      <w:lang w:val="en-GB" w:eastAsia="fr-FR"/>
    </w:rPr>
  </w:style>
  <w:style w:type="character" w:customStyle="1" w:styleId="Artdef">
    <w:name w:val="Art_def"/>
    <w:basedOn w:val="DefaultParagraphFont"/>
    <w:rsid w:val="00CA3ED5"/>
    <w:rPr>
      <w:rFonts w:ascii="Times New Roman" w:hAnsi="Times New Roman"/>
      <w:b/>
    </w:rPr>
  </w:style>
  <w:style w:type="paragraph" w:customStyle="1" w:styleId="ECCBulletsLv2">
    <w:name w:val="ECC Bullets Lv2"/>
    <w:basedOn w:val="ECCBulletsLv1"/>
    <w:rsid w:val="00022F17"/>
    <w:pPr>
      <w:tabs>
        <w:tab w:val="left" w:pos="340"/>
      </w:tabs>
      <w:spacing w:before="60"/>
      <w:ind w:left="680"/>
    </w:pPr>
    <w:rPr>
      <w:rFonts w:eastAsia="Calibri"/>
      <w:sz w:val="20"/>
    </w:rPr>
  </w:style>
  <w:style w:type="character" w:styleId="Emphasis">
    <w:name w:val="Emphasis"/>
    <w:aliases w:val="ECC HL italics"/>
    <w:uiPriority w:val="1"/>
    <w:qFormat/>
    <w:locked/>
    <w:rsid w:val="000F5279"/>
    <w:rPr>
      <w:iCs w:val="0"/>
    </w:rPr>
  </w:style>
  <w:style w:type="character" w:customStyle="1" w:styleId="ECCHLbold">
    <w:name w:val="ECC HL bold"/>
    <w:basedOn w:val="DefaultParagraphFont"/>
    <w:uiPriority w:val="1"/>
    <w:qFormat/>
    <w:rsid w:val="00324DE2"/>
    <w:rPr>
      <w:b/>
      <w:bCs/>
    </w:rPr>
  </w:style>
  <w:style w:type="character" w:customStyle="1" w:styleId="ECCHLyellow">
    <w:name w:val="ECC HL yellow"/>
    <w:basedOn w:val="DefaultParagraphFont"/>
    <w:uiPriority w:val="1"/>
    <w:qFormat/>
    <w:rsid w:val="00095E2E"/>
    <w:rPr>
      <w:rFonts w:ascii="Calibri" w:eastAsia="Calibri" w:hAnsi="Calibri" w:hint="default"/>
      <w:i w:val="0"/>
      <w:iCs w:val="0"/>
      <w:szCs w:val="22"/>
      <w:bdr w:val="none" w:sz="0" w:space="0" w:color="auto" w:frame="1"/>
      <w:shd w:val="solid" w:color="FFFF00" w:fil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18162">
      <w:bodyDiv w:val="1"/>
      <w:marLeft w:val="0"/>
      <w:marRight w:val="0"/>
      <w:marTop w:val="0"/>
      <w:marBottom w:val="0"/>
      <w:divBdr>
        <w:top w:val="none" w:sz="0" w:space="0" w:color="auto"/>
        <w:left w:val="none" w:sz="0" w:space="0" w:color="auto"/>
        <w:bottom w:val="none" w:sz="0" w:space="0" w:color="auto"/>
        <w:right w:val="none" w:sz="0" w:space="0" w:color="auto"/>
      </w:divBdr>
    </w:div>
    <w:div w:id="395514139">
      <w:bodyDiv w:val="1"/>
      <w:marLeft w:val="0"/>
      <w:marRight w:val="0"/>
      <w:marTop w:val="0"/>
      <w:marBottom w:val="0"/>
      <w:divBdr>
        <w:top w:val="none" w:sz="0" w:space="0" w:color="auto"/>
        <w:left w:val="none" w:sz="0" w:space="0" w:color="auto"/>
        <w:bottom w:val="none" w:sz="0" w:space="0" w:color="auto"/>
        <w:right w:val="none" w:sz="0" w:space="0" w:color="auto"/>
      </w:divBdr>
    </w:div>
    <w:div w:id="665787199">
      <w:bodyDiv w:val="1"/>
      <w:marLeft w:val="0"/>
      <w:marRight w:val="0"/>
      <w:marTop w:val="0"/>
      <w:marBottom w:val="0"/>
      <w:divBdr>
        <w:top w:val="none" w:sz="0" w:space="0" w:color="auto"/>
        <w:left w:val="none" w:sz="0" w:space="0" w:color="auto"/>
        <w:bottom w:val="none" w:sz="0" w:space="0" w:color="auto"/>
        <w:right w:val="none" w:sz="0" w:space="0" w:color="auto"/>
      </w:divBdr>
    </w:div>
    <w:div w:id="1077747737">
      <w:bodyDiv w:val="1"/>
      <w:marLeft w:val="0"/>
      <w:marRight w:val="0"/>
      <w:marTop w:val="0"/>
      <w:marBottom w:val="0"/>
      <w:divBdr>
        <w:top w:val="none" w:sz="0" w:space="0" w:color="auto"/>
        <w:left w:val="none" w:sz="0" w:space="0" w:color="auto"/>
        <w:bottom w:val="none" w:sz="0" w:space="0" w:color="auto"/>
        <w:right w:val="none" w:sz="0" w:space="0" w:color="auto"/>
      </w:divBdr>
    </w:div>
    <w:div w:id="1621257358">
      <w:bodyDiv w:val="1"/>
      <w:marLeft w:val="0"/>
      <w:marRight w:val="0"/>
      <w:marTop w:val="0"/>
      <w:marBottom w:val="0"/>
      <w:divBdr>
        <w:top w:val="none" w:sz="0" w:space="0" w:color="auto"/>
        <w:left w:val="none" w:sz="0" w:space="0" w:color="auto"/>
        <w:bottom w:val="none" w:sz="0" w:space="0" w:color="auto"/>
        <w:right w:val="none" w:sz="0" w:space="0" w:color="auto"/>
      </w:divBdr>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 w:id="188255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8983C-EA5B-4EAC-B640-531EAF33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1754</Words>
  <Characters>9912</Characters>
  <Application>Microsoft Office Word</Application>
  <DocSecurity>0</DocSecurity>
  <Lines>228</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WMO SG-RFC Document</vt:lpstr>
      <vt:lpstr>WMO SG-RFC Document</vt:lpstr>
    </vt:vector>
  </TitlesOfParts>
  <Company>EUMETNET</Company>
  <LinksUpToDate>false</LinksUpToDate>
  <CharactersWithSpaces>11596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CEPT Views on WRC-19 Agenda Items of WMO Interest</dc:subject>
  <dc:creator>TRISTANT Philippe</dc:creator>
  <cp:lastModifiedBy>David Thomas</cp:lastModifiedBy>
  <cp:revision>8</cp:revision>
  <cp:lastPrinted>2012-10-22T16:15:00Z</cp:lastPrinted>
  <dcterms:created xsi:type="dcterms:W3CDTF">2017-01-05T21:25:00Z</dcterms:created>
  <dcterms:modified xsi:type="dcterms:W3CDTF">2017-01-06T09:20:00Z</dcterms:modified>
</cp:coreProperties>
</file>