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tbl>
      <w:tblPr>
        <w:tblW w:w="10079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548"/>
        <w:gridCol w:w="1680"/>
        <w:gridCol w:w="3851"/>
      </w:tblGrid>
      <w:tr>
        <w:tblPrEx>
          <w:shd w:val="clear" w:color="auto" w:fill="ced7e7"/>
        </w:tblPrEx>
        <w:trPr>
          <w:trHeight w:val="1278" w:hRule="atLeast"/>
        </w:trPr>
        <w:tc>
          <w:tcPr>
            <w:tcW w:type="dxa" w:w="4548"/>
            <w:tcBorders>
              <w:top w:val="nil"/>
              <w:left w:val="nil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 A"/>
              <w:jc w:val="center"/>
            </w:pPr>
            <w:r>
              <w:rPr>
                <w:b w:val="1"/>
                <w:bCs w:val="1"/>
                <w:sz w:val="28"/>
                <w:szCs w:val="28"/>
                <w:rtl w:val="0"/>
                <w:lang w:val="en-US"/>
              </w:rPr>
              <w:t>WORLD WEATHER WATCH</w:t>
            </w:r>
            <w:r>
              <w:rPr>
                <w:rFonts w:ascii="Arial Unicode MS" w:cs="Arial Unicode MS" w:hAnsi="Arial Unicode MS" w:eastAsia="Arial Unicode MS"/>
                <w:sz w:val="28"/>
                <w:szCs w:val="28"/>
                <w:lang w:val="en-US"/>
              </w:rPr>
              <w:br w:type="textWrapping"/>
            </w:r>
            <w:r>
              <w:rPr>
                <w:b w:val="1"/>
                <w:bCs w:val="1"/>
                <w:sz w:val="28"/>
                <w:szCs w:val="28"/>
                <w:rtl w:val="0"/>
                <w:lang w:val="en-US"/>
              </w:rPr>
              <w:t>COMMISSION FOR BASIC SYSTEMS</w:t>
            </w:r>
          </w:p>
        </w:tc>
        <w:tc>
          <w:tcPr>
            <w:tcW w:type="dxa" w:w="5531"/>
            <w:gridSpan w:val="2"/>
            <w:tcBorders>
              <w:top w:val="nil"/>
              <w:left w:val="nil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shd w:val="clear" w:color="auto" w:fill="ffffff"/>
              <w:spacing w:before="240" w:line="240" w:lineRule="atLeast"/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lang w:val="en-US"/>
              </w:rPr>
              <w:drawing>
                <wp:inline distT="0" distB="0" distL="0" distR="0">
                  <wp:extent cx="3498850" cy="707391"/>
                  <wp:effectExtent l="0" t="0" r="0" b="0"/>
                  <wp:docPr id="1073741825" name="officeArt object" descr="bann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1.png" descr="banner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0" cy="70739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6228"/>
            <w:gridSpan w:val="2"/>
            <w:tcBorders>
              <w:top w:val="single" w:color="000000" w:sz="12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51"/>
            <w:tcBorders>
              <w:top w:val="single" w:color="000000" w:sz="12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17" w:hRule="atLeast"/>
        </w:trPr>
        <w:tc>
          <w:tcPr>
            <w:tcW w:type="dxa" w:w="6228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rPr>
                <w:b w:val="1"/>
                <w:bCs w:val="1"/>
              </w:rPr>
            </w:pPr>
            <w:r>
              <w:rPr>
                <w:rStyle w:val="None A"/>
                <w:b w:val="1"/>
                <w:bCs w:val="1"/>
                <w:rtl w:val="0"/>
                <w:lang w:val="en-US"/>
              </w:rPr>
              <w:t>ICT-ISS</w:t>
            </w:r>
          </w:p>
          <w:p>
            <w:pPr>
              <w:pStyle w:val="Body A"/>
              <w:rPr>
                <w:rStyle w:val="None A"/>
                <w:b w:val="1"/>
                <w:bCs w:val="1"/>
                <w:lang w:val="en-US"/>
              </w:rPr>
            </w:pPr>
          </w:p>
          <w:p>
            <w:pPr>
              <w:pStyle w:val="Body A"/>
            </w:pPr>
            <w:r>
              <w:rPr>
                <w:rStyle w:val="None A"/>
                <w:rtl w:val="0"/>
                <w:lang w:val="en-US"/>
              </w:rPr>
              <w:t>Geneva, 1</w:t>
            </w:r>
            <w:r>
              <w:rPr>
                <w:rStyle w:val="None A"/>
                <w:rtl w:val="0"/>
                <w:lang w:val="en-US"/>
              </w:rPr>
              <w:t xml:space="preserve">9 June </w:t>
            </w:r>
            <w:r>
              <w:rPr>
                <w:rStyle w:val="None A"/>
                <w:rtl w:val="0"/>
                <w:lang w:val="en-US"/>
              </w:rPr>
              <w:t>-</w:t>
            </w:r>
            <w:r>
              <w:rPr>
                <w:rStyle w:val="None A"/>
                <w:rtl w:val="0"/>
                <w:lang w:val="en-US"/>
              </w:rPr>
              <w:t xml:space="preserve"> 1</w:t>
            </w:r>
            <w:r>
              <w:rPr>
                <w:rStyle w:val="None A"/>
                <w:rtl w:val="0"/>
                <w:lang w:val="en-US"/>
              </w:rPr>
              <w:t xml:space="preserve"> </w:t>
            </w:r>
            <w:r>
              <w:rPr>
                <w:rStyle w:val="None A"/>
                <w:rtl w:val="0"/>
                <w:lang w:val="en-US"/>
              </w:rPr>
              <w:t>July</w:t>
            </w:r>
            <w:r>
              <w:rPr>
                <w:rStyle w:val="None A"/>
                <w:rtl w:val="0"/>
                <w:lang w:val="en-US"/>
              </w:rPr>
              <w:t xml:space="preserve"> 2016 </w:t>
            </w:r>
          </w:p>
        </w:tc>
        <w:tc>
          <w:tcPr>
            <w:tcW w:type="dxa" w:w="38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right"/>
            </w:pPr>
            <w:r>
              <w:rPr>
                <w:b w:val="1"/>
                <w:bCs w:val="1"/>
                <w:rtl w:val="0"/>
                <w:lang w:val="fr-FR"/>
              </w:rPr>
              <w:t>ICT</w:t>
            </w:r>
            <w:r>
              <w:rPr>
                <w:b w:val="1"/>
                <w:bCs w:val="1"/>
                <w:rtl w:val="0"/>
                <w:lang w:val="fr-FR"/>
              </w:rPr>
              <w:t>-</w:t>
            </w:r>
            <w:r>
              <w:rPr>
                <w:b w:val="1"/>
                <w:bCs w:val="1"/>
                <w:rtl w:val="0"/>
                <w:lang w:val="fr-FR"/>
              </w:rPr>
              <w:t>ISS-201</w:t>
            </w:r>
            <w:r>
              <w:rPr>
                <w:b w:val="1"/>
                <w:bCs w:val="1"/>
                <w:rtl w:val="0"/>
                <w:lang w:val="en-US"/>
              </w:rPr>
              <w:t>6</w:t>
            </w:r>
            <w:r>
              <w:rPr>
                <w:b w:val="1"/>
                <w:bCs w:val="1"/>
                <w:rtl w:val="0"/>
                <w:lang w:val="en-US"/>
              </w:rPr>
              <w:t>/D04.04(3)</w:t>
            </w:r>
            <w:r>
              <w:rPr>
                <w:rFonts w:ascii="Arial Unicode MS" w:cs="Arial Unicode MS" w:hAnsi="Arial Unicode MS" w:eastAsia="Arial Unicode MS"/>
                <w:lang w:val="en-US"/>
              </w:rPr>
              <w:br w:type="textWrapping"/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6228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38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right"/>
            </w:pPr>
            <w:r>
              <w:rPr>
                <w:rStyle w:val="None A"/>
                <w:rtl w:val="0"/>
                <w:lang w:val="en-US"/>
              </w:rPr>
              <w:t>2</w:t>
            </w:r>
            <w:r>
              <w:rPr>
                <w:rStyle w:val="None A"/>
                <w:rtl w:val="0"/>
                <w:lang w:val="en-US"/>
              </w:rPr>
              <w:t>7</w:t>
            </w:r>
            <w:r>
              <w:rPr>
                <w:rStyle w:val="None A"/>
                <w:rtl w:val="0"/>
                <w:lang w:val="en-US"/>
              </w:rPr>
              <w:t xml:space="preserve"> </w:t>
            </w:r>
            <w:r>
              <w:rPr>
                <w:rStyle w:val="None A"/>
                <w:rtl w:val="0"/>
                <w:lang w:val="en-US"/>
              </w:rPr>
              <w:t>Jun</w:t>
            </w:r>
            <w:r>
              <w:rPr>
                <w:rStyle w:val="None A"/>
                <w:rtl w:val="0"/>
                <w:lang w:val="en-US"/>
              </w:rPr>
              <w:t xml:space="preserve"> 2016</w:t>
            </w:r>
          </w:p>
        </w:tc>
      </w:tr>
    </w:tbl>
    <w:p>
      <w:pPr>
        <w:pStyle w:val="Body"/>
        <w:widowControl w:val="0"/>
        <w:ind w:left="216" w:hanging="216"/>
      </w:pPr>
    </w:p>
    <w:p>
      <w:pPr>
        <w:pStyle w:val="Body B"/>
        <w:widowControl w:val="0"/>
        <w:ind w:left="108" w:hanging="108"/>
      </w:pPr>
    </w:p>
    <w:p>
      <w:pPr>
        <w:pStyle w:val="Body A"/>
        <w:widowControl w:val="0"/>
      </w:pPr>
    </w:p>
    <w:p>
      <w:pPr>
        <w:pStyle w:val="Body A"/>
        <w:widowControl w:val="0"/>
      </w:pPr>
    </w:p>
    <w:p>
      <w:pPr>
        <w:pStyle w:val="Body A"/>
      </w:pPr>
    </w:p>
    <w:p>
      <w:pPr>
        <w:pStyle w:val="_Main Heading"/>
      </w:pPr>
      <w:r>
        <w:rPr>
          <w:rtl w:val="0"/>
        </w:rPr>
        <w:t xml:space="preserve">IPET-MDRD </w:t>
      </w:r>
      <w:r>
        <w:rPr>
          <w:rtl w:val="0"/>
        </w:rPr>
        <w:t>Work Plan</w:t>
      </w:r>
    </w:p>
    <w:p>
      <w:pPr>
        <w:pStyle w:val="Default"/>
      </w:pPr>
      <w:r>
        <w:rPr>
          <w:sz w:val="24"/>
          <w:szCs w:val="24"/>
          <w:rtl w:val="0"/>
          <w:lang w:val="en-US"/>
        </w:rPr>
        <w:t xml:space="preserve">This document provides a plan of work for IPET-MDRD (or its successor) during the next CBS Session. Aiming to provide flexibility, the work plan focuses on the </w:t>
      </w:r>
      <w:r>
        <w:rPr>
          <w:sz w:val="24"/>
          <w:szCs w:val="24"/>
          <w:rtl w:val="0"/>
          <w:lang w:val="en-US"/>
        </w:rPr>
        <w:t xml:space="preserve">objectives and </w:t>
      </w:r>
      <w:r>
        <w:rPr>
          <w:sz w:val="24"/>
          <w:szCs w:val="24"/>
          <w:rtl w:val="0"/>
          <w:lang w:val="en-US"/>
        </w:rPr>
        <w:t>outcomes to be achieved rather than specific activities.</w:t>
      </w:r>
    </w:p>
    <w:p>
      <w:pPr>
        <w:pStyle w:val="Default"/>
      </w:pPr>
    </w:p>
    <w:p>
      <w:pPr>
        <w:pStyle w:val="Default"/>
      </w:pPr>
      <w:r>
        <w:rPr>
          <w:sz w:val="24"/>
          <w:szCs w:val="24"/>
          <w:rtl w:val="0"/>
          <w:lang w:val="en-US"/>
        </w:rPr>
        <w:t>OBJECTIVE | OUTCOME | DELIVERABLE</w:t>
      </w:r>
    </w:p>
    <w:p>
      <w:pPr>
        <w:pStyle w:val="Default"/>
      </w:pPr>
    </w:p>
    <w:p>
      <w:pPr>
        <w:pStyle w:val="Default"/>
      </w:pPr>
      <w:r>
        <w:rPr>
          <w:sz w:val="24"/>
          <w:szCs w:val="24"/>
          <w:rtl w:val="0"/>
          <w:lang w:val="en-US"/>
        </w:rPr>
        <w:t>Deliverables may be delivered in collaboration with another Expert Team.</w:t>
      </w:r>
    </w:p>
    <w:p>
      <w:pPr>
        <w:pStyle w:val="Default"/>
      </w:pPr>
    </w:p>
    <w:p>
      <w:pPr>
        <w:pStyle w:val="Default"/>
        <w:numPr>
          <w:ilvl w:val="0"/>
          <w:numId w:val="2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OBJECTIVE: </w:t>
      </w:r>
      <w:r>
        <w:rPr>
          <w:sz w:val="24"/>
          <w:szCs w:val="24"/>
          <w:rtl w:val="0"/>
          <w:lang w:val="en-US"/>
        </w:rPr>
        <w:t>Improve relevance of WIS Discovery metadata.</w:t>
      </w:r>
    </w:p>
    <w:p>
      <w:pPr>
        <w:pStyle w:val="Default"/>
        <w:numPr>
          <w:ilvl w:val="1"/>
          <w:numId w:val="4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WIS users are able to find information on data and services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User-centred analysis of effectiveness of GISC catalogue search interface [ET-WISC]</w:t>
      </w:r>
    </w:p>
    <w:p>
      <w:pPr>
        <w:pStyle w:val="Default"/>
        <w:numPr>
          <w:ilvl w:val="2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Guidance for GISC/DCPC providers on search interface design [ET-WISC]</w:t>
      </w:r>
    </w:p>
    <w:p>
      <w:pPr>
        <w:pStyle w:val="Default"/>
        <w:numPr>
          <w:ilvl w:val="2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Guidance for metadata authors (as input to WMO No. 1061)- including assessment of </w:t>
      </w:r>
      <w:r>
        <w:rPr>
          <w:sz w:val="24"/>
          <w:szCs w:val="24"/>
          <w:rtl w:val="0"/>
          <w:lang w:val="en-US"/>
        </w:rPr>
        <w:t>‘</w:t>
      </w:r>
      <w:r>
        <w:rPr>
          <w:sz w:val="24"/>
          <w:szCs w:val="24"/>
          <w:rtl w:val="0"/>
          <w:lang w:val="en-US"/>
        </w:rPr>
        <w:t>metadata granularity</w:t>
      </w:r>
      <w:r>
        <w:rPr>
          <w:sz w:val="24"/>
          <w:szCs w:val="24"/>
          <w:rtl w:val="0"/>
          <w:lang w:val="en-US"/>
        </w:rPr>
        <w:t>’</w:t>
      </w:r>
    </w:p>
    <w:p>
      <w:pPr>
        <w:pStyle w:val="Default"/>
        <w:numPr>
          <w:ilvl w:val="2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Guidance for metadata tool developers- including automated keyword suggestion for routinely exchanged code forms </w:t>
      </w:r>
      <w:r>
        <w:rPr>
          <w:sz w:val="24"/>
          <w:szCs w:val="24"/>
          <w:rtl w:val="0"/>
          <w:lang w:val="en-US"/>
        </w:rPr>
        <w:t>(e.g. SYNOP; surface, upper air land, ship, buoy, etc.)</w:t>
      </w:r>
    </w:p>
    <w:p>
      <w:pPr>
        <w:pStyle w:val="Default"/>
        <w:numPr>
          <w:ilvl w:val="2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Guidance on making WIS metadata records discoverable via industry search engines </w:t>
      </w:r>
    </w:p>
    <w:p>
      <w:pPr>
        <w:pStyle w:val="Default"/>
        <w:numPr>
          <w:ilvl w:val="1"/>
          <w:numId w:val="9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Periodical (e.g. monthly) monitoring of metadata quality in WIS DAR catalogue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Procedures for metadata quality monitoring- including tracking </w:t>
      </w:r>
      <w:r>
        <w:rPr>
          <w:sz w:val="24"/>
          <w:szCs w:val="24"/>
          <w:rtl w:val="0"/>
          <w:lang w:val="en-US"/>
        </w:rPr>
        <w:t>‘</w:t>
      </w:r>
      <w:r>
        <w:rPr>
          <w:sz w:val="24"/>
          <w:szCs w:val="24"/>
          <w:rtl w:val="0"/>
          <w:lang w:val="en-US"/>
        </w:rPr>
        <w:t>missing</w:t>
      </w:r>
      <w:r>
        <w:rPr>
          <w:sz w:val="24"/>
          <w:szCs w:val="24"/>
          <w:rtl w:val="0"/>
          <w:lang w:val="en-US"/>
        </w:rPr>
        <w:t xml:space="preserve">’ </w:t>
      </w:r>
      <w:r>
        <w:rPr>
          <w:sz w:val="24"/>
          <w:szCs w:val="24"/>
          <w:rtl w:val="0"/>
          <w:lang w:val="en-US"/>
        </w:rPr>
        <w:t>metadata and engagement with GISCs to remedy systematic quality issues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Metadata catalogue monitoring tool(s)</w:t>
      </w:r>
    </w:p>
    <w:p>
      <w:pPr>
        <w:pStyle w:val="Default"/>
        <w:numPr>
          <w:ilvl w:val="1"/>
          <w:numId w:val="8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OUTCOME: WIS metadata records are resolvable by URL 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URL naming convention for WIS metadata records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URL resolver implementation (to direct requests to appropriate GISC) [ET-WISC]</w:t>
      </w:r>
    </w:p>
    <w:p>
      <w:pPr>
        <w:pStyle w:val="Default"/>
        <w:numPr>
          <w:ilvl w:val="1"/>
          <w:numId w:val="12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WMO Core Metadata Profile (WCMP) compatible with community best practice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Biannual (fast-track) releases of WCMP amended to accommodate needs of Members and Programmes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Assessment of </w:t>
      </w:r>
      <w:r>
        <w:rPr>
          <w:sz w:val="24"/>
          <w:szCs w:val="24"/>
          <w:rtl w:val="0"/>
          <w:lang w:val="en-US"/>
        </w:rPr>
        <w:t xml:space="preserve">value to be realised from migration </w:t>
      </w:r>
      <w:r>
        <w:rPr>
          <w:sz w:val="24"/>
          <w:szCs w:val="24"/>
          <w:rtl w:val="0"/>
          <w:lang w:val="en-US"/>
        </w:rPr>
        <w:t xml:space="preserve">of WCMP </w:t>
      </w:r>
      <w:r>
        <w:rPr>
          <w:sz w:val="24"/>
          <w:szCs w:val="24"/>
          <w:rtl w:val="0"/>
          <w:lang w:val="en-US"/>
        </w:rPr>
        <w:t xml:space="preserve">to ISO 19115-1:2014 &amp; </w:t>
      </w:r>
      <w:r>
        <w:rPr>
          <w:sz w:val="24"/>
          <w:szCs w:val="24"/>
          <w:rtl w:val="0"/>
          <w:lang w:val="en-US"/>
        </w:rPr>
        <w:t>ISO/TS 19115-3:2016(e) based on</w:t>
      </w:r>
      <w:r>
        <w:rPr>
          <w:sz w:val="24"/>
          <w:szCs w:val="24"/>
          <w:rtl w:val="0"/>
          <w:lang w:val="en-US"/>
        </w:rPr>
        <w:t xml:space="preserve"> validati</w:t>
      </w:r>
      <w:r>
        <w:rPr>
          <w:sz w:val="24"/>
          <w:szCs w:val="24"/>
          <w:rtl w:val="0"/>
          <w:lang w:val="en-US"/>
        </w:rPr>
        <w:t>on of</w:t>
      </w:r>
      <w:r>
        <w:rPr>
          <w:sz w:val="24"/>
          <w:szCs w:val="24"/>
          <w:rtl w:val="0"/>
          <w:lang w:val="en-US"/>
        </w:rPr>
        <w:t xml:space="preserve"> national / organisational implementation experience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Pending assessment of value, major release of WCMP (</w:t>
      </w:r>
      <w:r>
        <w:rPr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WCMP 2.0</w:t>
      </w:r>
      <w:r>
        <w:rPr>
          <w:sz w:val="24"/>
          <w:szCs w:val="24"/>
          <w:rtl w:val="0"/>
          <w:lang w:val="en-US"/>
        </w:rPr>
        <w:t>”</w:t>
      </w:r>
      <w:r>
        <w:rPr>
          <w:sz w:val="24"/>
          <w:szCs w:val="24"/>
          <w:rtl w:val="0"/>
          <w:lang w:val="en-US"/>
        </w:rPr>
        <w:t>) based on ISO 19115-1:2014 and ISO/TS 19115-3:2016(e) and migration plan</w:t>
      </w:r>
    </w:p>
    <w:p>
      <w:pPr>
        <w:pStyle w:val="Default"/>
        <w:numPr>
          <w:ilvl w:val="0"/>
          <w:numId w:val="2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OBJECTIVE: Extend WMO data model(s) to address additional WMO information exchange requirements</w:t>
      </w:r>
      <w:r>
        <w:rPr>
          <w:sz w:val="24"/>
          <w:szCs w:val="24"/>
          <w:rtl w:val="0"/>
          <w:lang w:val="en-US"/>
        </w:rPr>
        <w:t>.</w:t>
      </w:r>
    </w:p>
    <w:p>
      <w:pPr>
        <w:pStyle w:val="Default"/>
        <w:numPr>
          <w:ilvl w:val="1"/>
          <w:numId w:val="14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Model-driven code forms are available to Programmes that require them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5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Plan for engagement with Programmes to elicit data exchange requirements; where appropriate identifying opportunities to adopt external (open) formats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Updates to</w:t>
      </w:r>
      <w:r>
        <w:rPr>
          <w:sz w:val="24"/>
          <w:szCs w:val="24"/>
          <w:rtl w:val="0"/>
          <w:lang w:val="en-US"/>
        </w:rPr>
        <w:t xml:space="preserve"> WIGOS MD Application Schema in support of of OSCAR implementation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Updates to</w:t>
      </w:r>
      <w:r>
        <w:rPr>
          <w:sz w:val="24"/>
          <w:szCs w:val="24"/>
          <w:rtl w:val="0"/>
          <w:lang w:val="en-US"/>
        </w:rPr>
        <w:t xml:space="preserve"> IWXXM </w:t>
      </w:r>
      <w:r>
        <w:rPr>
          <w:sz w:val="24"/>
          <w:szCs w:val="24"/>
          <w:rtl w:val="0"/>
          <w:lang w:val="en-US"/>
        </w:rPr>
        <w:t>in</w:t>
      </w:r>
      <w:r>
        <w:rPr>
          <w:sz w:val="24"/>
          <w:szCs w:val="24"/>
          <w:rtl w:val="0"/>
          <w:lang w:val="en-US"/>
        </w:rPr>
        <w:t xml:space="preserve"> support</w:t>
      </w:r>
      <w:r>
        <w:rPr>
          <w:sz w:val="24"/>
          <w:szCs w:val="24"/>
          <w:rtl w:val="0"/>
          <w:lang w:val="en-US"/>
        </w:rPr>
        <w:t xml:space="preserve"> of</w:t>
      </w:r>
      <w:r>
        <w:rPr>
          <w:sz w:val="24"/>
          <w:szCs w:val="24"/>
          <w:rtl w:val="0"/>
          <w:lang w:val="en-US"/>
        </w:rPr>
        <w:t xml:space="preserve"> ICAO Annex 3 Amendments 78 and 79 and ICAO SWIM 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Application Schema </w:t>
      </w:r>
      <w:r>
        <w:rPr>
          <w:sz w:val="24"/>
          <w:szCs w:val="24"/>
          <w:rtl w:val="0"/>
          <w:lang w:val="en-US"/>
        </w:rPr>
        <w:t>(</w:t>
      </w:r>
      <w:r>
        <w:rPr>
          <w:sz w:val="24"/>
          <w:szCs w:val="24"/>
          <w:rtl w:val="0"/>
          <w:lang w:val="en-US"/>
        </w:rPr>
        <w:t>and associated code form</w:t>
      </w:r>
      <w:r>
        <w:rPr>
          <w:sz w:val="24"/>
          <w:szCs w:val="24"/>
          <w:rtl w:val="0"/>
          <w:lang w:val="en-US"/>
        </w:rPr>
        <w:t>)</w:t>
      </w:r>
      <w:r>
        <w:rPr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en-US"/>
        </w:rPr>
        <w:t>to encode</w:t>
      </w:r>
      <w:r>
        <w:rPr>
          <w:sz w:val="24"/>
          <w:szCs w:val="24"/>
          <w:rtl w:val="0"/>
          <w:lang w:val="en-US"/>
        </w:rPr>
        <w:t xml:space="preserve"> climate station</w:t>
      </w:r>
      <w:r>
        <w:rPr>
          <w:sz w:val="24"/>
          <w:szCs w:val="24"/>
          <w:rtl w:val="0"/>
          <w:lang w:val="en-US"/>
        </w:rPr>
        <w:t xml:space="preserve"> metadata</w:t>
      </w:r>
      <w:r>
        <w:rPr>
          <w:sz w:val="24"/>
          <w:szCs w:val="24"/>
          <w:rtl w:val="0"/>
          <w:lang w:val="en-US"/>
        </w:rPr>
        <w:t xml:space="preserve"> and </w:t>
      </w:r>
      <w:r>
        <w:rPr>
          <w:sz w:val="24"/>
          <w:szCs w:val="24"/>
          <w:rtl w:val="0"/>
          <w:lang w:val="en-US"/>
        </w:rPr>
        <w:t>climate</w:t>
      </w:r>
      <w:r>
        <w:rPr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en-US"/>
        </w:rPr>
        <w:t>data streams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WMO endorsement of OGC standards; candidates include </w:t>
      </w:r>
      <w:r>
        <w:rPr>
          <w:sz w:val="24"/>
          <w:szCs w:val="24"/>
          <w:rtl w:val="0"/>
          <w:lang w:val="en-US"/>
        </w:rPr>
        <w:t>WaterML 2.0 - Part 2 and HY_Features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Updated Guidelines on data modelling (reflecting changes to METCE etc.)</w:t>
      </w:r>
    </w:p>
    <w:p>
      <w:pPr>
        <w:pStyle w:val="Default"/>
        <w:numPr>
          <w:ilvl w:val="1"/>
          <w:numId w:val="8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Guidance regarding use of model-driven code forms available to Members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6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Online documentation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Software tools that simplify use of </w:t>
      </w:r>
      <w:r>
        <w:rPr>
          <w:sz w:val="24"/>
          <w:szCs w:val="24"/>
          <w:rtl w:val="0"/>
          <w:lang w:val="en-US"/>
        </w:rPr>
        <w:t>model-driven code forms</w:t>
      </w:r>
    </w:p>
    <w:p>
      <w:pPr>
        <w:pStyle w:val="Default"/>
        <w:numPr>
          <w:ilvl w:val="0"/>
          <w:numId w:val="2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OBJECTIVE: Publish standard vocabularies in support of WMO information exchange requirements.</w:t>
      </w:r>
    </w:p>
    <w:p>
      <w:pPr>
        <w:pStyle w:val="Default"/>
        <w:numPr>
          <w:ilvl w:val="1"/>
          <w:numId w:val="17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OUTCOME: Consistent </w:t>
      </w:r>
      <w:r>
        <w:rPr>
          <w:color w:val="4e8f00"/>
          <w:sz w:val="24"/>
          <w:szCs w:val="24"/>
          <w:u w:val="single"/>
          <w:rtl w:val="0"/>
          <w:lang w:val="en-US"/>
        </w:rPr>
        <w:t>terminology used</w:t>
      </w:r>
      <w:r>
        <w:rPr>
          <w:sz w:val="24"/>
          <w:szCs w:val="24"/>
          <w:rtl w:val="0"/>
          <w:lang w:val="en-US"/>
        </w:rPr>
        <w:t xml:space="preserve"> </w:t>
      </w:r>
      <w:r>
        <w:rPr>
          <w:strike w:val="1"/>
          <w:dstrike w:val="0"/>
          <w:color w:val="ff2600"/>
          <w:sz w:val="24"/>
          <w:szCs w:val="24"/>
          <w:rtl w:val="0"/>
          <w:lang w:val="en-US"/>
        </w:rPr>
        <w:t>naming</w:t>
      </w:r>
      <w:r>
        <w:rPr>
          <w:sz w:val="24"/>
          <w:szCs w:val="24"/>
          <w:rtl w:val="0"/>
          <w:lang w:val="en-US"/>
        </w:rPr>
        <w:t xml:space="preserve"> within WMO </w:t>
      </w:r>
      <w:r>
        <w:rPr>
          <w:color w:val="4e8f00"/>
          <w:sz w:val="24"/>
          <w:szCs w:val="24"/>
          <w:u w:val="single"/>
          <w:rtl w:val="0"/>
          <w:lang w:val="en-US"/>
        </w:rPr>
        <w:t>code lists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8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Consolidated CBS code lists; including incorporation of WIGOS MD Table (1-01) within Common Table D2; new WIGOS MD code lists, </w:t>
      </w:r>
      <w:r>
        <w:rPr>
          <w:sz w:val="24"/>
          <w:szCs w:val="24"/>
          <w:rtl w:val="0"/>
          <w:lang w:val="en-US"/>
        </w:rPr>
        <w:t xml:space="preserve">subsets of the (extended) table D-2 relevant </w:t>
      </w:r>
      <w:r>
        <w:rPr>
          <w:sz w:val="24"/>
          <w:szCs w:val="24"/>
          <w:rtl w:val="0"/>
          <w:lang w:val="en-US"/>
        </w:rPr>
        <w:t>to</w:t>
      </w:r>
      <w:r>
        <w:rPr>
          <w:sz w:val="24"/>
          <w:szCs w:val="24"/>
          <w:rtl w:val="0"/>
          <w:lang w:val="en-US"/>
        </w:rPr>
        <w:t xml:space="preserve"> each code form (e.g. FM-12 SYNOP)</w:t>
      </w:r>
      <w:r>
        <w:rPr>
          <w:sz w:val="24"/>
          <w:szCs w:val="24"/>
          <w:rtl w:val="0"/>
          <w:lang w:val="en-US"/>
        </w:rPr>
        <w:t xml:space="preserve"> for use in WMO discovery metadata etc. </w:t>
      </w:r>
      <w:r>
        <w:rPr>
          <w:color w:val="4e8f00"/>
          <w:sz w:val="24"/>
          <w:szCs w:val="24"/>
          <w:u w:val="single"/>
          <w:rtl w:val="0"/>
          <w:lang w:val="en-US"/>
        </w:rPr>
        <w:t>[IPET-DRMM]</w:t>
      </w:r>
    </w:p>
    <w:p>
      <w:pPr>
        <w:pStyle w:val="Default"/>
        <w:numPr>
          <w:ilvl w:val="2"/>
          <w:numId w:val="10"/>
        </w:numPr>
        <w:rPr>
          <w:color w:val="4e8f00"/>
          <w:sz w:val="24"/>
          <w:szCs w:val="24"/>
          <w:u w:val="single"/>
          <w:lang w:val="en-US"/>
        </w:rPr>
      </w:pPr>
      <w:r>
        <w:rPr>
          <w:color w:val="4e8f00"/>
          <w:sz w:val="24"/>
          <w:szCs w:val="24"/>
          <w:u w:val="single"/>
          <w:rtl w:val="0"/>
          <w:lang w:val="en-US"/>
        </w:rPr>
        <w:t>Cross-WMO standard procedures for managing code lists and terms [IPET-DRMM]</w:t>
      </w:r>
    </w:p>
    <w:p>
      <w:pPr>
        <w:pStyle w:val="Default"/>
        <w:numPr>
          <w:ilvl w:val="1"/>
          <w:numId w:val="8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OUTCOME: Extend use of WMO Codes Registry</w:t>
      </w:r>
    </w:p>
    <w:p>
      <w:pPr>
        <w:pStyle w:val="Default"/>
        <w:ind w:left="360"/>
      </w:pPr>
      <w:r>
        <w:rPr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19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Agreed workflow for updating content in WMO Codes Registry [IPET-DRMM]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WMO Codes Registry extended beyond TDCF: add code tables from WIS (WCMP metadata), WIGOS Metadata, GDPFS, hydrology </w:t>
      </w:r>
      <w:r>
        <w:rPr>
          <w:color w:val="4e8f00"/>
          <w:sz w:val="24"/>
          <w:szCs w:val="24"/>
          <w:u w:val="single"/>
          <w:rtl w:val="0"/>
          <w:lang w:val="en-US"/>
        </w:rPr>
        <w:t>[IPET-DRMM]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Clarified navigation within WMO Codes Registry; e.g. thematic root-level registers, improved labelling, support for role-specific views of content etc.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Definitions and language translations added to WMO Codes Registry (e.g. sourced from International Vocabulary of Meteorology)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Cross links between terms added to WMO Codes Registry- including references to terms in external code lists; e.g. CF Standard Names, </w:t>
      </w:r>
      <w:r>
        <w:rPr>
          <w:sz w:val="24"/>
          <w:szCs w:val="24"/>
          <w:rtl w:val="0"/>
          <w:lang w:val="en-US"/>
        </w:rPr>
        <w:t>Unified Code of the Units of Measurement (UCUM) [</w:t>
      </w:r>
      <w:r>
        <w:rPr>
          <w:rStyle w:val="Hyperlink.0"/>
          <w:sz w:val="24"/>
          <w:szCs w:val="24"/>
        </w:rPr>
        <w:fldChar w:fldCharType="begin" w:fldLock="0"/>
      </w:r>
      <w:r>
        <w:rPr>
          <w:rStyle w:val="Hyperlink.0"/>
          <w:sz w:val="24"/>
          <w:szCs w:val="24"/>
        </w:rPr>
        <w:instrText xml:space="preserve"> HYPERLINK "http://unitsofmeasure.org/ucum.html"</w:instrText>
      </w:r>
      <w:r>
        <w:rPr>
          <w:rStyle w:val="Hyperlink.0"/>
          <w:sz w:val="24"/>
          <w:szCs w:val="24"/>
        </w:rPr>
        <w:fldChar w:fldCharType="separate" w:fldLock="0"/>
      </w:r>
      <w:r>
        <w:rPr>
          <w:rStyle w:val="Hyperlink.0"/>
          <w:sz w:val="24"/>
          <w:szCs w:val="24"/>
          <w:rtl w:val="0"/>
          <w:lang w:val="en-US"/>
        </w:rPr>
        <w:t>http://unitsofmeasure.org/ucum.html</w:t>
      </w:r>
      <w:r>
        <w:rPr>
          <w:sz w:val="24"/>
          <w:szCs w:val="24"/>
        </w:rPr>
        <w:fldChar w:fldCharType="end" w:fldLock="0"/>
      </w:r>
      <w:r>
        <w:rPr>
          <w:sz w:val="24"/>
          <w:szCs w:val="24"/>
          <w:rtl w:val="0"/>
          <w:lang w:val="en-US"/>
        </w:rPr>
        <w:t xml:space="preserve">] and </w:t>
      </w:r>
      <w:r>
        <w:rPr>
          <w:sz w:val="24"/>
          <w:szCs w:val="24"/>
          <w:rtl w:val="0"/>
          <w:lang w:val="en-US"/>
        </w:rPr>
        <w:t xml:space="preserve">EU GEMET </w:t>
      </w:r>
      <w:r>
        <w:rPr>
          <w:sz w:val="24"/>
          <w:szCs w:val="24"/>
          <w:rtl w:val="0"/>
          <w:lang w:val="en-US"/>
        </w:rPr>
        <w:t>(</w:t>
      </w:r>
      <w:r>
        <w:rPr>
          <w:sz w:val="24"/>
          <w:szCs w:val="24"/>
          <w:rtl w:val="0"/>
          <w:lang w:val="en-US"/>
        </w:rPr>
        <w:t>GEneral Multilingual Environmental Thesaurus</w:t>
      </w:r>
      <w:r>
        <w:rPr>
          <w:sz w:val="24"/>
          <w:szCs w:val="24"/>
          <w:rtl w:val="0"/>
          <w:lang w:val="en-US"/>
        </w:rPr>
        <w:t>)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WMO data models (e.g. METCE, OPM, IWXXM, WIGOS MD) published as ontology resources within WMO Codes Registry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Enhanced registry software; to support browsing of cross-links (e.g. using SISSvoc API), visualising data model ontologies, improved user-interface </w:t>
      </w:r>
    </w:p>
    <w:p>
      <w:pPr>
        <w:pStyle w:val="Default"/>
        <w:numPr>
          <w:ilvl w:val="0"/>
          <w:numId w:val="2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OBJECTIVE: Establish</w:t>
      </w:r>
      <w:r>
        <w:rPr>
          <w:rStyle w:val="None"/>
          <w:sz w:val="24"/>
          <w:szCs w:val="24"/>
          <w:rtl w:val="0"/>
          <w:lang w:val="en-US"/>
        </w:rPr>
        <w:t xml:space="preserve"> new working practices for </w:t>
      </w:r>
      <w:r>
        <w:rPr>
          <w:rStyle w:val="None"/>
          <w:color w:val="4e8f00"/>
          <w:sz w:val="24"/>
          <w:szCs w:val="24"/>
          <w:u w:val="single"/>
          <w:rtl w:val="0"/>
          <w:lang w:val="en-US"/>
        </w:rPr>
        <w:t>development and curation of</w:t>
      </w:r>
      <w:r>
        <w:rPr>
          <w:rStyle w:val="None"/>
          <w:sz w:val="24"/>
          <w:szCs w:val="24"/>
          <w:rtl w:val="0"/>
          <w:lang w:val="en-US"/>
        </w:rPr>
        <w:t xml:space="preserve"> data exchange </w:t>
      </w:r>
      <w:r>
        <w:rPr>
          <w:rStyle w:val="None"/>
          <w:color w:val="4e8f00"/>
          <w:sz w:val="24"/>
          <w:szCs w:val="24"/>
          <w:u w:val="single"/>
          <w:rtl w:val="0"/>
          <w:lang w:val="en-US"/>
        </w:rPr>
        <w:t>regulation and guidance</w:t>
      </w:r>
    </w:p>
    <w:p>
      <w:pPr>
        <w:pStyle w:val="Default"/>
        <w:numPr>
          <w:ilvl w:val="1"/>
          <w:numId w:val="20"/>
        </w:numPr>
        <w:spacing w:before="200"/>
        <w:rPr>
          <w:sz w:val="24"/>
          <w:szCs w:val="24"/>
          <w:lang w:val="en-US"/>
        </w:rPr>
      </w:pPr>
      <w:r>
        <w:rPr>
          <w:rStyle w:val="None"/>
          <w:sz w:val="24"/>
          <w:szCs w:val="24"/>
          <w:rtl w:val="0"/>
          <w:lang w:val="en-US"/>
        </w:rPr>
        <w:t xml:space="preserve">OUTCOME: </w:t>
      </w:r>
      <w:r>
        <w:rPr>
          <w:sz w:val="24"/>
          <w:szCs w:val="24"/>
          <w:rtl w:val="0"/>
          <w:lang w:val="en-US"/>
        </w:rPr>
        <w:t>Faster, consistent response to new requirements</w:t>
      </w:r>
    </w:p>
    <w:p>
      <w:pPr>
        <w:pStyle w:val="Default"/>
        <w:ind w:left="360"/>
      </w:pPr>
      <w:r>
        <w:rPr>
          <w:rStyle w:val="None"/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21"/>
        </w:numPr>
        <w:rPr>
          <w:strike w:val="1"/>
          <w:dstrike w:val="0"/>
          <w:color w:val="ff2600"/>
          <w:sz w:val="24"/>
          <w:szCs w:val="24"/>
          <w:lang w:val="en-US"/>
        </w:rPr>
      </w:pPr>
      <w:r>
        <w:rPr>
          <w:strike w:val="1"/>
          <w:dstrike w:val="0"/>
          <w:color w:val="ff2600"/>
          <w:sz w:val="24"/>
          <w:szCs w:val="24"/>
          <w:rtl w:val="0"/>
          <w:lang w:val="en-US"/>
        </w:rPr>
        <w:t>Cross-WMO standard procedures for managing code lists and terms</w:t>
      </w:r>
    </w:p>
    <w:p>
      <w:pPr>
        <w:pStyle w:val="Default"/>
        <w:numPr>
          <w:ilvl w:val="2"/>
          <w:numId w:val="22"/>
        </w:numPr>
        <w:rPr>
          <w:sz w:val="24"/>
          <w:szCs w:val="24"/>
          <w:lang w:val="en-US"/>
        </w:rPr>
      </w:pPr>
      <w:r>
        <w:rPr>
          <w:rStyle w:val="None"/>
          <w:sz w:val="24"/>
          <w:szCs w:val="24"/>
          <w:rtl w:val="0"/>
          <w:lang w:val="en-US"/>
        </w:rPr>
        <w:t>F</w:t>
      </w:r>
      <w:r>
        <w:rPr>
          <w:rStyle w:val="None"/>
          <w:sz w:val="24"/>
          <w:szCs w:val="24"/>
          <w:rtl w:val="0"/>
          <w:lang w:val="en-US"/>
        </w:rPr>
        <w:t>ramework to support engagement with external organisation with which to deliver standards, practices and guidance material through collaboration</w:t>
      </w:r>
    </w:p>
    <w:p>
      <w:pPr>
        <w:pStyle w:val="Default"/>
        <w:numPr>
          <w:ilvl w:val="2"/>
          <w:numId w:val="10"/>
        </w:numPr>
        <w:rPr>
          <w:sz w:val="24"/>
          <w:szCs w:val="24"/>
          <w:lang w:val="en-US"/>
        </w:rPr>
      </w:pPr>
      <w:r>
        <w:rPr>
          <w:rStyle w:val="None"/>
          <w:sz w:val="24"/>
          <w:szCs w:val="24"/>
          <w:rtl w:val="0"/>
          <w:lang w:val="en-US"/>
        </w:rPr>
        <w:t>Where necessary, Memorandum of Understanding (MoU) in place with external organisation through which WMO requirements for data exchange may be met</w:t>
      </w:r>
    </w:p>
    <w:p>
      <w:pPr>
        <w:pStyle w:val="Default"/>
        <w:numPr>
          <w:ilvl w:val="1"/>
          <w:numId w:val="8"/>
        </w:numPr>
        <w:spacing w:before="20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OUTCOME: Improved </w:t>
      </w:r>
      <w:r>
        <w:rPr>
          <w:rStyle w:val="None"/>
          <w:color w:val="4e8f00"/>
          <w:sz w:val="24"/>
          <w:szCs w:val="24"/>
          <w:u w:val="single"/>
          <w:rtl w:val="0"/>
          <w:lang w:val="en-US"/>
        </w:rPr>
        <w:t>effectiveness</w:t>
      </w:r>
      <w:r>
        <w:rPr>
          <w:sz w:val="24"/>
          <w:szCs w:val="24"/>
          <w:rtl w:val="0"/>
          <w:lang w:val="en-US"/>
        </w:rPr>
        <w:t xml:space="preserve"> </w:t>
      </w:r>
      <w:r>
        <w:rPr>
          <w:rStyle w:val="None"/>
          <w:strike w:val="1"/>
          <w:dstrike w:val="0"/>
          <w:color w:val="ff2600"/>
          <w:sz w:val="24"/>
          <w:szCs w:val="24"/>
          <w:rtl w:val="0"/>
          <w:lang w:val="en-US"/>
        </w:rPr>
        <w:t>management</w:t>
      </w:r>
      <w:r>
        <w:rPr>
          <w:sz w:val="24"/>
          <w:szCs w:val="24"/>
          <w:rtl w:val="0"/>
          <w:lang w:val="en-US"/>
        </w:rPr>
        <w:t xml:space="preserve"> of </w:t>
      </w:r>
      <w:r>
        <w:rPr>
          <w:rStyle w:val="None"/>
          <w:color w:val="4e8f00"/>
          <w:sz w:val="24"/>
          <w:szCs w:val="24"/>
          <w:u w:val="single"/>
          <w:rtl w:val="0"/>
          <w:lang w:val="en-US"/>
        </w:rPr>
        <w:t>NMHS</w:t>
      </w:r>
      <w:r>
        <w:rPr>
          <w:sz w:val="24"/>
          <w:szCs w:val="24"/>
          <w:rtl w:val="0"/>
          <w:lang w:val="en-US"/>
        </w:rPr>
        <w:t xml:space="preserve"> data exchange </w:t>
      </w:r>
      <w:r>
        <w:rPr>
          <w:rStyle w:val="None"/>
          <w:color w:val="4e8f00"/>
          <w:sz w:val="24"/>
          <w:szCs w:val="24"/>
          <w:u w:val="single"/>
          <w:rtl w:val="0"/>
          <w:lang w:val="en-US"/>
        </w:rPr>
        <w:t>activities</w:t>
      </w:r>
    </w:p>
    <w:p>
      <w:pPr>
        <w:pStyle w:val="Default"/>
        <w:ind w:left="360"/>
      </w:pPr>
      <w:r>
        <w:rPr>
          <w:rStyle w:val="None"/>
          <w:sz w:val="24"/>
          <w:szCs w:val="24"/>
          <w:rtl w:val="0"/>
          <w:lang w:val="en-US"/>
        </w:rPr>
        <w:t>DELIVERABLES:</w:t>
      </w:r>
    </w:p>
    <w:p>
      <w:pPr>
        <w:pStyle w:val="Default"/>
        <w:numPr>
          <w:ilvl w:val="2"/>
          <w:numId w:val="23"/>
        </w:numPr>
        <w:rPr>
          <w:sz w:val="24"/>
          <w:szCs w:val="24"/>
          <w:lang w:val="en-US"/>
        </w:rPr>
      </w:pPr>
      <w:r>
        <w:rPr>
          <w:rStyle w:val="None"/>
          <w:sz w:val="24"/>
          <w:szCs w:val="24"/>
          <w:rtl w:val="0"/>
          <w:lang w:val="en-US"/>
        </w:rPr>
        <w:t>Guidance on proven data exchange best practices collated and published on-line; incorporating implementation feedback from Members</w:t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footer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1.%2.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1.%2.%3.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1.%2.%3.%4.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1.%2.%3.%4.%5.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1.%2.%3.%4.%5.%6.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1.%2.%3.%4.%5.%6.%7.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1.%2.%3.%4.%5.%6.%7.%8.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Lettered"/>
  </w:abstractNum>
  <w:abstractNum w:abstractNumId="3">
    <w:multiLevelType w:val="hybridMultilevel"/>
    <w:styleLink w:val="Lettered"/>
    <w:lvl w:ilvl="0">
      <w:start w:val="1"/>
      <w:numFmt w:val="upperLetter"/>
      <w:suff w:val="tab"/>
      <w:lvlText w:val="%1."/>
      <w:lvlJc w:val="left"/>
      <w:pPr>
        <w:ind w:left="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599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2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3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4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5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6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7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8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Numbered.0"/>
  </w:abstractNum>
  <w:abstractNum w:abstractNumId="5">
    <w:multiLevelType w:val="hybridMultilevel"/>
    <w:styleLink w:val="Numbered.0"/>
    <w:lvl w:ilvl="0">
      <w:start w:val="1"/>
      <w:numFmt w:val="decimal"/>
      <w:suff w:val="tab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819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Lettered.0"/>
  </w:abstractNum>
  <w:abstractNum w:abstractNumId="7">
    <w:multiLevelType w:val="hybridMultilevel"/>
    <w:styleLink w:val="Lettered.0"/>
    <w:lvl w:ilvl="0">
      <w:start w:val="1"/>
      <w:numFmt w:val="upperLetter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599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2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3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4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5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6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7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8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6"/>
    <w:lvlOverride w:ilvl="1">
      <w:startOverride w:val="2"/>
    </w:lvlOverride>
  </w:num>
  <w:num w:numId="10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"/>
    <w:lvlOverride w:ilvl="1">
      <w:startOverride w:val="4"/>
    </w:lvlOverride>
  </w:num>
  <w:num w:numId="13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6"/>
    <w:lvlOverride w:ilvl="1">
      <w:startOverride w:val="1"/>
    </w:lvlOverride>
  </w:num>
  <w:num w:numId="15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6"/>
    <w:lvlOverride w:ilvl="1">
      <w:startOverride w:val="1"/>
    </w:lvlOverride>
  </w:num>
  <w:num w:numId="18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6"/>
    <w:lvlOverride w:ilvl="1">
      <w:startOverride w:val="1"/>
    </w:lvlOverride>
  </w:num>
  <w:num w:numId="21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4"/>
    <w:lvlOverride w:ilvl="0">
      <w:lvl w:ilvl="0">
        <w:start w:val="1"/>
        <w:numFmt w:val="decimal"/>
        <w:suff w:val="tab"/>
        <w:lvlText w:val="%1."/>
        <w:lvlJc w:val="left"/>
        <w:pPr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suff w:val="tab"/>
        <w:lvlText w:val="%3."/>
        <w:lvlJc w:val="left"/>
        <w:pPr>
          <w:ind w:left="819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trackRevisions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character" w:styleId="None A">
    <w:name w:val="None A"/>
    <w:rPr>
      <w:lang w:val="en-US"/>
    </w:rPr>
  </w:style>
  <w:style w:type="paragraph" w:styleId="Body B">
    <w:name w:val="Body B"/>
    <w:next w:val="Body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_Main Heading">
    <w:name w:val="_Main Heading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en-US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  <w:style w:type="numbering" w:styleId="Lettered">
    <w:name w:val="Lettered"/>
    <w:pPr>
      <w:numPr>
        <w:numId w:val="3"/>
      </w:numPr>
    </w:pPr>
  </w:style>
  <w:style w:type="numbering" w:styleId="Numbered.0">
    <w:name w:val="Numbered.0"/>
    <w:pPr>
      <w:numPr>
        <w:numId w:val="5"/>
      </w:numPr>
    </w:pPr>
  </w:style>
  <w:style w:type="numbering" w:styleId="Lettered.0">
    <w:name w:val="Lettered.0"/>
    <w:pPr>
      <w:numPr>
        <w:numId w:val="7"/>
      </w:numPr>
    </w:pPr>
  </w:style>
  <w:style w:type="character" w:styleId="None">
    <w:name w:val="None"/>
  </w:style>
  <w:style w:type="character" w:styleId="Hyperlink.0">
    <w:name w:val="Hyperlink.0"/>
    <w:basedOn w:val="None"/>
    <w:next w:val="Hyperlink.0"/>
    <w:rPr>
      <w:color w:val="e3af09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