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491A01" w:rsidRPr="0052754B" w:rsidRDefault="00491A01" w:rsidP="00491A0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2754B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Implementation Coordination Team</w:t>
            </w:r>
            <w:r w:rsidRPr="0052754B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  <w:t>Information Systems and Services</w:t>
            </w:r>
          </w:p>
          <w:p w:rsidR="00B74B70" w:rsidRPr="005D666D" w:rsidRDefault="00491A01" w:rsidP="00491A0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2754B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ICT-ISS-2016-2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29 June – 1 July 2016</w:t>
            </w:r>
          </w:p>
        </w:tc>
        <w:tc>
          <w:tcPr>
            <w:tcW w:w="2977" w:type="dxa"/>
          </w:tcPr>
          <w:p w:rsidR="00B74B70" w:rsidRPr="00F61675" w:rsidRDefault="00491A01" w:rsidP="0052754B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2754B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ICT-ISS-2016-2</w:t>
            </w:r>
            <w:r w:rsidR="00B74B70" w:rsidRPr="0052754B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52754B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D4.4(</w:t>
            </w:r>
            <w:r w:rsidR="00AA1C2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5</w:t>
            </w:r>
            <w:r w:rsidR="0052754B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)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52754B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52754B">
              <w:rPr>
                <w:rFonts w:cs="Tahoma"/>
                <w:color w:val="365F91" w:themeColor="accent1" w:themeShade="BF"/>
                <w:szCs w:val="22"/>
              </w:rPr>
              <w:t>Tandy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52754B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27.VI.2016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AA1C2D" w:rsidP="000E3612">
      <w:pPr>
        <w:pStyle w:val="Heading1"/>
        <w:jc w:val="center"/>
      </w:pPr>
      <w:r>
        <w:t>Using community developments</w:t>
      </w:r>
    </w:p>
    <w:p w:rsidR="001C16A8" w:rsidRPr="00FF65B9" w:rsidRDefault="0052754B" w:rsidP="000E3612">
      <w:pPr>
        <w:pStyle w:val="Heading2"/>
        <w:rPr>
          <w:rFonts w:hint="eastAsia"/>
        </w:rPr>
      </w:pPr>
      <w:r>
        <w:t>Discussion</w:t>
      </w:r>
    </w:p>
    <w:p w:rsidR="00AA1C2D" w:rsidRPr="00AA1C2D" w:rsidRDefault="00AA1C2D" w:rsidP="00AA1C2D">
      <w:pPr>
        <w:pStyle w:val="BodyTextNumbered"/>
      </w:pPr>
      <w:r>
        <w:t>T</w:t>
      </w:r>
      <w:r w:rsidRPr="00AA1C2D">
        <w:t xml:space="preserve">he capacity and capability of Expert Teams </w:t>
      </w:r>
      <w:r>
        <w:t>was</w:t>
      </w:r>
      <w:r w:rsidRPr="00AA1C2D">
        <w:t xml:space="preserve"> limited</w:t>
      </w:r>
      <w:r>
        <w:t>,</w:t>
      </w:r>
      <w:r w:rsidRPr="00AA1C2D">
        <w:t xml:space="preserve"> particularly relating to the development of data representations. For example, Dr Fucile (chair TT-</w:t>
      </w:r>
      <w:proofErr w:type="spellStart"/>
      <w:r w:rsidRPr="00AA1C2D">
        <w:t>AvXML</w:t>
      </w:r>
      <w:proofErr w:type="spellEnd"/>
      <w:r w:rsidRPr="00AA1C2D">
        <w:t>) noted that there were “very few people to work on the [IWXXM 2.0 development] task”.</w:t>
      </w:r>
    </w:p>
    <w:p w:rsidR="00AA1C2D" w:rsidRPr="00AA1C2D" w:rsidRDefault="00AA1C2D" w:rsidP="00AA1C2D">
      <w:pPr>
        <w:pStyle w:val="BodyTextNumbered"/>
      </w:pPr>
      <w:r w:rsidRPr="00AA1C2D">
        <w:t>IPET-MDRD note</w:t>
      </w:r>
      <w:r>
        <w:t>d</w:t>
      </w:r>
      <w:r w:rsidRPr="00AA1C2D">
        <w:t xml:space="preserve"> the success of working with Open Geospatial Consortium (OGC) to develop WaterML2 and </w:t>
      </w:r>
      <w:proofErr w:type="spellStart"/>
      <w:r w:rsidRPr="00AA1C2D">
        <w:t>TimeseriesML</w:t>
      </w:r>
      <w:proofErr w:type="spellEnd"/>
      <w:r w:rsidRPr="00AA1C2D">
        <w:t>, and also on the encoding of graphical weather symbols in SVG. </w:t>
      </w:r>
    </w:p>
    <w:p w:rsidR="00AA1C2D" w:rsidRPr="00AA1C2D" w:rsidRDefault="00AA1C2D" w:rsidP="00AA1C2D">
      <w:pPr>
        <w:pStyle w:val="BodyTextNumbered"/>
      </w:pPr>
      <w:r w:rsidRPr="00AA1C2D">
        <w:t>Engagement with an external organisation, such as OGC, enable</w:t>
      </w:r>
      <w:r>
        <w:t>d</w:t>
      </w:r>
      <w:r w:rsidRPr="00AA1C2D">
        <w:t xml:space="preserve"> the effort required to develop standards and best practices (e.g. Technical Regulation and Guidelines) to be distributed across a wider community of experts.</w:t>
      </w:r>
    </w:p>
    <w:p w:rsidR="00AA1C2D" w:rsidRPr="00AA1C2D" w:rsidRDefault="00AA1C2D" w:rsidP="00AA1C2D">
      <w:pPr>
        <w:pStyle w:val="BodyTextNumbered"/>
      </w:pPr>
      <w:r w:rsidRPr="00AA1C2D">
        <w:t>IPET-MDRD propose</w:t>
      </w:r>
      <w:r>
        <w:t>d</w:t>
      </w:r>
      <w:r w:rsidRPr="00AA1C2D">
        <w:t xml:space="preserve"> that engagement with external organisations to deliver such activities </w:t>
      </w:r>
      <w:r>
        <w:t xml:space="preserve">should </w:t>
      </w:r>
      <w:r w:rsidRPr="00AA1C2D">
        <w:t>become the default mode of operation within the Expert Team</w:t>
      </w:r>
      <w:r>
        <w:t xml:space="preserve"> </w:t>
      </w:r>
      <w:r w:rsidRPr="00AA1C2D">
        <w:t xml:space="preserve">- rather than establishing a new Task Team within OPAG-ISS. The intent </w:t>
      </w:r>
      <w:r>
        <w:t>was</w:t>
      </w:r>
      <w:r w:rsidRPr="00AA1C2D">
        <w:t xml:space="preserve"> to enable the OPAG to manage the introduction of new standards and best practices without becoming a bottleneck.</w:t>
      </w:r>
    </w:p>
    <w:p w:rsidR="00AA1C2D" w:rsidRPr="00AA1C2D" w:rsidRDefault="00AA1C2D" w:rsidP="00AA1C2D">
      <w:pPr>
        <w:pStyle w:val="BodyTextNumbered"/>
      </w:pPr>
      <w:r w:rsidRPr="00AA1C2D">
        <w:t>For such activities, the role of the Expert Team would be: </w:t>
      </w:r>
    </w:p>
    <w:p w:rsidR="00AA1C2D" w:rsidRPr="00AA1C2D" w:rsidRDefault="00AA1C2D" w:rsidP="00F51673">
      <w:pPr>
        <w:pStyle w:val="BodyTextNumbered"/>
        <w:numPr>
          <w:ilvl w:val="1"/>
          <w:numId w:val="41"/>
        </w:numPr>
      </w:pPr>
      <w:r w:rsidRPr="00AA1C2D">
        <w:t>defining the requirement in the context of delivering benefit to the wider meteorological / earth science community</w:t>
      </w:r>
    </w:p>
    <w:p w:rsidR="00AA1C2D" w:rsidRPr="00AA1C2D" w:rsidRDefault="00AA1C2D" w:rsidP="00F51673">
      <w:pPr>
        <w:pStyle w:val="BodyTextNumbered"/>
        <w:numPr>
          <w:ilvl w:val="1"/>
          <w:numId w:val="41"/>
        </w:numPr>
      </w:pPr>
      <w:r w:rsidRPr="00AA1C2D">
        <w:t>identifying the appropriate external organisation(s) with which to engage; mobilising that organisation to respond to the WMO requirement</w:t>
      </w:r>
    </w:p>
    <w:p w:rsidR="00AA1C2D" w:rsidRPr="00AA1C2D" w:rsidRDefault="00AA1C2D" w:rsidP="00F51673">
      <w:pPr>
        <w:pStyle w:val="BodyTextNumbered"/>
        <w:numPr>
          <w:ilvl w:val="1"/>
          <w:numId w:val="41"/>
        </w:numPr>
      </w:pPr>
      <w:r w:rsidRPr="00AA1C2D">
        <w:t xml:space="preserve">ensuring that there </w:t>
      </w:r>
      <w:r w:rsidR="00F51673">
        <w:t>were</w:t>
      </w:r>
      <w:r w:rsidRPr="00AA1C2D">
        <w:t xml:space="preserve"> sufficient controls in place to direct the activity</w:t>
      </w:r>
    </w:p>
    <w:p w:rsidR="00AA1C2D" w:rsidRPr="00AA1C2D" w:rsidRDefault="00AA1C2D" w:rsidP="00F51673">
      <w:pPr>
        <w:pStyle w:val="BodyTextNumbered"/>
        <w:numPr>
          <w:ilvl w:val="1"/>
          <w:numId w:val="41"/>
        </w:numPr>
      </w:pPr>
      <w:r w:rsidRPr="00AA1C2D">
        <w:t>validation of the outputs against the requirement  </w:t>
      </w:r>
    </w:p>
    <w:p w:rsidR="00AA1C2D" w:rsidRPr="00AA1C2D" w:rsidRDefault="00AA1C2D" w:rsidP="00AA1C2D">
      <w:pPr>
        <w:pStyle w:val="BodyTextNumbered"/>
      </w:pPr>
      <w:r w:rsidRPr="00AA1C2D">
        <w:t xml:space="preserve">Choices of organisations </w:t>
      </w:r>
      <w:r w:rsidR="00F51673">
        <w:t xml:space="preserve">with which to collaborate </w:t>
      </w:r>
      <w:r w:rsidRPr="00AA1C2D">
        <w:t>include</w:t>
      </w:r>
      <w:r w:rsidR="00F51673">
        <w:t>d</w:t>
      </w:r>
      <w:r w:rsidRPr="00AA1C2D">
        <w:t>: Standards Development Organisations (e.g. </w:t>
      </w:r>
      <w:hyperlink r:id="rId10" w:tgtFrame="_blank" w:history="1">
        <w:r w:rsidRPr="00AA1C2D">
          <w:rPr>
            <w:rStyle w:val="Hyperlink"/>
          </w:rPr>
          <w:t>OGC</w:t>
        </w:r>
      </w:hyperlink>
      <w:r w:rsidRPr="00AA1C2D">
        <w:t>, </w:t>
      </w:r>
      <w:hyperlink r:id="rId11" w:tgtFrame="_blank" w:history="1">
        <w:r w:rsidRPr="00AA1C2D">
          <w:rPr>
            <w:rStyle w:val="Hyperlink"/>
          </w:rPr>
          <w:t>W3C</w:t>
        </w:r>
      </w:hyperlink>
      <w:r w:rsidRPr="00AA1C2D">
        <w:t>, </w:t>
      </w:r>
      <w:hyperlink r:id="rId12" w:tgtFrame="_blank" w:history="1">
        <w:r w:rsidRPr="00AA1C2D">
          <w:rPr>
            <w:rStyle w:val="Hyperlink"/>
          </w:rPr>
          <w:t>IETF</w:t>
        </w:r>
      </w:hyperlink>
      <w:r w:rsidRPr="00AA1C2D">
        <w:t>), industry bodies (e.g. </w:t>
      </w:r>
      <w:hyperlink r:id="rId13" w:tgtFrame="_blank" w:history="1">
        <w:r w:rsidRPr="00AA1C2D">
          <w:rPr>
            <w:rStyle w:val="Hyperlink"/>
          </w:rPr>
          <w:t>HMEI</w:t>
        </w:r>
      </w:hyperlink>
      <w:r w:rsidRPr="00AA1C2D">
        <w:t>), community driven organisations (e.g. </w:t>
      </w:r>
      <w:hyperlink r:id="rId14" w:tgtFrame="_blank" w:history="1">
        <w:r w:rsidRPr="00AA1C2D">
          <w:rPr>
            <w:rStyle w:val="Hyperlink"/>
          </w:rPr>
          <w:t>ICSU CODATA</w:t>
        </w:r>
      </w:hyperlink>
      <w:r w:rsidRPr="00AA1C2D">
        <w:t>,</w:t>
      </w:r>
      <w:hyperlink r:id="rId15" w:tgtFrame="_blank" w:history="1">
        <w:r w:rsidRPr="00AA1C2D">
          <w:rPr>
            <w:rStyle w:val="Hyperlink"/>
          </w:rPr>
          <w:t>RDA</w:t>
        </w:r>
      </w:hyperlink>
      <w:r w:rsidRPr="00AA1C2D">
        <w:t>, </w:t>
      </w:r>
      <w:hyperlink r:id="rId16" w:tgtFrame="_blank" w:history="1">
        <w:r w:rsidRPr="00AA1C2D">
          <w:rPr>
            <w:rStyle w:val="Hyperlink"/>
          </w:rPr>
          <w:t>ESIP Federation</w:t>
        </w:r>
      </w:hyperlink>
      <w:r w:rsidRPr="00AA1C2D">
        <w:t xml:space="preserve">), consortia (e.g. </w:t>
      </w:r>
      <w:proofErr w:type="spellStart"/>
      <w:r w:rsidRPr="00AA1C2D">
        <w:t>OpenWIS</w:t>
      </w:r>
      <w:proofErr w:type="spellEnd"/>
      <w:r w:rsidRPr="00AA1C2D">
        <w:t xml:space="preserve"> Association), Regional Associations or NMHS.</w:t>
      </w:r>
    </w:p>
    <w:p w:rsidR="00AA1C2D" w:rsidRPr="00AA1C2D" w:rsidRDefault="00AA1C2D" w:rsidP="00F51673">
      <w:pPr>
        <w:pStyle w:val="BodyTextNumbered"/>
      </w:pPr>
      <w:r w:rsidRPr="00AA1C2D">
        <w:t xml:space="preserve">Criteria for selecting the appropriate organisation </w:t>
      </w:r>
      <w:r w:rsidR="00F51673">
        <w:t>might</w:t>
      </w:r>
      <w:r w:rsidRPr="00AA1C2D">
        <w:t xml:space="preserve"> include: thematic responsibility (</w:t>
      </w:r>
      <w:r w:rsidR="00F51673">
        <w:t>did</w:t>
      </w:r>
      <w:r w:rsidRPr="00AA1C2D">
        <w:t xml:space="preserve"> the activity align with the scope of the organisation?), participation (</w:t>
      </w:r>
      <w:r w:rsidR="00F51673">
        <w:t>were</w:t>
      </w:r>
      <w:r w:rsidRPr="00AA1C2D">
        <w:t xml:space="preserve"> the most appropriate experts able to participate?), influence (</w:t>
      </w:r>
      <w:r w:rsidR="00F51673">
        <w:t>could</w:t>
      </w:r>
      <w:r w:rsidRPr="00AA1C2D">
        <w:t xml:space="preserve"> we mobilise a new work activity?) and timeliness (</w:t>
      </w:r>
      <w:proofErr w:type="spellStart"/>
      <w:r w:rsidR="00F51673">
        <w:t>were</w:t>
      </w:r>
      <w:proofErr w:type="spellEnd"/>
      <w:r w:rsidRPr="00AA1C2D">
        <w:t xml:space="preserve"> they able to deliver on appropriate timescales?).</w:t>
      </w:r>
    </w:p>
    <w:p w:rsidR="00AA1C2D" w:rsidRPr="00AA1C2D" w:rsidRDefault="00AA1C2D" w:rsidP="00F51673">
      <w:pPr>
        <w:pStyle w:val="BodyTextNumbered"/>
      </w:pPr>
      <w:r w:rsidRPr="00AA1C2D">
        <w:t xml:space="preserve">Where standards, recommended practices or guidance relevant to WMO were developed by a community, WMO </w:t>
      </w:r>
      <w:r w:rsidR="00F51673">
        <w:t>might</w:t>
      </w:r>
      <w:r w:rsidRPr="00AA1C2D">
        <w:t xml:space="preserve"> act as an endorsement and “publication agent” to make them more widely accessible.</w:t>
      </w:r>
    </w:p>
    <w:p w:rsidR="00AA1C2D" w:rsidRPr="00AA1C2D" w:rsidRDefault="00AA1C2D" w:rsidP="00AA1C2D">
      <w:pPr>
        <w:pStyle w:val="BodyTextNumbered"/>
      </w:pPr>
      <w:r w:rsidRPr="00AA1C2D">
        <w:lastRenderedPageBreak/>
        <w:t>IPET-MDRD recommend that this approach to meeting WMO requirements be further investigated during the next CBS session; in particular, seeking to develop working relationships with organisations who may be well-placed to take on such activities. Where deemed appropriate, work with the Secretariat to establish memorandums of agreement (MoU) between WMO and external organisations.</w:t>
      </w:r>
    </w:p>
    <w:p w:rsidR="00AA1C2D" w:rsidRPr="00AA1C2D" w:rsidRDefault="00F51673" w:rsidP="00F51673">
      <w:pPr>
        <w:pStyle w:val="Action"/>
      </w:pPr>
      <w:r>
        <w:t>ICT-ISS agreed to add a W</w:t>
      </w:r>
      <w:r w:rsidR="00AA1C2D" w:rsidRPr="00AA1C2D">
        <w:t>ork item</w:t>
      </w:r>
      <w:r>
        <w:t xml:space="preserve"> to its plan for 2016-2020</w:t>
      </w:r>
      <w:bookmarkStart w:id="0" w:name="_GoBack"/>
      <w:bookmarkEnd w:id="0"/>
      <w:r w:rsidR="00AA1C2D" w:rsidRPr="00AA1C2D">
        <w:t>: Develop a framework to supports engagement with external organisation with which to deliver standards, practices and guidance material through collaboration. </w:t>
      </w:r>
    </w:p>
    <w:p w:rsidR="001C16A8" w:rsidRPr="00FF65B9" w:rsidRDefault="001C16A8" w:rsidP="0052754B">
      <w:pPr>
        <w:pStyle w:val="BodyText"/>
        <w:jc w:val="center"/>
      </w:pPr>
      <w:r w:rsidRPr="00FF65B9">
        <w:t>--------------------</w:t>
      </w:r>
    </w:p>
    <w:p w:rsidR="008A71EB" w:rsidRPr="00FF65B9" w:rsidRDefault="008A71EB" w:rsidP="00B97253"/>
    <w:sectPr w:rsidR="008A71EB" w:rsidRPr="00FF65B9" w:rsidSect="001C16A8">
      <w:headerReference w:type="default" r:id="rId17"/>
      <w:headerReference w:type="first" r:id="rId18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A01" w:rsidRDefault="00491A01">
      <w:r>
        <w:separator/>
      </w:r>
    </w:p>
    <w:p w:rsidR="00491A01" w:rsidRDefault="00491A01"/>
  </w:endnote>
  <w:endnote w:type="continuationSeparator" w:id="0">
    <w:p w:rsidR="00491A01" w:rsidRDefault="00491A01">
      <w:r>
        <w:continuationSeparator/>
      </w:r>
    </w:p>
    <w:p w:rsidR="00491A01" w:rsidRDefault="00491A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A01" w:rsidRDefault="00491A01">
      <w:r>
        <w:separator/>
      </w:r>
    </w:p>
    <w:p w:rsidR="00491A01" w:rsidRDefault="00491A01"/>
  </w:footnote>
  <w:footnote w:type="continuationSeparator" w:id="0">
    <w:p w:rsidR="00491A01" w:rsidRDefault="00491A01">
      <w:r>
        <w:continuationSeparator/>
      </w:r>
    </w:p>
    <w:p w:rsidR="00491A01" w:rsidRDefault="00491A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2D" w:rsidRPr="00AA1C2D" w:rsidRDefault="00AA1C2D">
    <w:pPr>
      <w:pStyle w:val="Header"/>
      <w:rPr>
        <w:lang w:val="en-GB"/>
      </w:rPr>
    </w:pPr>
    <w:r>
      <w:rPr>
        <w:lang w:val="en-GB"/>
      </w:rPr>
      <w:t>ICT-ISS-2016-2/D4.4(5),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F51673">
      <w:rPr>
        <w:noProof/>
        <w:lang w:val="en-GB"/>
      </w:rPr>
      <w:t>1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FC2F5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5D655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2825B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57CD0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82410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042C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D469D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F6CFD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386E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F0422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AB41566"/>
    <w:multiLevelType w:val="multilevel"/>
    <w:tmpl w:val="2D822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8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7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7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01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1A01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2754B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1C2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705F1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51673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Normal"/>
    <w:rsid w:val="00B74B70"/>
    <w:pPr>
      <w:tabs>
        <w:tab w:val="left" w:pos="1134"/>
        <w:tab w:val="center" w:pos="4513"/>
      </w:tabs>
      <w:suppressAutoHyphens/>
      <w:spacing w:before="240" w:after="120"/>
    </w:pPr>
    <w:rPr>
      <w:rFonts w:ascii="Verdana" w:eastAsia="Arial" w:hAnsi="Verdana"/>
      <w:sz w:val="20"/>
      <w:szCs w:val="22"/>
      <w:lang w:eastAsia="zh-TW"/>
    </w:r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Normal"/>
    <w:rsid w:val="00B74B70"/>
    <w:pPr>
      <w:tabs>
        <w:tab w:val="left" w:pos="1134"/>
        <w:tab w:val="center" w:pos="4513"/>
      </w:tabs>
      <w:suppressAutoHyphens/>
      <w:spacing w:before="240" w:after="120"/>
    </w:pPr>
    <w:rPr>
      <w:rFonts w:ascii="Verdana" w:eastAsia="Arial" w:hAnsi="Verdana"/>
      <w:sz w:val="20"/>
      <w:szCs w:val="22"/>
      <w:lang w:eastAsia="zh-TW"/>
    </w:r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hmei.org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ietf.org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esipfed.org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3.org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d-alliance.org/" TargetMode="External"/><Relationship Id="rId10" Type="http://schemas.openxmlformats.org/officeDocument/2006/relationships/hyperlink" Target="http://www.opengeospatial.org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codata.org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3A839-B1C5-4BCC-B6D4-3B6DC0952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5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3517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cp:lastPrinted>2012-03-15T15:21:00Z</cp:lastPrinted>
  <dcterms:created xsi:type="dcterms:W3CDTF">2016-06-27T12:17:00Z</dcterms:created>
  <dcterms:modified xsi:type="dcterms:W3CDTF">2016-06-27T12:22:00Z</dcterms:modified>
</cp:coreProperties>
</file>