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491A01" w:rsidRPr="0052754B" w:rsidRDefault="00491A01" w:rsidP="00491A01">
            <w:pPr>
              <w:tabs>
                <w:tab w:val="left" w:pos="6946"/>
              </w:tabs>
              <w:suppressAutoHyphens/>
              <w:spacing w:after="120" w:line="252" w:lineRule="auto"/>
              <w:ind w:left="1134"/>
              <w:rPr>
                <w:rFonts w:cstheme="minorBidi"/>
                <w:b/>
                <w:snapToGrid w:val="0"/>
                <w:color w:val="365F91" w:themeColor="accent1" w:themeShade="BF"/>
                <w:szCs w:val="22"/>
              </w:rPr>
            </w:pPr>
            <w:r w:rsidRPr="0052754B">
              <w:rPr>
                <w:rFonts w:cstheme="minorBidi"/>
                <w:b/>
                <w:snapToGrid w:val="0"/>
                <w:color w:val="365F91" w:themeColor="accent1" w:themeShade="BF"/>
                <w:szCs w:val="22"/>
              </w:rPr>
              <w:t>Implementation Coordination Team</w:t>
            </w:r>
            <w:r w:rsidRPr="0052754B">
              <w:rPr>
                <w:rFonts w:cstheme="minorBidi"/>
                <w:b/>
                <w:snapToGrid w:val="0"/>
                <w:color w:val="365F91" w:themeColor="accent1" w:themeShade="BF"/>
                <w:szCs w:val="22"/>
              </w:rPr>
              <w:br/>
              <w:t>Information Systems and Services</w:t>
            </w:r>
          </w:p>
          <w:p w:rsidR="00B74B70" w:rsidRPr="005D666D" w:rsidRDefault="00491A01" w:rsidP="00491A01">
            <w:pPr>
              <w:tabs>
                <w:tab w:val="left" w:pos="6946"/>
              </w:tabs>
              <w:suppressAutoHyphens/>
              <w:spacing w:after="120" w:line="252" w:lineRule="auto"/>
              <w:ind w:left="1134"/>
              <w:rPr>
                <w:rFonts w:cs="Tahoma"/>
                <w:b/>
                <w:bCs/>
                <w:color w:val="365F91" w:themeColor="accent1" w:themeShade="BF"/>
                <w:szCs w:val="22"/>
              </w:rPr>
            </w:pPr>
            <w:r w:rsidRPr="0052754B">
              <w:rPr>
                <w:rFonts w:cstheme="minorBidi"/>
                <w:b/>
                <w:snapToGrid w:val="0"/>
                <w:color w:val="365F91" w:themeColor="accent1" w:themeShade="BF"/>
                <w:szCs w:val="22"/>
              </w:rPr>
              <w:t>ICT-ISS-2016-2</w:t>
            </w:r>
            <w:r w:rsidR="00B74B70" w:rsidRPr="00B74B70">
              <w:rPr>
                <w:rFonts w:cstheme="minorBidi"/>
                <w:b/>
                <w:snapToGrid w:val="0"/>
                <w:color w:val="365F91" w:themeColor="accent1" w:themeShade="BF"/>
                <w:szCs w:val="22"/>
                <w:highlight w:val="yellow"/>
              </w:rPr>
              <w:br/>
            </w:r>
            <w:r>
              <w:rPr>
                <w:snapToGrid w:val="0"/>
                <w:color w:val="365F91" w:themeColor="accent1" w:themeShade="BF"/>
                <w:szCs w:val="22"/>
              </w:rPr>
              <w:t>Geneva, 29 June – 1 July 2016</w:t>
            </w:r>
          </w:p>
        </w:tc>
        <w:tc>
          <w:tcPr>
            <w:tcW w:w="2977" w:type="dxa"/>
          </w:tcPr>
          <w:p w:rsidR="00B74B70" w:rsidRPr="00F61675" w:rsidRDefault="00491A01" w:rsidP="0052754B">
            <w:pPr>
              <w:spacing w:after="60"/>
              <w:ind w:right="-108"/>
              <w:jc w:val="right"/>
              <w:rPr>
                <w:rFonts w:cs="Tahoma"/>
                <w:b/>
                <w:bCs/>
                <w:color w:val="365F91" w:themeColor="accent1" w:themeShade="BF"/>
                <w:szCs w:val="22"/>
                <w:lang w:val="fr-CH"/>
              </w:rPr>
            </w:pPr>
            <w:r w:rsidRPr="0052754B">
              <w:rPr>
                <w:rFonts w:cs="Tahoma"/>
                <w:b/>
                <w:bCs/>
                <w:color w:val="365F91" w:themeColor="accent1" w:themeShade="BF"/>
                <w:szCs w:val="22"/>
                <w:lang w:val="fr-CH"/>
              </w:rPr>
              <w:t>ICT-ISS-2016-2</w:t>
            </w:r>
            <w:r w:rsidR="00B74B70" w:rsidRPr="0052754B">
              <w:rPr>
                <w:rFonts w:cs="Tahoma"/>
                <w:b/>
                <w:bCs/>
                <w:color w:val="365F91" w:themeColor="accent1" w:themeShade="BF"/>
                <w:szCs w:val="22"/>
                <w:lang w:val="fr-CH"/>
              </w:rPr>
              <w:t>/</w:t>
            </w:r>
            <w:r w:rsidR="0052754B">
              <w:rPr>
                <w:rFonts w:cs="Tahoma"/>
                <w:b/>
                <w:bCs/>
                <w:color w:val="365F91" w:themeColor="accent1" w:themeShade="BF"/>
                <w:szCs w:val="22"/>
                <w:lang w:val="fr-CH"/>
              </w:rPr>
              <w:t>D4.4(4)</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52754B">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52754B">
              <w:rPr>
                <w:rFonts w:cs="Tahoma"/>
                <w:color w:val="365F91" w:themeColor="accent1" w:themeShade="BF"/>
                <w:szCs w:val="22"/>
              </w:rPr>
              <w:t>Tandy</w:t>
            </w:r>
            <w:r w:rsidRPr="005D666D">
              <w:rPr>
                <w:rFonts w:cs="Tahoma"/>
                <w:color w:val="365F91" w:themeColor="accent1" w:themeShade="BF"/>
                <w:szCs w:val="22"/>
              </w:rPr>
              <w:t xml:space="preserve"> </w:t>
            </w:r>
          </w:p>
          <w:p w:rsidR="00B74B70" w:rsidRPr="005D666D" w:rsidRDefault="0052754B" w:rsidP="00313D16">
            <w:pPr>
              <w:spacing w:after="60"/>
              <w:ind w:right="-108"/>
              <w:jc w:val="right"/>
              <w:rPr>
                <w:rFonts w:cs="Tahoma"/>
                <w:color w:val="365F91" w:themeColor="accent1" w:themeShade="BF"/>
                <w:szCs w:val="22"/>
              </w:rPr>
            </w:pPr>
            <w:r>
              <w:rPr>
                <w:rFonts w:cs="Tahoma"/>
                <w:color w:val="365F91" w:themeColor="accent1" w:themeShade="BF"/>
                <w:szCs w:val="22"/>
              </w:rPr>
              <w:t>27.VI.2016</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52754B" w:rsidP="000E3612">
      <w:pPr>
        <w:pStyle w:val="Heading1"/>
        <w:jc w:val="center"/>
      </w:pPr>
      <w:r>
        <w:t>IPET-MDRD considerations on the need for making greater use of standards and best practices developed outside WMO</w:t>
      </w:r>
    </w:p>
    <w:p w:rsidR="001C16A8" w:rsidRPr="00FF65B9" w:rsidRDefault="0052754B" w:rsidP="000E3612">
      <w:pPr>
        <w:pStyle w:val="Heading2"/>
        <w:rPr>
          <w:rFonts w:hint="eastAsia"/>
        </w:rPr>
      </w:pPr>
      <w:r>
        <w:t>Discussion</w:t>
      </w:r>
    </w:p>
    <w:p w:rsidR="0052754B" w:rsidRPr="0052754B" w:rsidRDefault="0052754B" w:rsidP="0052754B">
      <w:pPr>
        <w:pStyle w:val="BodyTextNumbered"/>
      </w:pPr>
      <w:r w:rsidRPr="0052754B">
        <w:t>IPET-MDRD recognise</w:t>
      </w:r>
      <w:r>
        <w:t>d</w:t>
      </w:r>
      <w:r w:rsidRPr="0052754B">
        <w:t xml:space="preserve"> that the focus of IPET-MDRD and IPET-DRMM ha</w:t>
      </w:r>
      <w:r>
        <w:t>d</w:t>
      </w:r>
      <w:r w:rsidRPr="0052754B">
        <w:t xml:space="preserve"> been th</w:t>
      </w:r>
      <w:r>
        <w:t>e exchange of data between NMHS and</w:t>
      </w:r>
      <w:r w:rsidRPr="0052754B">
        <w:t xml:space="preserve"> providing technical standards and guidelines to support those interactions.</w:t>
      </w:r>
    </w:p>
    <w:p w:rsidR="0052754B" w:rsidRPr="0052754B" w:rsidRDefault="0052754B" w:rsidP="0052754B">
      <w:pPr>
        <w:pStyle w:val="BodyTextNumbered"/>
      </w:pPr>
      <w:r w:rsidRPr="0052754B">
        <w:t xml:space="preserve">Changes in data supply patterns (e.g. open data policies and “big data”), user expectations (e.g. how data </w:t>
      </w:r>
      <w:r>
        <w:t>were</w:t>
      </w:r>
      <w:r w:rsidRPr="0052754B">
        <w:t xml:space="preserve"> discovered and used, use of the web as a data sharing platform, availability of data APIs, 3rd-party data integration- aka “mashups”, Internet of Things) and technology (e.g. cloud infrastructure, messaging, search engines, web services etc.) present</w:t>
      </w:r>
      <w:r>
        <w:t>ed</w:t>
      </w:r>
      <w:r w:rsidRPr="0052754B">
        <w:t xml:space="preserve"> both new challenges and new opportunities to Members</w:t>
      </w:r>
      <w:r>
        <w:t xml:space="preserve"> </w:t>
      </w:r>
      <w:r w:rsidRPr="0052754B">
        <w:t>- as reflected in the emerging WIS strategy.</w:t>
      </w:r>
    </w:p>
    <w:p w:rsidR="0052754B" w:rsidRPr="0052754B" w:rsidRDefault="0052754B" w:rsidP="0052754B">
      <w:pPr>
        <w:pStyle w:val="BodyTextNumbered"/>
      </w:pPr>
      <w:r w:rsidRPr="0052754B">
        <w:t>The activities of the Commission for Basic Systems (CBS) include</w:t>
      </w:r>
      <w:r>
        <w:t>d</w:t>
      </w:r>
      <w:r w:rsidRPr="0052754B">
        <w:t xml:space="preserve"> “the development, implementation and operation of integrated systems for observing, data processing, data communication and data management […] in response to requirements of all WMO programmes and opportunities offered by technological developments.” [1]</w:t>
      </w:r>
    </w:p>
    <w:p w:rsidR="0052754B" w:rsidRPr="0052754B" w:rsidRDefault="0052754B" w:rsidP="0052754B">
      <w:pPr>
        <w:pStyle w:val="BodyTextNumbered"/>
      </w:pPr>
      <w:r w:rsidRPr="0052754B">
        <w:t>The volume of work required to develop and document the standards and guidelines to support adoption of such a wide range of technologies far exceed</w:t>
      </w:r>
      <w:r>
        <w:t>ed</w:t>
      </w:r>
      <w:r w:rsidRPr="0052754B">
        <w:t xml:space="preserve"> the capacity of any individual Expert Team or even the entire OPAG. Yet there </w:t>
      </w:r>
      <w:r>
        <w:t>were</w:t>
      </w:r>
      <w:r w:rsidRPr="0052754B">
        <w:t xml:space="preserve"> clearly benefits to be derived from helping Members adopt such technologies</w:t>
      </w:r>
      <w:r>
        <w:t xml:space="preserve"> </w:t>
      </w:r>
      <w:r w:rsidRPr="0052754B">
        <w:t>- or at least for Members to be made aware of these technologies for evaluation.</w:t>
      </w:r>
    </w:p>
    <w:p w:rsidR="0052754B" w:rsidRPr="0052754B" w:rsidRDefault="0052754B" w:rsidP="0052754B">
      <w:pPr>
        <w:pStyle w:val="BodyTextNumbered"/>
      </w:pPr>
      <w:r w:rsidRPr="0052754B">
        <w:t>IPET-MDRD recognise</w:t>
      </w:r>
      <w:r>
        <w:t>d</w:t>
      </w:r>
      <w:r w:rsidRPr="0052754B">
        <w:t xml:space="preserve"> that there </w:t>
      </w:r>
      <w:r>
        <w:t>were</w:t>
      </w:r>
      <w:r w:rsidRPr="0052754B">
        <w:t xml:space="preserve"> many other organisations, including NMHS, developing recommended practices for data sharing and data management that Members would benefit from being aware of. Examples include</w:t>
      </w:r>
      <w:r>
        <w:t>d</w:t>
      </w:r>
      <w:r w:rsidRPr="0052754B">
        <w:t xml:space="preserve"> Standards Development Organisations (e.g. World Wide Web Consortium, whose Data on the Web Best Practices [2] is now a Candidate Recommendation awaiting final approval), Government bodies (e.g. Whitehouse Office of Science and Technology Policy [3], UK Government Digital Service [4] and Australian Government Digital Transformation Office [5]) and community lead bodies (Research Data Alliance [6]).</w:t>
      </w:r>
    </w:p>
    <w:p w:rsidR="0052754B" w:rsidRPr="0052754B" w:rsidRDefault="0052754B" w:rsidP="0052754B">
      <w:pPr>
        <w:pStyle w:val="BodyTextNumbered"/>
      </w:pPr>
      <w:r w:rsidRPr="0052754B">
        <w:t xml:space="preserve">IPET-MDRD recommended that OPAG-ISS should seek out best practices and guidance material developed both by external parties and NMHS that relate to data exchange and raise awareness to Members. Such material would be offered as possibilities for consideration rather than as recommended practices or technical regulation. The provision of this guidance would provide visibility to the work of Members that has already been proven through implementation experience. Furthermore, engagement with NMHS may help identify where Members </w:t>
      </w:r>
      <w:r>
        <w:t>were</w:t>
      </w:r>
      <w:r w:rsidRPr="0052754B">
        <w:t xml:space="preserve"> attempting to solve the same, or similar, challenges. In such cases, OPAG-ISS should encourage participants to collaborate on the development of solutions.</w:t>
      </w:r>
    </w:p>
    <w:p w:rsidR="0052754B" w:rsidRPr="0052754B" w:rsidRDefault="0052754B" w:rsidP="0052754B">
      <w:pPr>
        <w:pStyle w:val="BodyTextNumbered"/>
      </w:pPr>
      <w:r w:rsidRPr="0052754B">
        <w:lastRenderedPageBreak/>
        <w:t xml:space="preserve">Such a ‘coordination’ role </w:t>
      </w:r>
      <w:r>
        <w:t>was</w:t>
      </w:r>
      <w:r w:rsidRPr="0052754B">
        <w:t xml:space="preserve"> consistent with the mandate of Technical Commissions as stated in Article 19a of the Convention. This would also support the expansion of</w:t>
      </w:r>
      <w:r>
        <w:t xml:space="preserve"> WIS to include Data Management,</w:t>
      </w:r>
      <w:r w:rsidRPr="0052754B">
        <w:t xml:space="preserve"> covering a broader scope than just data representation.</w:t>
      </w:r>
    </w:p>
    <w:p w:rsidR="0052754B" w:rsidRPr="0052754B" w:rsidRDefault="0052754B" w:rsidP="0052754B">
      <w:pPr>
        <w:pStyle w:val="BodyTextNumbered"/>
      </w:pPr>
      <w:r w:rsidRPr="0052754B">
        <w:t xml:space="preserve">Raising awareness of relevant best practices and guidance material should help to support the adoption of new the adoption of new technologies by Members. OPAG-ISS should ensure that the material remains up to date and valid; reflecting feedback from Member’s implementation experience and, where available, providing links to resources (e.g. tools, software, APIs) that assist with their implementation. </w:t>
      </w:r>
    </w:p>
    <w:p w:rsidR="0052754B" w:rsidRPr="0052754B" w:rsidRDefault="0052754B" w:rsidP="0052754B">
      <w:pPr>
        <w:pStyle w:val="BodyTextNumbered"/>
      </w:pPr>
      <w:r w:rsidRPr="0052754B">
        <w:t>Finally, IPET-MDRD note</w:t>
      </w:r>
      <w:r>
        <w:t>d</w:t>
      </w:r>
      <w:r w:rsidRPr="0052754B">
        <w:t xml:space="preserve"> that raising awareness of proven solutions may also lead toward emergence of common practice within the WMO community through voluntary adoption. </w:t>
      </w:r>
    </w:p>
    <w:p w:rsidR="0052754B" w:rsidRPr="0052754B" w:rsidRDefault="0052754B" w:rsidP="0052754B">
      <w:pPr>
        <w:pStyle w:val="Heading2"/>
        <w:rPr>
          <w:rFonts w:hint="eastAsia"/>
        </w:rPr>
      </w:pPr>
      <w:r>
        <w:t>References</w:t>
      </w:r>
    </w:p>
    <w:p w:rsidR="0052754B" w:rsidRPr="0052754B" w:rsidRDefault="0052754B" w:rsidP="0052754B">
      <w:pPr>
        <w:pStyle w:val="BodyText"/>
      </w:pPr>
      <w:r w:rsidRPr="0052754B">
        <w:t xml:space="preserve">[1]: http://public.wmo.int/en/our-mandate/how-we-do-it/technical-commissions/commission-basic-systems-cbs </w:t>
      </w:r>
    </w:p>
    <w:p w:rsidR="0052754B" w:rsidRPr="0052754B" w:rsidRDefault="0052754B" w:rsidP="0052754B">
      <w:pPr>
        <w:pStyle w:val="BodyText"/>
      </w:pPr>
      <w:r w:rsidRPr="0052754B">
        <w:t xml:space="preserve">[2]: https://www.w3.org/TR/dwbp/ </w:t>
      </w:r>
    </w:p>
    <w:p w:rsidR="0052754B" w:rsidRPr="0052754B" w:rsidRDefault="0052754B" w:rsidP="0052754B">
      <w:pPr>
        <w:pStyle w:val="BodyText"/>
      </w:pPr>
      <w:r w:rsidRPr="0052754B">
        <w:t>[3]: https://www.whitehouse.gov/administration/eop/ostp</w:t>
      </w:r>
    </w:p>
    <w:p w:rsidR="0052754B" w:rsidRPr="0052754B" w:rsidRDefault="0052754B" w:rsidP="0052754B">
      <w:pPr>
        <w:pStyle w:val="BodyText"/>
      </w:pPr>
      <w:r w:rsidRPr="0052754B">
        <w:t>[4]: https://www.gov.uk/government/organisations/government-digital-service</w:t>
      </w:r>
    </w:p>
    <w:p w:rsidR="0052754B" w:rsidRPr="0052754B" w:rsidRDefault="0052754B" w:rsidP="0052754B">
      <w:pPr>
        <w:pStyle w:val="BodyText"/>
      </w:pPr>
      <w:r w:rsidRPr="0052754B">
        <w:t>[5]: https://www.dto.gov.au/</w:t>
      </w:r>
    </w:p>
    <w:p w:rsidR="0052754B" w:rsidRPr="0052754B" w:rsidRDefault="0052754B" w:rsidP="0052754B">
      <w:pPr>
        <w:pStyle w:val="BodyText"/>
        <w:rPr>
          <w:rFonts w:ascii="Times New Roman" w:hAnsi="Times New Roman"/>
          <w:sz w:val="24"/>
          <w:szCs w:val="24"/>
        </w:rPr>
      </w:pPr>
      <w:r w:rsidRPr="0052754B">
        <w:t xml:space="preserve">[6]: https://rd-alliance.org/ </w:t>
      </w:r>
    </w:p>
    <w:p w:rsidR="001C16A8" w:rsidRPr="00FF65B9" w:rsidRDefault="001C16A8" w:rsidP="0052754B">
      <w:pPr>
        <w:pStyle w:val="BodyText"/>
        <w:jc w:val="center"/>
      </w:pPr>
      <w:r w:rsidRPr="00FF65B9">
        <w:t>--------------------</w:t>
      </w:r>
    </w:p>
    <w:p w:rsidR="008A71EB" w:rsidRPr="00FF65B9" w:rsidRDefault="008A71EB" w:rsidP="00B97253"/>
    <w:sectPr w:rsidR="008A71EB" w:rsidRPr="00FF65B9" w:rsidSect="001C16A8">
      <w:headerReference w:type="even" r:id="rId10"/>
      <w:headerReference w:type="default" r:id="rId11"/>
      <w:footerReference w:type="even" r:id="rId12"/>
      <w:footerReference w:type="default" r:id="rId13"/>
      <w:headerReference w:type="first" r:id="rId14"/>
      <w:footerReference w:type="first" r:id="rId15"/>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A01" w:rsidRDefault="00491A01">
      <w:r>
        <w:separator/>
      </w:r>
    </w:p>
    <w:p w:rsidR="00491A01" w:rsidRDefault="00491A01"/>
  </w:endnote>
  <w:endnote w:type="continuationSeparator" w:id="0">
    <w:p w:rsidR="00491A01" w:rsidRDefault="00491A01">
      <w:r>
        <w:continuationSeparator/>
      </w:r>
    </w:p>
    <w:p w:rsidR="00491A01" w:rsidRDefault="00491A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DA8" w:rsidRDefault="004E6D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DA8" w:rsidRDefault="004E6D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DA8" w:rsidRDefault="004E6D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A01" w:rsidRDefault="00491A01">
      <w:r>
        <w:separator/>
      </w:r>
    </w:p>
    <w:p w:rsidR="00491A01" w:rsidRDefault="00491A01"/>
  </w:footnote>
  <w:footnote w:type="continuationSeparator" w:id="0">
    <w:p w:rsidR="00491A01" w:rsidRDefault="00491A01">
      <w:r>
        <w:continuationSeparator/>
      </w:r>
    </w:p>
    <w:p w:rsidR="00491A01" w:rsidRDefault="00491A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DA8" w:rsidRDefault="004E6D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266" w:rsidRPr="007F5266" w:rsidRDefault="007F5266" w:rsidP="004E6DA8">
    <w:pPr>
      <w:pStyle w:val="Header"/>
      <w:rPr>
        <w:lang w:val="en-GB"/>
      </w:rPr>
    </w:pPr>
    <w:r>
      <w:rPr>
        <w:lang w:val="en-GB"/>
      </w:rPr>
      <w:t>ICT-ISS-2016-2/D4.4(</w:t>
    </w:r>
    <w:r w:rsidR="004E6DA8">
      <w:rPr>
        <w:lang w:val="en-GB"/>
      </w:rPr>
      <w:t>4</w:t>
    </w:r>
    <w:bookmarkStart w:id="0" w:name="_GoBack"/>
    <w:bookmarkEnd w:id="0"/>
    <w:r>
      <w:rPr>
        <w:lang w:val="en-GB"/>
      </w:rPr>
      <w:t>), p</w:t>
    </w:r>
    <w:r>
      <w:rPr>
        <w:lang w:val="en-GB"/>
      </w:rPr>
      <w:fldChar w:fldCharType="begin"/>
    </w:r>
    <w:r>
      <w:rPr>
        <w:lang w:val="en-GB"/>
      </w:rPr>
      <w:instrText xml:space="preserve"> PAGE   \* MERGEFORMAT </w:instrText>
    </w:r>
    <w:r>
      <w:rPr>
        <w:lang w:val="en-GB"/>
      </w:rPr>
      <w:fldChar w:fldCharType="separate"/>
    </w:r>
    <w:r w:rsidR="004E6DA8">
      <w:rPr>
        <w:noProof/>
        <w:lang w:val="en-GB"/>
      </w:rPr>
      <w:t>1</w:t>
    </w:r>
    <w:r>
      <w:rPr>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FC2F56A"/>
    <w:lvl w:ilvl="0">
      <w:start w:val="1"/>
      <w:numFmt w:val="decimal"/>
      <w:lvlText w:val="%1."/>
      <w:lvlJc w:val="left"/>
      <w:pPr>
        <w:tabs>
          <w:tab w:val="num" w:pos="1492"/>
        </w:tabs>
        <w:ind w:left="1492" w:hanging="360"/>
      </w:pPr>
    </w:lvl>
  </w:abstractNum>
  <w:abstractNum w:abstractNumId="1">
    <w:nsid w:val="FFFFFF7D"/>
    <w:multiLevelType w:val="singleLevel"/>
    <w:tmpl w:val="65D6555A"/>
    <w:lvl w:ilvl="0">
      <w:start w:val="1"/>
      <w:numFmt w:val="decimal"/>
      <w:lvlText w:val="%1."/>
      <w:lvlJc w:val="left"/>
      <w:pPr>
        <w:tabs>
          <w:tab w:val="num" w:pos="1209"/>
        </w:tabs>
        <w:ind w:left="1209" w:hanging="360"/>
      </w:pPr>
    </w:lvl>
  </w:abstractNum>
  <w:abstractNum w:abstractNumId="2">
    <w:nsid w:val="FFFFFF7E"/>
    <w:multiLevelType w:val="singleLevel"/>
    <w:tmpl w:val="E2825B1A"/>
    <w:lvl w:ilvl="0">
      <w:start w:val="1"/>
      <w:numFmt w:val="decimal"/>
      <w:lvlText w:val="%1."/>
      <w:lvlJc w:val="left"/>
      <w:pPr>
        <w:tabs>
          <w:tab w:val="num" w:pos="926"/>
        </w:tabs>
        <w:ind w:left="926" w:hanging="360"/>
      </w:pPr>
    </w:lvl>
  </w:abstractNum>
  <w:abstractNum w:abstractNumId="3">
    <w:nsid w:val="FFFFFF7F"/>
    <w:multiLevelType w:val="singleLevel"/>
    <w:tmpl w:val="557CD0A8"/>
    <w:lvl w:ilvl="0">
      <w:start w:val="1"/>
      <w:numFmt w:val="decimal"/>
      <w:lvlText w:val="%1."/>
      <w:lvlJc w:val="left"/>
      <w:pPr>
        <w:tabs>
          <w:tab w:val="num" w:pos="643"/>
        </w:tabs>
        <w:ind w:left="643" w:hanging="360"/>
      </w:pPr>
    </w:lvl>
  </w:abstractNum>
  <w:abstractNum w:abstractNumId="4">
    <w:nsid w:val="FFFFFF80"/>
    <w:multiLevelType w:val="singleLevel"/>
    <w:tmpl w:val="4824107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9042C9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D469D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F6CFD2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7386ED4"/>
    <w:lvl w:ilvl="0">
      <w:start w:val="1"/>
      <w:numFmt w:val="decimal"/>
      <w:lvlText w:val="%1."/>
      <w:lvlJc w:val="left"/>
      <w:pPr>
        <w:tabs>
          <w:tab w:val="num" w:pos="360"/>
        </w:tabs>
        <w:ind w:left="360" w:hanging="360"/>
      </w:pPr>
    </w:lvl>
  </w:abstractNum>
  <w:abstractNum w:abstractNumId="9">
    <w:nsid w:val="FFFFFF89"/>
    <w:multiLevelType w:val="singleLevel"/>
    <w:tmpl w:val="7F04222A"/>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A01"/>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1A01"/>
    <w:rsid w:val="004938CC"/>
    <w:rsid w:val="00495EEF"/>
    <w:rsid w:val="004A77F1"/>
    <w:rsid w:val="004C1599"/>
    <w:rsid w:val="004D3BAA"/>
    <w:rsid w:val="004D77E1"/>
    <w:rsid w:val="004E577D"/>
    <w:rsid w:val="004E6DA8"/>
    <w:rsid w:val="004F3BA0"/>
    <w:rsid w:val="004F6651"/>
    <w:rsid w:val="00525FDE"/>
    <w:rsid w:val="00526C7D"/>
    <w:rsid w:val="0052754B"/>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5266"/>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Normal"/>
    <w:rsid w:val="00B74B70"/>
    <w:pPr>
      <w:tabs>
        <w:tab w:val="left" w:pos="1134"/>
        <w:tab w:val="center" w:pos="4513"/>
      </w:tabs>
      <w:suppressAutoHyphens/>
      <w:spacing w:before="240" w:after="120"/>
    </w:pPr>
    <w:rPr>
      <w:rFonts w:ascii="Verdana" w:eastAsia="Arial" w:hAnsi="Verdana"/>
      <w:sz w:val="20"/>
      <w:szCs w:val="22"/>
      <w:lang w:eastAsia="zh-TW"/>
    </w:r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Normal"/>
    <w:rsid w:val="00B74B70"/>
    <w:pPr>
      <w:tabs>
        <w:tab w:val="left" w:pos="1134"/>
        <w:tab w:val="center" w:pos="4513"/>
      </w:tabs>
      <w:suppressAutoHyphens/>
      <w:spacing w:before="240" w:after="120"/>
    </w:pPr>
    <w:rPr>
      <w:rFonts w:ascii="Verdana" w:eastAsia="Arial" w:hAnsi="Verdana"/>
      <w:sz w:val="20"/>
      <w:szCs w:val="22"/>
      <w:lang w:eastAsia="zh-TW"/>
    </w:r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4EA66-8A18-4BBA-9CD0-33D0F7B0A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3</TotalTime>
  <Pages>2</Pages>
  <Words>631</Words>
  <Characters>3600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4223</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4</cp:revision>
  <cp:lastPrinted>2012-03-15T15:21:00Z</cp:lastPrinted>
  <dcterms:created xsi:type="dcterms:W3CDTF">2016-06-27T12:17:00Z</dcterms:created>
  <dcterms:modified xsi:type="dcterms:W3CDTF">2016-06-27T12:24:00Z</dcterms:modified>
</cp:coreProperties>
</file>