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Borders>
          <w:bottom w:val="single" w:sz="4" w:space="0" w:color="auto"/>
        </w:tblBorders>
        <w:tblLook w:val="01E0"/>
      </w:tblPr>
      <w:tblGrid>
        <w:gridCol w:w="6771"/>
        <w:gridCol w:w="3118"/>
      </w:tblGrid>
      <w:tr w:rsidR="00993581" w:rsidRPr="00636B90" w:rsidTr="007C3C55">
        <w:trPr>
          <w:trHeight w:val="282"/>
        </w:trPr>
        <w:tc>
          <w:tcPr>
            <w:tcW w:w="6771"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eastAsia="en-GB"/>
              </w:rPr>
              <w:drawing>
                <wp:anchor distT="0" distB="0" distL="114300" distR="114300" simplePos="0" relativeHeight="251671552" behindDoc="1" locked="1" layoutInCell="1" allowOverlap="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613410" cy="673100"/>
                          </a:xfrm>
                          <a:prstGeom prst="rect">
                            <a:avLst/>
                          </a:prstGeom>
                          <a:noFill/>
                          <a:ln>
                            <a:noFill/>
                          </a:ln>
                        </pic:spPr>
                      </pic:pic>
                    </a:graphicData>
                  </a:graphic>
                </wp:anchor>
              </w:drawing>
            </w:r>
            <w:r w:rsidR="008160B3">
              <w:rPr>
                <w:rFonts w:cs="Tahoma"/>
                <w:b/>
                <w:bCs/>
                <w:color w:val="365F91" w:themeColor="accent1" w:themeShade="BF"/>
                <w:szCs w:val="22"/>
              </w:rPr>
              <w:t>World Meteorological Organization</w:t>
            </w:r>
          </w:p>
          <w:p w:rsidR="00993581" w:rsidRPr="005D666D" w:rsidRDefault="008160B3" w:rsidP="00993581">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712ED1" w:rsidRDefault="00712ED1" w:rsidP="00993581">
            <w:pPr>
              <w:tabs>
                <w:tab w:val="left" w:pos="6946"/>
              </w:tabs>
              <w:suppressAutoHyphens/>
              <w:spacing w:after="120" w:line="252" w:lineRule="auto"/>
              <w:ind w:left="1134"/>
              <w:jc w:val="left"/>
              <w:rPr>
                <w:rFonts w:cstheme="minorBidi"/>
                <w:b/>
                <w:snapToGrid w:val="0"/>
                <w:color w:val="365F91" w:themeColor="accent1" w:themeShade="BF"/>
                <w:szCs w:val="22"/>
              </w:rPr>
            </w:pPr>
            <w:r>
              <w:rPr>
                <w:rFonts w:cstheme="minorBidi"/>
                <w:b/>
                <w:snapToGrid w:val="0"/>
                <w:color w:val="365F91" w:themeColor="accent1" w:themeShade="BF"/>
                <w:szCs w:val="22"/>
              </w:rPr>
              <w:t>Inter-Programme Expert Team on Metadata and Data Representation Development</w:t>
            </w:r>
          </w:p>
          <w:p w:rsidR="00993581" w:rsidRPr="005D666D" w:rsidRDefault="00712ED1" w:rsidP="00993581">
            <w:pPr>
              <w:tabs>
                <w:tab w:val="left" w:pos="6946"/>
              </w:tabs>
              <w:suppressAutoHyphens/>
              <w:spacing w:after="120" w:line="252" w:lineRule="auto"/>
              <w:ind w:left="1134"/>
              <w:jc w:val="left"/>
              <w:rPr>
                <w:rFonts w:cs="Tahoma"/>
                <w:b/>
                <w:bCs/>
                <w:color w:val="365F91" w:themeColor="accent1" w:themeShade="BF"/>
                <w:szCs w:val="22"/>
              </w:rPr>
            </w:pPr>
            <w:r>
              <w:rPr>
                <w:rFonts w:cstheme="minorBidi"/>
                <w:b/>
                <w:snapToGrid w:val="0"/>
                <w:color w:val="365F91" w:themeColor="accent1" w:themeShade="BF"/>
                <w:szCs w:val="22"/>
              </w:rPr>
              <w:t>Fourth Meeting</w:t>
            </w:r>
            <w:r w:rsidR="00993581" w:rsidRPr="005D666D">
              <w:rPr>
                <w:rFonts w:cstheme="minorBidi"/>
                <w:b/>
                <w:snapToGrid w:val="0"/>
                <w:color w:val="365F91" w:themeColor="accent1" w:themeShade="BF"/>
                <w:szCs w:val="22"/>
              </w:rPr>
              <w:br/>
            </w:r>
            <w:r w:rsidR="008160B3">
              <w:rPr>
                <w:snapToGrid w:val="0"/>
                <w:color w:val="365F91" w:themeColor="accent1" w:themeShade="BF"/>
                <w:szCs w:val="22"/>
              </w:rPr>
              <w:t>Geneva, 9 to 12 May 2016</w:t>
            </w:r>
          </w:p>
        </w:tc>
        <w:tc>
          <w:tcPr>
            <w:tcW w:w="3118" w:type="dxa"/>
          </w:tcPr>
          <w:p w:rsidR="00993581" w:rsidRPr="00712ED1" w:rsidRDefault="00712ED1" w:rsidP="0059550B">
            <w:pPr>
              <w:tabs>
                <w:tab w:val="clear" w:pos="1134"/>
              </w:tabs>
              <w:spacing w:after="60"/>
              <w:ind w:right="-108"/>
              <w:jc w:val="right"/>
              <w:rPr>
                <w:rFonts w:cs="Tahoma"/>
                <w:b/>
                <w:bCs/>
                <w:color w:val="365F91" w:themeColor="accent1" w:themeShade="BF"/>
                <w:szCs w:val="22"/>
              </w:rPr>
            </w:pPr>
            <w:r w:rsidRPr="00712ED1">
              <w:rPr>
                <w:rFonts w:cs="Tahoma"/>
                <w:b/>
                <w:bCs/>
                <w:color w:val="365F91" w:themeColor="accent1" w:themeShade="BF"/>
                <w:szCs w:val="22"/>
              </w:rPr>
              <w:t>IPET-MDRD-4/Doc. </w:t>
            </w:r>
            <w:r w:rsidR="002E4ACF">
              <w:rPr>
                <w:rFonts w:cs="Tahoma"/>
                <w:b/>
                <w:bCs/>
                <w:color w:val="365F91" w:themeColor="accent1" w:themeShade="BF"/>
                <w:szCs w:val="22"/>
              </w:rPr>
              <w:t>3.</w:t>
            </w:r>
            <w:r w:rsidR="0059550B">
              <w:rPr>
                <w:rFonts w:cs="Tahoma"/>
                <w:b/>
                <w:bCs/>
                <w:color w:val="365F91" w:themeColor="accent1" w:themeShade="BF"/>
                <w:szCs w:val="22"/>
              </w:rPr>
              <w:t>6</w:t>
            </w:r>
            <w:r w:rsidR="007C3C55">
              <w:rPr>
                <w:rFonts w:cs="Tahoma"/>
                <w:b/>
                <w:bCs/>
                <w:color w:val="365F91" w:themeColor="accent1" w:themeShade="BF"/>
                <w:szCs w:val="22"/>
              </w:rPr>
              <w:t>(</w:t>
            </w:r>
            <w:r w:rsidR="0059550B">
              <w:rPr>
                <w:rFonts w:cs="Tahoma"/>
                <w:b/>
                <w:bCs/>
                <w:color w:val="365F91" w:themeColor="accent1" w:themeShade="BF"/>
                <w:szCs w:val="22"/>
              </w:rPr>
              <w:t>1</w:t>
            </w:r>
            <w:r w:rsidR="007C3C55">
              <w:rPr>
                <w:rFonts w:cs="Tahoma"/>
                <w:b/>
                <w:bCs/>
                <w:color w:val="365F91" w:themeColor="accent1" w:themeShade="BF"/>
                <w:szCs w:val="22"/>
              </w:rPr>
              <w:t>)</w:t>
            </w:r>
          </w:p>
        </w:tc>
      </w:tr>
      <w:tr w:rsidR="00993581" w:rsidRPr="005D666D" w:rsidTr="007C3C55">
        <w:trPr>
          <w:trHeight w:val="730"/>
        </w:trPr>
        <w:tc>
          <w:tcPr>
            <w:tcW w:w="6771" w:type="dxa"/>
            <w:vMerge/>
          </w:tcPr>
          <w:p w:rsidR="00993581" w:rsidRPr="00712ED1" w:rsidRDefault="00993581" w:rsidP="004D7BD3">
            <w:pPr>
              <w:tabs>
                <w:tab w:val="left" w:pos="6946"/>
              </w:tabs>
              <w:suppressAutoHyphens/>
              <w:spacing w:after="120" w:line="252" w:lineRule="auto"/>
              <w:ind w:left="1134"/>
              <w:jc w:val="left"/>
              <w:rPr>
                <w:noProof/>
                <w:color w:val="365F91" w:themeColor="accent1" w:themeShade="BF"/>
                <w:szCs w:val="22"/>
                <w:lang w:eastAsia="zh-CN"/>
              </w:rPr>
            </w:pPr>
          </w:p>
        </w:tc>
        <w:tc>
          <w:tcPr>
            <w:tcW w:w="3118" w:type="dxa"/>
          </w:tcPr>
          <w:p w:rsidR="00993581" w:rsidRPr="005D666D" w:rsidRDefault="00993581" w:rsidP="007C3C55">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2E4ACF">
              <w:rPr>
                <w:rFonts w:cs="Tahoma"/>
                <w:color w:val="365F91" w:themeColor="accent1" w:themeShade="BF"/>
                <w:szCs w:val="22"/>
              </w:rPr>
              <w:t>Jeremy Tandy</w:t>
            </w:r>
            <w:r w:rsidRPr="005D666D">
              <w:rPr>
                <w:rFonts w:cs="Tahoma"/>
                <w:color w:val="365F91" w:themeColor="accent1" w:themeShade="BF"/>
                <w:szCs w:val="22"/>
              </w:rPr>
              <w:t xml:space="preserve"> </w:t>
            </w:r>
          </w:p>
          <w:p w:rsidR="00993581" w:rsidRPr="005D666D" w:rsidRDefault="003E3EB1" w:rsidP="00993581">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0</w:t>
            </w:r>
            <w:r w:rsidR="0059550B">
              <w:rPr>
                <w:rFonts w:cs="Tahoma"/>
                <w:color w:val="365F91" w:themeColor="accent1" w:themeShade="BF"/>
                <w:szCs w:val="22"/>
              </w:rPr>
              <w:t>7</w:t>
            </w:r>
            <w:r w:rsidR="007C3C55">
              <w:rPr>
                <w:rFonts w:cs="Tahoma"/>
                <w:color w:val="365F91" w:themeColor="accent1" w:themeShade="BF"/>
                <w:szCs w:val="22"/>
              </w:rPr>
              <w:t>.</w:t>
            </w:r>
            <w:r>
              <w:rPr>
                <w:rFonts w:cs="Tahoma"/>
                <w:color w:val="365F91" w:themeColor="accent1" w:themeShade="BF"/>
                <w:szCs w:val="22"/>
              </w:rPr>
              <w:t>MAY</w:t>
            </w:r>
            <w:r w:rsidR="008160B3">
              <w:rPr>
                <w:rFonts w:cs="Tahoma"/>
                <w:color w:val="365F91" w:themeColor="accent1" w:themeShade="BF"/>
                <w:szCs w:val="22"/>
              </w:rPr>
              <w:t>.2016</w:t>
            </w:r>
          </w:p>
          <w:p w:rsidR="00993581" w:rsidRPr="00DF1240" w:rsidRDefault="00993581" w:rsidP="00993581">
            <w:pPr>
              <w:tabs>
                <w:tab w:val="clear" w:pos="1134"/>
              </w:tabs>
              <w:spacing w:after="60"/>
              <w:ind w:right="-108"/>
              <w:jc w:val="right"/>
              <w:rPr>
                <w:rFonts w:cs="Tahoma"/>
                <w:b/>
                <w:bCs/>
                <w:color w:val="365F91" w:themeColor="accent1" w:themeShade="BF"/>
                <w:szCs w:val="22"/>
                <w:lang w:val="en-US"/>
              </w:rPr>
            </w:pPr>
            <w:r w:rsidRPr="005D666D">
              <w:rPr>
                <w:rFonts w:cs="Tahoma"/>
                <w:b/>
                <w:bCs/>
                <w:color w:val="365F91" w:themeColor="accent1" w:themeShade="BF"/>
                <w:szCs w:val="22"/>
              </w:rPr>
              <w:t>DRAFT 1</w:t>
            </w:r>
          </w:p>
        </w:tc>
      </w:tr>
    </w:tbl>
    <w:p w:rsidR="00082C80" w:rsidRPr="005D666D" w:rsidRDefault="00712ED1" w:rsidP="007C3C55">
      <w:pPr>
        <w:pStyle w:val="WMOBodyText"/>
        <w:tabs>
          <w:tab w:val="clear" w:pos="1134"/>
        </w:tabs>
        <w:ind w:left="2977" w:hanging="2977"/>
        <w:rPr>
          <w:b/>
          <w:bCs/>
        </w:rPr>
      </w:pPr>
      <w:r>
        <w:rPr>
          <w:b/>
          <w:bCs/>
        </w:rPr>
        <w:t xml:space="preserve">AGENDA ITEM </w:t>
      </w:r>
      <w:r w:rsidR="003E3EB1">
        <w:rPr>
          <w:b/>
          <w:bCs/>
        </w:rPr>
        <w:t>3</w:t>
      </w:r>
      <w:r w:rsidR="008160B3">
        <w:rPr>
          <w:b/>
          <w:bCs/>
        </w:rPr>
        <w:t>:</w:t>
      </w:r>
      <w:r w:rsidR="008160B3">
        <w:rPr>
          <w:b/>
          <w:bCs/>
        </w:rPr>
        <w:tab/>
      </w:r>
      <w:r w:rsidR="003E3EB1">
        <w:rPr>
          <w:b/>
          <w:bCs/>
        </w:rPr>
        <w:t>Development of Model Driven Code Forms</w:t>
      </w:r>
    </w:p>
    <w:p w:rsidR="00082C80" w:rsidRPr="005D666D" w:rsidRDefault="008160B3" w:rsidP="007C3C55">
      <w:pPr>
        <w:pStyle w:val="WMOBodyText"/>
        <w:tabs>
          <w:tab w:val="clear" w:pos="1134"/>
        </w:tabs>
        <w:spacing w:after="360"/>
        <w:ind w:left="2977" w:hanging="2977"/>
        <w:rPr>
          <w:b/>
          <w:bCs/>
        </w:rPr>
      </w:pPr>
      <w:r>
        <w:rPr>
          <w:b/>
          <w:bCs/>
        </w:rPr>
        <w:t xml:space="preserve">AGENDA ITEM </w:t>
      </w:r>
      <w:r w:rsidR="003E3EB1">
        <w:rPr>
          <w:b/>
          <w:bCs/>
        </w:rPr>
        <w:t>3.</w:t>
      </w:r>
      <w:r w:rsidR="0059550B">
        <w:rPr>
          <w:b/>
          <w:bCs/>
        </w:rPr>
        <w:t>6</w:t>
      </w:r>
      <w:r>
        <w:rPr>
          <w:b/>
          <w:bCs/>
        </w:rPr>
        <w:t>:</w:t>
      </w:r>
      <w:r>
        <w:rPr>
          <w:b/>
          <w:bCs/>
        </w:rPr>
        <w:tab/>
      </w:r>
      <w:r w:rsidR="0059550B">
        <w:rPr>
          <w:b/>
          <w:bCs/>
        </w:rPr>
        <w:t>Requirements for additional representations</w:t>
      </w:r>
    </w:p>
    <w:p w:rsidR="008A7D91" w:rsidRDefault="00712ED1" w:rsidP="00B56934">
      <w:pPr>
        <w:pStyle w:val="Heading1"/>
      </w:pPr>
      <w:bookmarkStart w:id="0" w:name="_APPENDIX_A:_"/>
      <w:bookmarkEnd w:id="0"/>
      <w:r>
        <w:t>Recommended Text</w:t>
      </w:r>
    </w:p>
    <w:p w:rsidR="00712ED1" w:rsidRDefault="00712ED1" w:rsidP="00712ED1">
      <w:pPr>
        <w:rPr>
          <w:lang w:eastAsia="zh-TW"/>
        </w:rPr>
      </w:pPr>
    </w:p>
    <w:p w:rsidR="00712ED1" w:rsidRDefault="003E3EB1" w:rsidP="007C3C55">
      <w:pPr>
        <w:pStyle w:val="Heading3"/>
      </w:pPr>
      <w:r>
        <w:t>3.5</w:t>
      </w:r>
      <w:r w:rsidR="007C3C55">
        <w:tab/>
      </w:r>
      <w:r>
        <w:t>Modifications required to METCE</w:t>
      </w:r>
    </w:p>
    <w:p w:rsidR="00712ED1" w:rsidRDefault="0059550B" w:rsidP="00712ED1">
      <w:pPr>
        <w:pStyle w:val="BodyTextNumbered"/>
      </w:pPr>
      <w:r>
        <w:t xml:space="preserve">« </w:t>
      </w:r>
      <w:r w:rsidRPr="00BE6FAB">
        <w:rPr>
          <w:highlight w:val="yellow"/>
        </w:rPr>
        <w:t>to be added</w:t>
      </w:r>
      <w:r>
        <w:t> »</w:t>
      </w:r>
    </w:p>
    <w:p w:rsidR="00712ED1" w:rsidRDefault="00712ED1" w:rsidP="00712ED1">
      <w:pPr>
        <w:pStyle w:val="Heading1"/>
      </w:pPr>
      <w:r>
        <w:t>BACKGROUND</w:t>
      </w:r>
    </w:p>
    <w:p w:rsidR="0059550B" w:rsidRDefault="0059550B" w:rsidP="0059550B">
      <w:pPr>
        <w:pStyle w:val="BodyTextNumbered"/>
        <w:numPr>
          <w:ilvl w:val="0"/>
          <w:numId w:val="7"/>
        </w:numPr>
      </w:pPr>
      <w:r>
        <w:t>At the time of IPET-MDRD-4, there are no known formal requests f</w:t>
      </w:r>
      <w:r>
        <w:t>or new model driven code forms.</w:t>
      </w:r>
    </w:p>
    <w:p w:rsidR="0059550B" w:rsidRDefault="0059550B" w:rsidP="0059550B">
      <w:pPr>
        <w:pStyle w:val="BodyTextNumbered"/>
        <w:numPr>
          <w:ilvl w:val="0"/>
          <w:numId w:val="7"/>
        </w:numPr>
      </w:pPr>
      <w:r>
        <w:t>But what are the underpinning, unstated requirements for data exc</w:t>
      </w:r>
      <w:r>
        <w:t>hange within the WMO community?</w:t>
      </w:r>
    </w:p>
    <w:p w:rsidR="0059550B" w:rsidRDefault="0059550B" w:rsidP="0059550B">
      <w:pPr>
        <w:pStyle w:val="BodyTextNumbered"/>
        <w:numPr>
          <w:ilvl w:val="0"/>
          <w:numId w:val="7"/>
        </w:numPr>
      </w:pPr>
      <w:r>
        <w:t>WMO provides the framework for international collaboration in the domains of meteorology, climatology and operational hydrology</w:t>
      </w:r>
      <w:r>
        <w:rPr>
          <w:rStyle w:val="FootnoteReference"/>
        </w:rPr>
        <w:footnoteReference w:id="1"/>
      </w:r>
      <w:r>
        <w:t>. The work of WMO</w:t>
      </w:r>
      <w:r>
        <w:rPr>
          <w:rStyle w:val="FootnoteReference"/>
        </w:rPr>
        <w:footnoteReference w:id="2"/>
      </w:r>
      <w:r>
        <w:t xml:space="preserve"> is comprised of:</w:t>
      </w:r>
    </w:p>
    <w:p w:rsidR="0059550B" w:rsidRDefault="0059550B" w:rsidP="0059550B">
      <w:pPr>
        <w:pStyle w:val="BodyTextNumbered"/>
        <w:numPr>
          <w:ilvl w:val="0"/>
          <w:numId w:val="11"/>
        </w:numPr>
      </w:pPr>
      <w:r>
        <w:t>Application services - natural hazards and disaster risk reduction; water resources management; agriculture and food security; transport; ocean; energy; socio-economic development</w:t>
      </w:r>
    </w:p>
    <w:p w:rsidR="0059550B" w:rsidRDefault="0059550B" w:rsidP="0059550B">
      <w:pPr>
        <w:pStyle w:val="BodyTextNumbered"/>
        <w:numPr>
          <w:ilvl w:val="0"/>
          <w:numId w:val="11"/>
        </w:numPr>
      </w:pPr>
      <w:r>
        <w:t>Capacity development - developing and improving human resource plus technical and institutional capacities and infrastructure, particularly in developing, least developed and small island developing states and territories</w:t>
      </w:r>
    </w:p>
    <w:p w:rsidR="0059550B" w:rsidRDefault="0059550B" w:rsidP="0059550B">
      <w:pPr>
        <w:pStyle w:val="BodyTextNumbered"/>
        <w:numPr>
          <w:ilvl w:val="0"/>
          <w:numId w:val="11"/>
        </w:numPr>
      </w:pPr>
      <w:r w:rsidRPr="0059550B">
        <w:rPr>
          <w:b/>
        </w:rPr>
        <w:t>Data exchange and technology transfer</w:t>
      </w:r>
      <w:r>
        <w:t xml:space="preserve"> - WMO facilitates the free and unrestricted exchange of data and information, products and services on matters relating to safety and security of society, economic welfare and the protection of the environment</w:t>
      </w:r>
    </w:p>
    <w:p w:rsidR="0059550B" w:rsidRDefault="0059550B" w:rsidP="0059550B">
      <w:pPr>
        <w:pStyle w:val="BodyTextNumbered"/>
        <w:numPr>
          <w:ilvl w:val="1"/>
          <w:numId w:val="13"/>
        </w:numPr>
      </w:pPr>
      <w:r>
        <w:t xml:space="preserve">meteorological data (World Weather Watch): WIGOS (incorporating GOS), WIS (incorporating GTS) and GDPFS  </w:t>
      </w:r>
    </w:p>
    <w:p w:rsidR="0059550B" w:rsidRDefault="0059550B" w:rsidP="0059550B">
      <w:pPr>
        <w:pStyle w:val="BodyTextNumbered"/>
        <w:numPr>
          <w:ilvl w:val="1"/>
          <w:numId w:val="13"/>
        </w:numPr>
      </w:pPr>
      <w:r>
        <w:t xml:space="preserve">hydrological data: WHOS providing a common entry point to access real-time and hydrological data from information systems of Members </w:t>
      </w:r>
    </w:p>
    <w:p w:rsidR="0059550B" w:rsidRDefault="0059550B" w:rsidP="0059550B">
      <w:pPr>
        <w:pStyle w:val="BodyTextNumbered"/>
        <w:numPr>
          <w:ilvl w:val="1"/>
          <w:numId w:val="13"/>
        </w:numPr>
      </w:pPr>
      <w:r>
        <w:t xml:space="preserve">Global Framework for Climate Services (GFCS): provides a worldwide mechanism for coordinated actions to enhance the quality, quantity and application of climate </w:t>
      </w:r>
      <w:r>
        <w:lastRenderedPageBreak/>
        <w:t xml:space="preserve">services - including definition of policy for the exchange of climate data and products </w:t>
      </w:r>
    </w:p>
    <w:p w:rsidR="0059550B" w:rsidRDefault="0059550B" w:rsidP="0059550B">
      <w:pPr>
        <w:pStyle w:val="BodyTextNumbered"/>
        <w:numPr>
          <w:ilvl w:val="0"/>
          <w:numId w:val="11"/>
        </w:numPr>
      </w:pPr>
      <w:r>
        <w:t>Observations - establishment, maintenance and continuing expansion of global observing networks (GOS, GOOS, GCOS - coordinated within WIGOS)</w:t>
      </w:r>
    </w:p>
    <w:p w:rsidR="0059550B" w:rsidRDefault="0059550B" w:rsidP="0059550B">
      <w:pPr>
        <w:pStyle w:val="BodyTextNumbered"/>
        <w:numPr>
          <w:ilvl w:val="0"/>
          <w:numId w:val="11"/>
        </w:numPr>
      </w:pPr>
      <w:r>
        <w:t>Research - coordinating and organising international research programmes to enhance the ability of Members to improve weather, climate, water and environmental observations, prediction, service delivery and scientific assessments of regional and global environmental conditions</w:t>
      </w:r>
    </w:p>
    <w:p w:rsidR="0059550B" w:rsidRDefault="0059550B" w:rsidP="0059550B">
      <w:pPr>
        <w:pStyle w:val="BodyTextNumbered"/>
        <w:numPr>
          <w:ilvl w:val="0"/>
          <w:numId w:val="7"/>
        </w:numPr>
      </w:pPr>
      <w:r>
        <w:t>A core tenet of the international collaboration fostered by WMO is the routine exchange of data and products in support of operational meteorology and hydrology; these data and products are the lifeblood of NMHS. For a system like the World Weather Watch (WWW), connecting the operational systems of more than 190 organisations, variability is the enemy. Different methods of packaging (or encoding) data must be harmonised so that all participants are providing data in the same way. Change to the methods used in this system must also be tightly controlled to ensure that all participants can accommodate (or mitigate the effects of) updates. This is why we have Technical Regulation and strong governance: it is an essential underpinning of WMO’s interna</w:t>
      </w:r>
      <w:r>
        <w:t>tional collaboration framework.</w:t>
      </w:r>
    </w:p>
    <w:p w:rsidR="0059550B" w:rsidRDefault="0059550B" w:rsidP="0059550B">
      <w:pPr>
        <w:pStyle w:val="BodyTextNumbered"/>
        <w:numPr>
          <w:ilvl w:val="0"/>
          <w:numId w:val="7"/>
        </w:numPr>
      </w:pPr>
      <w:r>
        <w:t>For operational intra-NMHS data exchange, the table-driven code forms (GRIB2, BUFR4) work very well: they are highly optimised for compactness and routine exchange. Given the ‘contract’ that TDCF provide, NMHSs have made, and continue to make, significant investment i</w:t>
      </w:r>
      <w:r>
        <w:t>n the technical infrastructure.</w:t>
      </w:r>
    </w:p>
    <w:p w:rsidR="0059550B" w:rsidRDefault="0059550B" w:rsidP="0059550B">
      <w:pPr>
        <w:pStyle w:val="BodyTextNumbered"/>
        <w:numPr>
          <w:ilvl w:val="0"/>
          <w:numId w:val="7"/>
        </w:numPr>
      </w:pPr>
      <w:r>
        <w:t xml:space="preserve">Developments within the civil aviation sector are leading to the creation of a new technical infrastructure for data exchange employing the Geography </w:t>
      </w:r>
      <w:proofErr w:type="spellStart"/>
      <w:r>
        <w:t>Markup</w:t>
      </w:r>
      <w:proofErr w:type="spellEnd"/>
      <w:r>
        <w:t xml:space="preserve"> Language (GML; ISO 19136). Here, the regulated environment of [international] civil aviation has lea</w:t>
      </w:r>
      <w:r>
        <w:t xml:space="preserve">d to the development of IWXXM. </w:t>
      </w:r>
    </w:p>
    <w:p w:rsidR="0059550B" w:rsidRDefault="0059550B" w:rsidP="0059550B">
      <w:pPr>
        <w:pStyle w:val="BodyTextNumbered"/>
        <w:numPr>
          <w:ilvl w:val="0"/>
          <w:numId w:val="7"/>
        </w:numPr>
      </w:pPr>
      <w:r>
        <w:t xml:space="preserve">Similarly, for the WMO Integrated Global Observing System (WIGOS), NMHS are investing in technical infrastructure to exchange information on observing system capability to comply with the WIGOS Metadata Specification. The need to harmonise the packaging of observing system capability data by all NMHS for transmission to the Observing System Capability Analysis and Review tool (OSCAR) has again lead to the development of a </w:t>
      </w:r>
      <w:r>
        <w:t>regulated data exchange format.</w:t>
      </w:r>
    </w:p>
    <w:p w:rsidR="0059550B" w:rsidRDefault="0059550B" w:rsidP="0059550B">
      <w:pPr>
        <w:pStyle w:val="BodyTextNumbered"/>
        <w:numPr>
          <w:ilvl w:val="0"/>
          <w:numId w:val="7"/>
        </w:numPr>
      </w:pPr>
      <w:r>
        <w:t>The common factor in each of these examples is that the data exchange involves all NMHS - or at least a large proportion of them - and does not vary significantly from day to day. Collectively, Members agree to establish and comply with technical regulation to make it simpler for individual Members to operate these routine</w:t>
      </w:r>
      <w:r>
        <w:t xml:space="preserve"> activities within the network.</w:t>
      </w:r>
    </w:p>
    <w:p w:rsidR="0059550B" w:rsidRDefault="0059550B" w:rsidP="0059550B">
      <w:pPr>
        <w:pStyle w:val="BodyTextNumbered"/>
        <w:numPr>
          <w:ilvl w:val="0"/>
          <w:numId w:val="7"/>
        </w:numPr>
      </w:pPr>
      <w:r>
        <w:t>This provides some reasonable criteria to determine which of the WMO Programmes</w:t>
      </w:r>
      <w:r>
        <w:rPr>
          <w:rStyle w:val="FootnoteReference"/>
        </w:rPr>
        <w:footnoteReference w:id="3"/>
      </w:r>
      <w:r>
        <w:t xml:space="preserve"> with which we should engage to seek out requirements for new model-driven code forms to include in </w:t>
      </w:r>
      <w:r w:rsidRPr="00F00493">
        <w:rPr>
          <w:b/>
        </w:rPr>
        <w:t>Technical Regulation</w:t>
      </w:r>
      <w:r>
        <w:t xml:space="preserve">. Once we have determined which WMO Programmes (and Technical Commissions) meet these criteria, we must also determine the appropriate mode of engagement to elicit these requirements. </w:t>
      </w:r>
    </w:p>
    <w:p w:rsidR="0059550B" w:rsidRDefault="0059550B" w:rsidP="0059550B">
      <w:pPr>
        <w:pStyle w:val="BodyTextNumbered"/>
        <w:numPr>
          <w:ilvl w:val="0"/>
          <w:numId w:val="7"/>
        </w:numPr>
      </w:pPr>
      <w:r>
        <w:t>[</w:t>
      </w:r>
      <w:r w:rsidRPr="0059550B">
        <w:rPr>
          <w:i/>
        </w:rPr>
        <w:t>Discussion</w:t>
      </w:r>
      <w:r>
        <w:t xml:space="preserve">]   </w:t>
      </w:r>
    </w:p>
    <w:p w:rsidR="0059550B" w:rsidRDefault="0059550B" w:rsidP="0059550B">
      <w:pPr>
        <w:pStyle w:val="BodyTextNumbered"/>
        <w:numPr>
          <w:ilvl w:val="0"/>
          <w:numId w:val="7"/>
        </w:numPr>
      </w:pPr>
      <w:r>
        <w:t>Yet what about data exchange that is beyond the scope of this intra-NMHS backbone? For example, data exchange between NMHS and other agencies within their domain of operation; or for non-routine data exchange; or for data exchange within a smaller group or region?</w:t>
      </w:r>
    </w:p>
    <w:p w:rsidR="0059550B" w:rsidRDefault="0059550B" w:rsidP="0059550B">
      <w:pPr>
        <w:pStyle w:val="BodyTextNumbered"/>
        <w:numPr>
          <w:ilvl w:val="0"/>
          <w:numId w:val="7"/>
        </w:numPr>
      </w:pPr>
      <w:r>
        <w:lastRenderedPageBreak/>
        <w:t>The WMO Convention reaffirms the importance of NMHSs in observing and understanding weather and climate and in providing related services in support of national needs</w:t>
      </w:r>
      <w:r>
        <w:rPr>
          <w:rStyle w:val="FootnoteReference"/>
        </w:rPr>
        <w:footnoteReference w:id="4"/>
      </w:r>
      <w:r>
        <w:t xml:space="preserve">, especially when it pertains to: </w:t>
      </w:r>
    </w:p>
    <w:p w:rsidR="00F00493" w:rsidRDefault="00F00493" w:rsidP="00F00493">
      <w:pPr>
        <w:pStyle w:val="ListParagraph"/>
        <w:numPr>
          <w:ilvl w:val="0"/>
          <w:numId w:val="14"/>
        </w:numPr>
      </w:pPr>
      <w:r>
        <w:t>Protection of life and property;</w:t>
      </w:r>
      <w:r w:rsidR="0059550B">
        <w:t xml:space="preserve"> </w:t>
      </w:r>
    </w:p>
    <w:p w:rsidR="00F00493" w:rsidRDefault="0059550B" w:rsidP="00F00493">
      <w:pPr>
        <w:pStyle w:val="ListParagraph"/>
        <w:numPr>
          <w:ilvl w:val="0"/>
          <w:numId w:val="14"/>
        </w:numPr>
      </w:pPr>
      <w:r>
        <w:t>Safe</w:t>
      </w:r>
      <w:r w:rsidR="00F00493">
        <w:t xml:space="preserve">guarding the environment; </w:t>
      </w:r>
    </w:p>
    <w:p w:rsidR="00F00493" w:rsidRDefault="0059550B" w:rsidP="00F00493">
      <w:pPr>
        <w:pStyle w:val="ListParagraph"/>
        <w:numPr>
          <w:ilvl w:val="0"/>
          <w:numId w:val="14"/>
        </w:numPr>
      </w:pPr>
      <w:r>
        <w:t>Contribu</w:t>
      </w:r>
      <w:r w:rsidR="00F00493">
        <w:t>ting to sustainable development;</w:t>
      </w:r>
    </w:p>
    <w:p w:rsidR="00F00493" w:rsidRDefault="0059550B" w:rsidP="00F00493">
      <w:pPr>
        <w:pStyle w:val="ListParagraph"/>
        <w:numPr>
          <w:ilvl w:val="0"/>
          <w:numId w:val="14"/>
        </w:numPr>
      </w:pPr>
      <w:r>
        <w:t xml:space="preserve">Promoting long-term observation and collection of meteorological, hydrological and </w:t>
      </w:r>
      <w:proofErr w:type="spellStart"/>
      <w:r>
        <w:t>climatological</w:t>
      </w:r>
      <w:proofErr w:type="spellEnd"/>
      <w:r>
        <w:t xml:space="preserve"> data, inclu</w:t>
      </w:r>
      <w:r w:rsidR="00F00493">
        <w:t>ding related environmental data;</w:t>
      </w:r>
    </w:p>
    <w:p w:rsidR="00F00493" w:rsidRDefault="0059550B" w:rsidP="00F00493">
      <w:pPr>
        <w:pStyle w:val="ListParagraph"/>
        <w:numPr>
          <w:ilvl w:val="0"/>
          <w:numId w:val="14"/>
        </w:numPr>
      </w:pPr>
      <w:r>
        <w:t>Promotion of endogenous capacity</w:t>
      </w:r>
      <w:r w:rsidR="00F00493">
        <w:t xml:space="preserve"> development;</w:t>
      </w:r>
    </w:p>
    <w:p w:rsidR="00F00493" w:rsidRDefault="0059550B" w:rsidP="00F00493">
      <w:pPr>
        <w:pStyle w:val="ListParagraph"/>
        <w:numPr>
          <w:ilvl w:val="0"/>
          <w:numId w:val="14"/>
        </w:numPr>
      </w:pPr>
      <w:r>
        <w:t>Me</w:t>
      </w:r>
      <w:r w:rsidR="00F00493">
        <w:t>eting international commitments;</w:t>
      </w:r>
      <w:r>
        <w:t xml:space="preserve"> and </w:t>
      </w:r>
    </w:p>
    <w:p w:rsidR="0059550B" w:rsidRDefault="0059550B" w:rsidP="00F00493">
      <w:pPr>
        <w:pStyle w:val="ListParagraph"/>
        <w:numPr>
          <w:ilvl w:val="0"/>
          <w:numId w:val="14"/>
        </w:numPr>
      </w:pPr>
      <w:r>
        <w:t>Contributing t</w:t>
      </w:r>
      <w:r w:rsidR="00F00493">
        <w:t>o international cooperation.</w:t>
      </w:r>
    </w:p>
    <w:p w:rsidR="0059550B" w:rsidRDefault="0059550B" w:rsidP="00F00493">
      <w:pPr>
        <w:pStyle w:val="BodyTextNumbered"/>
        <w:numPr>
          <w:ilvl w:val="0"/>
          <w:numId w:val="7"/>
        </w:numPr>
      </w:pPr>
      <w:r>
        <w:t>In order for NMHS to provide early, reliable warnings of severe weather, fluctuations in air quality and climate variability and change that enable governments, commerce and citizens be better prepared for such natural hazards it is essential that they are able to propagate data and information to these organisations and individuals. Furthermore, WMO recognises that it is no longer the purview of NMHS alone to operate observing networks that can contribute to our understanding of the atmosphere, oceans and water resources. Increasingly, Members are acquiring observations from academic and commercial networks as well as ‘crowd-sourcing’ observations</w:t>
      </w:r>
      <w:r w:rsidR="00F00493">
        <w:t xml:space="preserve"> from individual citizens.</w:t>
      </w:r>
    </w:p>
    <w:p w:rsidR="0059550B" w:rsidRDefault="0059550B" w:rsidP="00F00493">
      <w:pPr>
        <w:pStyle w:val="BodyTextNumbered"/>
        <w:numPr>
          <w:ilvl w:val="0"/>
          <w:numId w:val="7"/>
        </w:numPr>
      </w:pPr>
      <w:r>
        <w:t xml:space="preserve">These requirements yield new challenges (data services, big data, crowd-sourcing, </w:t>
      </w:r>
      <w:proofErr w:type="spellStart"/>
      <w:r>
        <w:t>IoT</w:t>
      </w:r>
      <w:proofErr w:type="spellEnd"/>
      <w:r>
        <w:t xml:space="preserve"> etc.) to which the WMO community can collectively contribute. This is reflected in the activities of the Commission for Basic Systems (CBS)</w:t>
      </w:r>
      <w:r w:rsidR="00F00493" w:rsidRPr="00F00493">
        <w:rPr>
          <w:rStyle w:val="FootnoteReference"/>
        </w:rPr>
        <w:footnoteReference w:id="5"/>
      </w:r>
      <w:r>
        <w:t xml:space="preserve">: the development, implementation and operation of integrated systems for observing, data processing, data communication and data management […] in response to requirements of all WMO programmes and </w:t>
      </w:r>
      <w:r w:rsidRPr="00F00493">
        <w:rPr>
          <w:b/>
        </w:rPr>
        <w:t>opportunities offered by technological developments</w:t>
      </w:r>
      <w:r w:rsidR="00F00493">
        <w:t>.</w:t>
      </w:r>
    </w:p>
    <w:p w:rsidR="0059550B" w:rsidRDefault="0059550B" w:rsidP="0059550B">
      <w:pPr>
        <w:pStyle w:val="BodyTextNumbered"/>
        <w:numPr>
          <w:ilvl w:val="0"/>
          <w:numId w:val="7"/>
        </w:numPr>
      </w:pPr>
      <w:r>
        <w:t xml:space="preserve">It is not feasible to provide Technical Regulation for such a breadth of challenges- or at least not in the current mode of operation employed within WWW/DM: </w:t>
      </w:r>
    </w:p>
    <w:p w:rsidR="0059550B" w:rsidRDefault="0059550B" w:rsidP="00F00493">
      <w:pPr>
        <w:pStyle w:val="BodyTextNumbered"/>
        <w:numPr>
          <w:ilvl w:val="1"/>
          <w:numId w:val="7"/>
        </w:numPr>
        <w:ind w:left="1134" w:hanging="774"/>
      </w:pPr>
      <w:r>
        <w:t>lack of capacity would result in the incumbent Expert Team be a bottleneck to the adoption of new solutions</w:t>
      </w:r>
    </w:p>
    <w:p w:rsidR="0059550B" w:rsidRDefault="0059550B" w:rsidP="00F00493">
      <w:pPr>
        <w:pStyle w:val="BodyTextNumbered"/>
        <w:numPr>
          <w:ilvl w:val="1"/>
          <w:numId w:val="7"/>
        </w:numPr>
        <w:ind w:left="1134" w:hanging="774"/>
      </w:pPr>
      <w:r>
        <w:t>transposing each challenge into Technical Regulation would result in an excessive amount of regulation to maintain and govern against</w:t>
      </w:r>
    </w:p>
    <w:p w:rsidR="0059550B" w:rsidRDefault="0059550B" w:rsidP="00F00493">
      <w:pPr>
        <w:pStyle w:val="BodyTextNumbered"/>
        <w:numPr>
          <w:ilvl w:val="1"/>
          <w:numId w:val="7"/>
        </w:numPr>
        <w:ind w:left="1134" w:hanging="774"/>
      </w:pPr>
      <w:r>
        <w:t>innovation would be stifled as Technical Regulation does not allow for incremental improvement through implementation experience</w:t>
      </w:r>
    </w:p>
    <w:p w:rsidR="0059550B" w:rsidRDefault="0059550B" w:rsidP="00F00493">
      <w:pPr>
        <w:pStyle w:val="BodyTextNumbered"/>
        <w:numPr>
          <w:ilvl w:val="0"/>
          <w:numId w:val="7"/>
        </w:numPr>
      </w:pPr>
      <w:r>
        <w:t>The difficulty in iterating toward improved solutions is illustrated by the experiences of TT-</w:t>
      </w:r>
      <w:proofErr w:type="spellStart"/>
      <w:r>
        <w:t>AvXML</w:t>
      </w:r>
      <w:proofErr w:type="spellEnd"/>
      <w:r>
        <w:t xml:space="preserve"> in their attempts to respond to feedback from system implementers. Similarly, WIGOSMD lacks implementation experience raising concerns about its readiness for inclusion in Technical Regulation.</w:t>
      </w:r>
    </w:p>
    <w:p w:rsidR="0059550B" w:rsidRDefault="0059550B" w:rsidP="00F00493">
      <w:pPr>
        <w:pStyle w:val="BodyTextNumbered"/>
        <w:numPr>
          <w:ilvl w:val="0"/>
          <w:numId w:val="7"/>
        </w:numPr>
      </w:pPr>
      <w:r>
        <w:t>One pattern that may be adopted is that used in INSPIRE- where the Implementing Rules (the ‘regulation’) are supplemented by Technical Guidelines. Perhaps the WIGOSMD Application Scheme should be published as ‘Technical Guidance’ that provides a simple route for compliance with the WIGOS Metadata specification?</w:t>
      </w:r>
    </w:p>
    <w:p w:rsidR="0059550B" w:rsidRDefault="0059550B" w:rsidP="00F00493">
      <w:pPr>
        <w:pStyle w:val="BodyTextNumbered"/>
        <w:numPr>
          <w:ilvl w:val="0"/>
          <w:numId w:val="7"/>
        </w:numPr>
      </w:pPr>
      <w:r>
        <w:t>However, even that approach doesn’t resolve the capacity concern.</w:t>
      </w:r>
    </w:p>
    <w:p w:rsidR="0059550B" w:rsidRDefault="0059550B" w:rsidP="0059550B">
      <w:pPr>
        <w:pStyle w:val="BodyTextNumbered"/>
        <w:numPr>
          <w:ilvl w:val="0"/>
          <w:numId w:val="7"/>
        </w:numPr>
      </w:pPr>
      <w:r>
        <w:lastRenderedPageBreak/>
        <w:t xml:space="preserve">Perhaps what we need to establish is a culture of ‘permissive’ data exchange; unless there is a compelling need to regulate an aspect of data exchange, we should be encouraging the WMO community to just get on with sharing their data in a way that meets their needs to the best of their ability. Moreover, the Expert Team should seek to provide guidance on “how” best to share data- </w:t>
      </w:r>
    </w:p>
    <w:p w:rsidR="0059550B" w:rsidRDefault="0059550B" w:rsidP="00F00493">
      <w:pPr>
        <w:pStyle w:val="BodyTextNumbered"/>
        <w:numPr>
          <w:ilvl w:val="1"/>
          <w:numId w:val="7"/>
        </w:numPr>
        <w:ind w:left="1134" w:hanging="774"/>
      </w:pPr>
      <w:r>
        <w:t>by providing visibility to the work of Members that has already been proven through implementation experience so that it might be re-used by others;</w:t>
      </w:r>
    </w:p>
    <w:p w:rsidR="0059550B" w:rsidRDefault="0059550B" w:rsidP="00F00493">
      <w:pPr>
        <w:pStyle w:val="BodyTextNumbered"/>
        <w:numPr>
          <w:ilvl w:val="1"/>
          <w:numId w:val="7"/>
        </w:numPr>
        <w:ind w:left="1134" w:hanging="774"/>
      </w:pPr>
      <w:r>
        <w:t>by identifying where Members are attempting to solve the same, or similar, challenges and encouraging participants to collaborate; and</w:t>
      </w:r>
    </w:p>
    <w:p w:rsidR="0059550B" w:rsidRDefault="0059550B" w:rsidP="00F00493">
      <w:pPr>
        <w:pStyle w:val="BodyTextNumbered"/>
        <w:numPr>
          <w:ilvl w:val="1"/>
          <w:numId w:val="7"/>
        </w:numPr>
        <w:ind w:left="1134" w:hanging="774"/>
      </w:pPr>
      <w:proofErr w:type="gramStart"/>
      <w:r>
        <w:t>by</w:t>
      </w:r>
      <w:proofErr w:type="gramEnd"/>
      <w:r>
        <w:t xml:space="preserve"> providing guidance what constitutes good practice for data exchange.</w:t>
      </w:r>
    </w:p>
    <w:p w:rsidR="0059550B" w:rsidRDefault="0059550B" w:rsidP="00F00493">
      <w:pPr>
        <w:pStyle w:val="BodyTextNumbered"/>
        <w:numPr>
          <w:ilvl w:val="0"/>
          <w:numId w:val="7"/>
        </w:numPr>
      </w:pPr>
      <w:r>
        <w:t>Through this approach, WMO would enable effective data sharing patterns and implementations to emerge from the wider community. The work of IPET-MDRD and its Task Teams has already done a tremendous amount of work to establish a methodology for creating model-driven code forms. That said, more Guidance material on data modelling and the derivation of, say, XML Schema, is necessary if we are to expect the community to follow those patterns.</w:t>
      </w:r>
    </w:p>
    <w:p w:rsidR="0059550B" w:rsidRDefault="0059550B" w:rsidP="00F00493">
      <w:pPr>
        <w:pStyle w:val="BodyTextNumbered"/>
        <w:numPr>
          <w:ilvl w:val="0"/>
          <w:numId w:val="7"/>
        </w:numPr>
      </w:pPr>
      <w:r>
        <w:t>Such a ‘coordination’ role is consistent with the mandate of Technical Commissions as stated in Article 19a of the Convention: to establish methodology and procedures and to make recommendations to EC and Congress</w:t>
      </w:r>
      <w:r w:rsidR="00F00493">
        <w:rPr>
          <w:rStyle w:val="FootnoteReference"/>
        </w:rPr>
        <w:footnoteReference w:id="6"/>
      </w:r>
      <w:r>
        <w:t>. The role of Technical Commissions is not to take on the work of the Members themselves.</w:t>
      </w:r>
    </w:p>
    <w:p w:rsidR="0059550B" w:rsidRDefault="0059550B" w:rsidP="00F00493">
      <w:pPr>
        <w:pStyle w:val="BodyTextNumbered"/>
        <w:numPr>
          <w:ilvl w:val="0"/>
          <w:numId w:val="7"/>
        </w:numPr>
      </w:pPr>
      <w:r>
        <w:t>Fortunately, the defining good practice for data exchange is a concern that is not unique to WMO. The vision of the Data Activity</w:t>
      </w:r>
      <w:r w:rsidR="00F00493">
        <w:rPr>
          <w:rStyle w:val="FootnoteReference"/>
        </w:rPr>
        <w:footnoteReference w:id="7"/>
      </w:r>
      <w:r>
        <w:t xml:space="preserve"> within the World Wide Web Consortium</w:t>
      </w:r>
      <w:r w:rsidR="00F00493">
        <w:rPr>
          <w:rStyle w:val="FootnoteReference"/>
        </w:rPr>
        <w:footnoteReference w:id="8"/>
      </w:r>
      <w:r w:rsidR="00F00493">
        <w:t xml:space="preserve"> (W3C)</w:t>
      </w:r>
      <w:r>
        <w:t xml:space="preserve"> is that “people and organisations should be able to share data as far as possible using their existing tools and working practices but in a way that enables others to derive and add value, and to utilise it in ways that suit them”; which resonates with data exchange needs of the [wider] WMO community.</w:t>
      </w:r>
    </w:p>
    <w:p w:rsidR="0059550B" w:rsidRDefault="0059550B" w:rsidP="0059550B">
      <w:pPr>
        <w:pStyle w:val="BodyTextNumbered"/>
        <w:numPr>
          <w:ilvl w:val="0"/>
          <w:numId w:val="7"/>
        </w:numPr>
      </w:pPr>
      <w:r>
        <w:t>Of particular relevance is the work of the Data on the Web Best Practices Working Group</w:t>
      </w:r>
      <w:r w:rsidR="00F00493">
        <w:rPr>
          <w:rStyle w:val="FootnoteReference"/>
        </w:rPr>
        <w:footnoteReference w:id="9"/>
      </w:r>
      <w:r>
        <w:t xml:space="preserve"> whose Best Practices deliverable (editor’s draft</w:t>
      </w:r>
      <w:r w:rsidR="00F00493">
        <w:rPr>
          <w:rStyle w:val="FootnoteReference"/>
        </w:rPr>
        <w:footnoteReference w:id="10"/>
      </w:r>
      <w:r>
        <w:t>; currently in the process of being released as a Candidate Recommendation for final review) “provides Best Practices related to the publication and usage of data on the Web designed to help support a self-sustaining ecosystem”. The set of best practices (see Summary</w:t>
      </w:r>
      <w:r w:rsidR="00F00493">
        <w:rPr>
          <w:rStyle w:val="FootnoteReference"/>
        </w:rPr>
        <w:footnoteReference w:id="11"/>
      </w:r>
      <w:r>
        <w:t>) are pertinent to the exchange of data from any thematic domain. The best practices are organised in the following sections:</w:t>
      </w:r>
    </w:p>
    <w:p w:rsidR="0059550B" w:rsidRDefault="0059550B" w:rsidP="00FC1258">
      <w:pPr>
        <w:pStyle w:val="ListParagraph"/>
        <w:numPr>
          <w:ilvl w:val="0"/>
          <w:numId w:val="15"/>
        </w:numPr>
      </w:pPr>
      <w:r>
        <w:t>Metadata</w:t>
      </w:r>
    </w:p>
    <w:p w:rsidR="0059550B" w:rsidRDefault="0059550B" w:rsidP="00FC1258">
      <w:pPr>
        <w:pStyle w:val="ListParagraph"/>
        <w:numPr>
          <w:ilvl w:val="0"/>
          <w:numId w:val="15"/>
        </w:numPr>
      </w:pPr>
      <w:r>
        <w:t>Data Licenses</w:t>
      </w:r>
    </w:p>
    <w:p w:rsidR="0059550B" w:rsidRDefault="0059550B" w:rsidP="00FC1258">
      <w:pPr>
        <w:pStyle w:val="ListParagraph"/>
        <w:numPr>
          <w:ilvl w:val="0"/>
          <w:numId w:val="15"/>
        </w:numPr>
      </w:pPr>
      <w:r>
        <w:t>Data Provenance</w:t>
      </w:r>
    </w:p>
    <w:p w:rsidR="0059550B" w:rsidRDefault="0059550B" w:rsidP="00FC1258">
      <w:pPr>
        <w:pStyle w:val="ListParagraph"/>
        <w:numPr>
          <w:ilvl w:val="0"/>
          <w:numId w:val="15"/>
        </w:numPr>
      </w:pPr>
      <w:r>
        <w:t>Data Quality</w:t>
      </w:r>
    </w:p>
    <w:p w:rsidR="0059550B" w:rsidRDefault="0059550B" w:rsidP="00FC1258">
      <w:pPr>
        <w:pStyle w:val="ListParagraph"/>
        <w:numPr>
          <w:ilvl w:val="0"/>
          <w:numId w:val="15"/>
        </w:numPr>
      </w:pPr>
      <w:r>
        <w:t>Data Versioning</w:t>
      </w:r>
    </w:p>
    <w:p w:rsidR="0059550B" w:rsidRDefault="0059550B" w:rsidP="00FC1258">
      <w:pPr>
        <w:pStyle w:val="ListParagraph"/>
        <w:numPr>
          <w:ilvl w:val="0"/>
          <w:numId w:val="15"/>
        </w:numPr>
      </w:pPr>
      <w:r>
        <w:t>Data Identifiers</w:t>
      </w:r>
    </w:p>
    <w:p w:rsidR="0059550B" w:rsidRDefault="0059550B" w:rsidP="00FC1258">
      <w:pPr>
        <w:pStyle w:val="ListParagraph"/>
        <w:numPr>
          <w:ilvl w:val="0"/>
          <w:numId w:val="15"/>
        </w:numPr>
      </w:pPr>
      <w:r>
        <w:t>Data Formats</w:t>
      </w:r>
    </w:p>
    <w:p w:rsidR="0059550B" w:rsidRDefault="0059550B" w:rsidP="00FC1258">
      <w:pPr>
        <w:pStyle w:val="ListParagraph"/>
        <w:numPr>
          <w:ilvl w:val="0"/>
          <w:numId w:val="15"/>
        </w:numPr>
      </w:pPr>
      <w:r>
        <w:t>Data Vocabularies</w:t>
      </w:r>
    </w:p>
    <w:p w:rsidR="0059550B" w:rsidRDefault="0059550B" w:rsidP="00FC1258">
      <w:pPr>
        <w:pStyle w:val="ListParagraph"/>
        <w:numPr>
          <w:ilvl w:val="0"/>
          <w:numId w:val="15"/>
        </w:numPr>
      </w:pPr>
      <w:r>
        <w:lastRenderedPageBreak/>
        <w:t>Sensitive Data</w:t>
      </w:r>
    </w:p>
    <w:p w:rsidR="0059550B" w:rsidRDefault="0059550B" w:rsidP="00FC1258">
      <w:pPr>
        <w:pStyle w:val="ListParagraph"/>
        <w:numPr>
          <w:ilvl w:val="0"/>
          <w:numId w:val="15"/>
        </w:numPr>
      </w:pPr>
      <w:r>
        <w:t>Data Access</w:t>
      </w:r>
    </w:p>
    <w:p w:rsidR="0059550B" w:rsidRDefault="0059550B" w:rsidP="00FC1258">
      <w:pPr>
        <w:pStyle w:val="ListParagraph"/>
        <w:numPr>
          <w:ilvl w:val="0"/>
          <w:numId w:val="15"/>
        </w:numPr>
      </w:pPr>
      <w:r>
        <w:t>Data Preservation</w:t>
      </w:r>
    </w:p>
    <w:p w:rsidR="0059550B" w:rsidRDefault="0059550B" w:rsidP="00FC1258">
      <w:pPr>
        <w:pStyle w:val="ListParagraph"/>
        <w:numPr>
          <w:ilvl w:val="0"/>
          <w:numId w:val="15"/>
        </w:numPr>
      </w:pPr>
      <w:r>
        <w:t>Feedback</w:t>
      </w:r>
    </w:p>
    <w:p w:rsidR="0059550B" w:rsidRDefault="0059550B" w:rsidP="00FC1258">
      <w:pPr>
        <w:pStyle w:val="ListParagraph"/>
        <w:numPr>
          <w:ilvl w:val="0"/>
          <w:numId w:val="15"/>
        </w:numPr>
      </w:pPr>
      <w:r>
        <w:t>Data Enrichment</w:t>
      </w:r>
    </w:p>
    <w:p w:rsidR="0059550B" w:rsidRDefault="0059550B" w:rsidP="00FC1258">
      <w:pPr>
        <w:pStyle w:val="ListParagraph"/>
        <w:numPr>
          <w:ilvl w:val="0"/>
          <w:numId w:val="15"/>
        </w:numPr>
      </w:pPr>
      <w:r>
        <w:t>Republication</w:t>
      </w:r>
    </w:p>
    <w:p w:rsidR="0059550B" w:rsidRDefault="0059550B" w:rsidP="00FC1258">
      <w:pPr>
        <w:pStyle w:val="BodyTextNumbered"/>
        <w:numPr>
          <w:ilvl w:val="0"/>
          <w:numId w:val="7"/>
        </w:numPr>
      </w:pPr>
      <w:r>
        <w:t>While not all best practices are applicable for every situation, each practice is categorised by the benefits it supports</w:t>
      </w:r>
      <w:r w:rsidR="00FC1258">
        <w:rPr>
          <w:rStyle w:val="FootnoteReference"/>
        </w:rPr>
        <w:footnoteReference w:id="12"/>
      </w:r>
      <w:r w:rsidR="00FC1258">
        <w:t xml:space="preserve">. </w:t>
      </w:r>
    </w:p>
    <w:p w:rsidR="00FC1258" w:rsidRDefault="0059550B" w:rsidP="0059550B">
      <w:pPr>
        <w:pStyle w:val="BodyTextNumbered"/>
        <w:numPr>
          <w:ilvl w:val="0"/>
          <w:numId w:val="7"/>
        </w:numPr>
      </w:pPr>
      <w:r>
        <w:t xml:space="preserve">Could the Data on the Web Best Practices (DWBP) form the basis of Guidelines that WMO endorses to help Members achieve their data exchange goals? </w:t>
      </w:r>
    </w:p>
    <w:p w:rsidR="0059550B" w:rsidRDefault="0059550B" w:rsidP="00FC1258">
      <w:pPr>
        <w:pStyle w:val="BodyTextNumbered"/>
        <w:numPr>
          <w:ilvl w:val="0"/>
          <w:numId w:val="7"/>
        </w:numPr>
      </w:pPr>
      <w:r>
        <w:t>[</w:t>
      </w:r>
      <w:r w:rsidRPr="00FC1258">
        <w:rPr>
          <w:i/>
        </w:rPr>
        <w:t>Discussion</w:t>
      </w:r>
      <w:r>
        <w:t>]</w:t>
      </w:r>
    </w:p>
    <w:p w:rsidR="00FC1258" w:rsidRDefault="0059550B" w:rsidP="0059550B">
      <w:pPr>
        <w:pStyle w:val="BodyTextNumbered"/>
        <w:numPr>
          <w:ilvl w:val="0"/>
          <w:numId w:val="7"/>
        </w:numPr>
      </w:pPr>
      <w:r>
        <w:t>Should WMO seek to establish a Memorandum of Understanding (</w:t>
      </w:r>
      <w:proofErr w:type="spellStart"/>
      <w:r>
        <w:t>MoU</w:t>
      </w:r>
      <w:proofErr w:type="spellEnd"/>
      <w:r>
        <w:t xml:space="preserve">) with W3C in the same way that </w:t>
      </w:r>
      <w:proofErr w:type="spellStart"/>
      <w:r>
        <w:t>MoU’s</w:t>
      </w:r>
      <w:proofErr w:type="spellEnd"/>
      <w:r>
        <w:t xml:space="preserve"> already exist with the Open Geospatial Consortium (OGC) and ISO/TC 211 ‘Geographic Information’? </w:t>
      </w:r>
    </w:p>
    <w:p w:rsidR="0059550B" w:rsidRDefault="0059550B" w:rsidP="00FC1258">
      <w:pPr>
        <w:pStyle w:val="BodyTextNumbered"/>
        <w:numPr>
          <w:ilvl w:val="0"/>
          <w:numId w:val="7"/>
        </w:numPr>
      </w:pPr>
      <w:r>
        <w:t>[</w:t>
      </w:r>
      <w:r w:rsidRPr="00FC1258">
        <w:rPr>
          <w:i/>
        </w:rPr>
        <w:t>Discussion</w:t>
      </w:r>
      <w:r>
        <w:t>]</w:t>
      </w:r>
    </w:p>
    <w:p w:rsidR="0059550B" w:rsidRDefault="0059550B" w:rsidP="00FC1258">
      <w:pPr>
        <w:pStyle w:val="BodyTextNumbered"/>
        <w:numPr>
          <w:ilvl w:val="0"/>
          <w:numId w:val="7"/>
        </w:numPr>
      </w:pPr>
      <w:r>
        <w:t>One aspect of data exchange in particular deserves special attention: vocabularies. These define the concepts and relationships (also referred to as “terms” or “attributes”) used to describe and represent an area of interest. They are used to classify the terms that can be used in a particular application, characterise possible relationships, and define possible constraints on using those terms. A vocabulary may manifest as a data model - such as those used to underpin the ‘model-driven code forms’ - or it may be as simple as set of well defined term</w:t>
      </w:r>
      <w:r w:rsidR="00FC1258">
        <w:t>s managed as a code list. Which</w:t>
      </w:r>
      <w:r>
        <w:t>ever style of vocabulary is used, it is essential that each of terms, classes, properties etc. are uniquely identified so that they can be referenced by the data formats and specifications used when exchanging, enabling the meaning of the data to be stately clearly.</w:t>
      </w:r>
    </w:p>
    <w:p w:rsidR="0059550B" w:rsidRDefault="0059550B" w:rsidP="00FC1258">
      <w:pPr>
        <w:pStyle w:val="BodyTextNumbered"/>
        <w:numPr>
          <w:ilvl w:val="0"/>
          <w:numId w:val="7"/>
        </w:numPr>
      </w:pPr>
      <w:r>
        <w:t>Data on the Web best practice #15 ‘Reuse vocabularies, pr</w:t>
      </w:r>
      <w:r w:rsidR="00FC1258">
        <w:t>eferably standardized ones’</w:t>
      </w:r>
      <w:r w:rsidR="00FC1258">
        <w:rPr>
          <w:rStyle w:val="FootnoteReference"/>
        </w:rPr>
        <w:footnoteReference w:id="13"/>
      </w:r>
      <w:r>
        <w:t xml:space="preserve"> states: </w:t>
      </w:r>
    </w:p>
    <w:p w:rsidR="0059550B" w:rsidRDefault="0059550B" w:rsidP="00FC1258">
      <w:pPr>
        <w:pStyle w:val="Quote"/>
        <w:ind w:left="360"/>
      </w:pPr>
      <w:r>
        <w:t>“Use of vocabularies already in use by others captures and facilitates consensus in communities. It increases interoperability and reduces redundancies, thereby encouraging reuse of your own data.”</w:t>
      </w:r>
    </w:p>
    <w:p w:rsidR="0059550B" w:rsidRDefault="0059550B" w:rsidP="00FC1258">
      <w:pPr>
        <w:pStyle w:val="BodyTextNumbered"/>
        <w:numPr>
          <w:ilvl w:val="0"/>
          <w:numId w:val="7"/>
        </w:numPr>
      </w:pPr>
      <w:r>
        <w:t>This is an aspect as which WMO excels. The code tables and their terms, published in WMO No. 306 Manual on Codes, underpin broad swathes of data exchange within the WMO community. With their (re-)publication as Linked Data resources in the WMO Codes Registry</w:t>
      </w:r>
      <w:r w:rsidR="00FC1258">
        <w:rPr>
          <w:rStyle w:val="FootnoteReference"/>
        </w:rPr>
        <w:footnoteReference w:id="14"/>
      </w:r>
      <w:r>
        <w:t>, these terms are now available for convenient reuse by the wider WMO community. In doing so, their data exchange can reference the authoritative definitions that are diligently maintained by the expert community to ensure that meaning of data is interpreted and understood consistently.</w:t>
      </w:r>
    </w:p>
    <w:p w:rsidR="0059550B" w:rsidRDefault="0059550B" w:rsidP="00FC1258">
      <w:pPr>
        <w:pStyle w:val="BodyTextNumbered"/>
        <w:numPr>
          <w:ilvl w:val="0"/>
          <w:numId w:val="7"/>
        </w:numPr>
      </w:pPr>
      <w:r>
        <w:t xml:space="preserve">Even with those code tables and terms from WMO No. 306 there is still a large amount of work to do regarding the WMO Codes Registry: notably adding meaningful definitions to terms (e.g. from the International Vocabulary of Meteorology), adding translations in the </w:t>
      </w:r>
      <w:r>
        <w:lastRenderedPageBreak/>
        <w:t>working languages of WMO and creating cross-links between similar or related terms (both within other WMO code lists and those used by other organis</w:t>
      </w:r>
      <w:r w:rsidR="00FC1258">
        <w:t>ations; e.g. CF conventions</w:t>
      </w:r>
      <w:r w:rsidR="00FC1258">
        <w:rPr>
          <w:rStyle w:val="FootnoteReference"/>
        </w:rPr>
        <w:footnoteReference w:id="15"/>
      </w:r>
      <w:r>
        <w:t>).</w:t>
      </w:r>
    </w:p>
    <w:p w:rsidR="0059550B" w:rsidRDefault="0059550B" w:rsidP="00FC1258">
      <w:pPr>
        <w:pStyle w:val="BodyTextNumbered"/>
        <w:numPr>
          <w:ilvl w:val="0"/>
          <w:numId w:val="7"/>
        </w:numPr>
      </w:pPr>
      <w:r>
        <w:t>However, at present the ‘vocabular</w:t>
      </w:r>
      <w:r w:rsidR="00FC1258">
        <w:t>ies</w:t>
      </w:r>
      <w:r>
        <w:t xml:space="preserve">’ that data models such as METCE and IWXXM provide are not published at all. ISO 19150-2:2015 ‘Geographic information — Ontology — Part 2: Rules for developing </w:t>
      </w:r>
      <w:proofErr w:type="spellStart"/>
      <w:r>
        <w:t>ontologies</w:t>
      </w:r>
      <w:proofErr w:type="spellEnd"/>
      <w:r>
        <w:t xml:space="preserve"> in the Web Ontology Language (OWL)’ provides rules for transforming data models, or rather Application Schema that derive from the General Feature Model (see ISO 19109:2015 ‘Geographic information — Rules for application schema’), into resources that are able to be published within the WMO Codes Registry as Linked Data resources. This is an essential step in enabling the wider community to reuse the data models that have been created thus far. For example, in response to requirements from NWS and Met Office, the </w:t>
      </w:r>
      <w:r w:rsidR="00FC1258">
        <w:t>‘</w:t>
      </w:r>
      <w:proofErr w:type="spellStart"/>
      <w:r>
        <w:t>metarelate</w:t>
      </w:r>
      <w:proofErr w:type="spellEnd"/>
      <w:r w:rsidR="00FC1258">
        <w:t>’</w:t>
      </w:r>
      <w:r>
        <w:t xml:space="preserve"> project has identified four opportunities to reuse to the Observable Property Model (OPM) to describe statistical processing</w:t>
      </w:r>
      <w:r w:rsidR="00FC1258">
        <w:rPr>
          <w:rStyle w:val="FootnoteReference"/>
        </w:rPr>
        <w:footnoteReference w:id="16"/>
      </w:r>
      <w:r>
        <w:t xml:space="preserve"> in combination with third-party vocabularies such as the Uncertainty </w:t>
      </w:r>
      <w:proofErr w:type="spellStart"/>
      <w:r>
        <w:t>Markup</w:t>
      </w:r>
      <w:proofErr w:type="spellEnd"/>
      <w:r>
        <w:t xml:space="preserve"> Language</w:t>
      </w:r>
      <w:r w:rsidR="00FC1258">
        <w:rPr>
          <w:rStyle w:val="FootnoteReference"/>
        </w:rPr>
        <w:footnoteReference w:id="17"/>
      </w:r>
      <w:r w:rsidR="00FC1258">
        <w:t xml:space="preserve"> (</w:t>
      </w:r>
      <w:proofErr w:type="spellStart"/>
      <w:r w:rsidR="00FC1258">
        <w:t>uncertml</w:t>
      </w:r>
      <w:proofErr w:type="spellEnd"/>
      <w:r w:rsidR="00FC1258">
        <w:t>)</w:t>
      </w:r>
      <w:r>
        <w:t>.</w:t>
      </w:r>
    </w:p>
    <w:p w:rsidR="0059550B" w:rsidRPr="00FC1258" w:rsidRDefault="0059550B" w:rsidP="00FC1258">
      <w:pPr>
        <w:pStyle w:val="BodyTextNumbered"/>
        <w:numPr>
          <w:ilvl w:val="0"/>
          <w:numId w:val="7"/>
        </w:numPr>
        <w:rPr>
          <w:i/>
          <w:iCs/>
          <w:color w:val="808080" w:themeColor="text1" w:themeTint="7F"/>
        </w:rPr>
      </w:pPr>
      <w:r w:rsidRPr="00FC1258">
        <w:rPr>
          <w:rStyle w:val="SubtleEmphasis"/>
        </w:rPr>
        <w:t>Aside: It is worth noting that the availability of normative definitions from data models to underpin encoding standards (</w:t>
      </w:r>
      <w:proofErr w:type="spellStart"/>
      <w:r w:rsidRPr="00FC1258">
        <w:rPr>
          <w:rStyle w:val="SubtleEmphasis"/>
        </w:rPr>
        <w:t>GroundwaterML</w:t>
      </w:r>
      <w:proofErr w:type="spellEnd"/>
      <w:r w:rsidRPr="00FC1258">
        <w:rPr>
          <w:rStyle w:val="SubtleEmphasis"/>
        </w:rPr>
        <w:t xml:space="preserve"> and </w:t>
      </w:r>
      <w:proofErr w:type="spellStart"/>
      <w:r w:rsidRPr="00FC1258">
        <w:rPr>
          <w:rStyle w:val="SubtleEmphasis"/>
        </w:rPr>
        <w:t>GeoscienceML</w:t>
      </w:r>
      <w:proofErr w:type="spellEnd"/>
      <w:r w:rsidRPr="00FC1258">
        <w:rPr>
          <w:rStyle w:val="SubtleEmphasis"/>
        </w:rPr>
        <w:t>) is a topic currently being discussed within the Open Geospatial Consortium’s Architecture Board (OAB). The key challenge is to be able to demonstrate that information exchanged can be tested for conformance with the data model, thus enabling multiple encodings to be used to transport such information.</w:t>
      </w:r>
    </w:p>
    <w:p w:rsidR="0059550B" w:rsidRDefault="0059550B" w:rsidP="00FC1258">
      <w:pPr>
        <w:pStyle w:val="BodyTextNumbered"/>
        <w:numPr>
          <w:ilvl w:val="0"/>
          <w:numId w:val="7"/>
        </w:numPr>
      </w:pPr>
      <w:r>
        <w:t xml:space="preserve">Put simply, there is huge value to be obtained from continuing to publish WMO’s controlled vocabularies within the WMO Codes Registry and from complementing those with conceptual data models published as </w:t>
      </w:r>
      <w:proofErr w:type="spellStart"/>
      <w:r>
        <w:t>ontologies</w:t>
      </w:r>
      <w:proofErr w:type="spellEnd"/>
      <w:r>
        <w:t>; effectively turning the WMO Codes Registry into a Feature Type Catalogue.</w:t>
      </w:r>
    </w:p>
    <w:p w:rsidR="0059550B" w:rsidRDefault="0059550B" w:rsidP="0059550B">
      <w:pPr>
        <w:pStyle w:val="BodyTextNumbered"/>
        <w:numPr>
          <w:ilvl w:val="0"/>
          <w:numId w:val="7"/>
        </w:numPr>
      </w:pPr>
      <w:r>
        <w:t>In summary, in addition to eliciting requirements from WMO Programmes and Technical Commissions relating to routine, intra-NMHS data exchange, we should also be developing a body of guidance that enables Members to effectively deliver against their own data sharing needs. We should provide visibility to proven design patterns and implementations from Members and help determine where Members might effectively collaborate to deliver common goals.</w:t>
      </w:r>
    </w:p>
    <w:p w:rsidR="0059550B" w:rsidRPr="006D4764" w:rsidRDefault="0059550B" w:rsidP="0059550B">
      <w:pPr>
        <w:pStyle w:val="BodyTextNumbered"/>
        <w:numPr>
          <w:ilvl w:val="0"/>
          <w:numId w:val="0"/>
        </w:numPr>
        <w:ind w:left="360" w:hanging="360"/>
        <w:rPr>
          <w:lang w:eastAsia="en-US"/>
        </w:rPr>
      </w:pPr>
    </w:p>
    <w:sectPr w:rsidR="0059550B" w:rsidRPr="006D4764" w:rsidSect="007700EE">
      <w:footerReference w:type="default" r:id="rId9"/>
      <w:pgSz w:w="11907" w:h="16840" w:code="9"/>
      <w:pgMar w:top="1134" w:right="1134" w:bottom="1134" w:left="1134" w:header="1134" w:footer="1134"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1D27" w:rsidRDefault="00401D27">
      <w:r>
        <w:separator/>
      </w:r>
    </w:p>
    <w:p w:rsidR="00401D27" w:rsidRDefault="00401D27"/>
    <w:p w:rsidR="00401D27" w:rsidRDefault="00401D27"/>
  </w:endnote>
  <w:endnote w:type="continuationSeparator" w:id="0">
    <w:p w:rsidR="00401D27" w:rsidRDefault="00401D27">
      <w:r>
        <w:continuationSeparator/>
      </w:r>
    </w:p>
    <w:p w:rsidR="00401D27" w:rsidRDefault="00401D27"/>
    <w:p w:rsidR="00401D27" w:rsidRDefault="00401D2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20B0704020202020204"/>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6138925"/>
      <w:docPartObj>
        <w:docPartGallery w:val="Page Numbers (Bottom of Page)"/>
        <w:docPartUnique/>
      </w:docPartObj>
    </w:sdtPr>
    <w:sdtContent>
      <w:p w:rsidR="004D7BD3" w:rsidRDefault="00EF45BD">
        <w:pPr>
          <w:pStyle w:val="Footer"/>
          <w:jc w:val="right"/>
        </w:pPr>
        <w:fldSimple w:instr=" PAGE   \* MERGEFORMAT ">
          <w:r w:rsidR="00FC1258">
            <w:rPr>
              <w:noProof/>
            </w:rPr>
            <w:t>1</w:t>
          </w:r>
        </w:fldSimple>
      </w:p>
    </w:sdtContent>
  </w:sdt>
  <w:p w:rsidR="004D7BD3" w:rsidRDefault="004D7BD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1D27" w:rsidRDefault="00401D27">
      <w:r>
        <w:separator/>
      </w:r>
    </w:p>
  </w:footnote>
  <w:footnote w:type="continuationSeparator" w:id="0">
    <w:p w:rsidR="00401D27" w:rsidRDefault="00401D27">
      <w:r>
        <w:continuationSeparator/>
      </w:r>
    </w:p>
    <w:p w:rsidR="00401D27" w:rsidRDefault="00401D27"/>
    <w:p w:rsidR="00401D27" w:rsidRDefault="00401D27"/>
  </w:footnote>
  <w:footnote w:id="1">
    <w:p w:rsidR="0059550B" w:rsidRDefault="0059550B">
      <w:pPr>
        <w:pStyle w:val="FootnoteText"/>
      </w:pPr>
      <w:r>
        <w:rPr>
          <w:rStyle w:val="FootnoteReference"/>
        </w:rPr>
        <w:footnoteRef/>
      </w:r>
      <w:r>
        <w:t xml:space="preserve"> </w:t>
      </w:r>
      <w:hyperlink r:id="rId1" w:history="1">
        <w:r w:rsidRPr="00BC6298">
          <w:rPr>
            <w:rStyle w:val="Hyperlink"/>
          </w:rPr>
          <w:t>http://public.wmo.int/en/our-mandate</w:t>
        </w:r>
      </w:hyperlink>
      <w:r>
        <w:t xml:space="preserve"> </w:t>
      </w:r>
    </w:p>
  </w:footnote>
  <w:footnote w:id="2">
    <w:p w:rsidR="0059550B" w:rsidRDefault="0059550B">
      <w:pPr>
        <w:pStyle w:val="FootnoteText"/>
      </w:pPr>
      <w:r>
        <w:rPr>
          <w:rStyle w:val="FootnoteReference"/>
        </w:rPr>
        <w:footnoteRef/>
      </w:r>
      <w:r>
        <w:t xml:space="preserve"> </w:t>
      </w:r>
      <w:hyperlink r:id="rId2" w:history="1">
        <w:r w:rsidRPr="00BC6298">
          <w:rPr>
            <w:rStyle w:val="Hyperlink"/>
          </w:rPr>
          <w:t>http://public.wmo.int/en/our-mandate/what-we-do</w:t>
        </w:r>
      </w:hyperlink>
      <w:r>
        <w:t xml:space="preserve"> </w:t>
      </w:r>
    </w:p>
  </w:footnote>
  <w:footnote w:id="3">
    <w:p w:rsidR="0059550B" w:rsidRDefault="0059550B">
      <w:pPr>
        <w:pStyle w:val="FootnoteText"/>
      </w:pPr>
      <w:r>
        <w:rPr>
          <w:rStyle w:val="FootnoteReference"/>
        </w:rPr>
        <w:footnoteRef/>
      </w:r>
      <w:r>
        <w:t xml:space="preserve"> </w:t>
      </w:r>
      <w:hyperlink r:id="rId3" w:history="1">
        <w:r w:rsidRPr="00BC6298">
          <w:rPr>
            <w:rStyle w:val="Hyperlink"/>
          </w:rPr>
          <w:t>http://public.wmo.int/en/programmes</w:t>
        </w:r>
      </w:hyperlink>
      <w:r>
        <w:t xml:space="preserve"> </w:t>
      </w:r>
    </w:p>
  </w:footnote>
  <w:footnote w:id="4">
    <w:p w:rsidR="0059550B" w:rsidRDefault="0059550B">
      <w:pPr>
        <w:pStyle w:val="FootnoteText"/>
      </w:pPr>
      <w:r>
        <w:rPr>
          <w:rStyle w:val="FootnoteReference"/>
        </w:rPr>
        <w:footnoteRef/>
      </w:r>
      <w:r>
        <w:t xml:space="preserve"> </w:t>
      </w:r>
      <w:hyperlink r:id="rId4" w:history="1">
        <w:r w:rsidRPr="00BC6298">
          <w:rPr>
            <w:rStyle w:val="Hyperlink"/>
          </w:rPr>
          <w:t>http://public.wmo.int/en/our-mandate/how-we-do-it/role-and-operation-of-nmhss</w:t>
        </w:r>
      </w:hyperlink>
      <w:r>
        <w:t xml:space="preserve"> </w:t>
      </w:r>
    </w:p>
  </w:footnote>
  <w:footnote w:id="5">
    <w:p w:rsidR="00F00493" w:rsidRDefault="00F00493" w:rsidP="00F00493">
      <w:pPr>
        <w:pStyle w:val="FootnoteText"/>
      </w:pPr>
      <w:r>
        <w:rPr>
          <w:rStyle w:val="FootnoteReference"/>
        </w:rPr>
        <w:footnoteRef/>
      </w:r>
      <w:r>
        <w:t xml:space="preserve"> </w:t>
      </w:r>
      <w:hyperlink r:id="rId5" w:history="1">
        <w:r w:rsidRPr="00BC6298">
          <w:rPr>
            <w:rStyle w:val="Hyperlink"/>
          </w:rPr>
          <w:t>http://public.wmo.int/en/our-mandate/how-we-do-it/technical-commissions/commission-basic-systems-cbs</w:t>
        </w:r>
      </w:hyperlink>
      <w:r>
        <w:t xml:space="preserve"> </w:t>
      </w:r>
    </w:p>
  </w:footnote>
  <w:footnote w:id="6">
    <w:p w:rsidR="00F00493" w:rsidRDefault="00F00493">
      <w:pPr>
        <w:pStyle w:val="FootnoteText"/>
      </w:pPr>
      <w:r>
        <w:rPr>
          <w:rStyle w:val="FootnoteReference"/>
        </w:rPr>
        <w:footnoteRef/>
      </w:r>
      <w:r>
        <w:t xml:space="preserve"> </w:t>
      </w:r>
      <w:hyperlink r:id="rId6" w:history="1">
        <w:r w:rsidRPr="00BC6298">
          <w:rPr>
            <w:rStyle w:val="Hyperlink"/>
          </w:rPr>
          <w:t>http://public.wmo.int/en/our-mandate/how-we-do-it/technical-commissions</w:t>
        </w:r>
      </w:hyperlink>
      <w:r>
        <w:t xml:space="preserve"> </w:t>
      </w:r>
    </w:p>
  </w:footnote>
  <w:footnote w:id="7">
    <w:p w:rsidR="00F00493" w:rsidRDefault="00F00493">
      <w:pPr>
        <w:pStyle w:val="FootnoteText"/>
      </w:pPr>
      <w:r>
        <w:rPr>
          <w:rStyle w:val="FootnoteReference"/>
        </w:rPr>
        <w:footnoteRef/>
      </w:r>
      <w:r>
        <w:t xml:space="preserve"> </w:t>
      </w:r>
      <w:hyperlink r:id="rId7" w:history="1">
        <w:r w:rsidRPr="00BC6298">
          <w:rPr>
            <w:rStyle w:val="Hyperlink"/>
          </w:rPr>
          <w:t>http://www.w3.org/2013/data/</w:t>
        </w:r>
      </w:hyperlink>
      <w:r>
        <w:t xml:space="preserve"> </w:t>
      </w:r>
    </w:p>
  </w:footnote>
  <w:footnote w:id="8">
    <w:p w:rsidR="00F00493" w:rsidRDefault="00F00493">
      <w:pPr>
        <w:pStyle w:val="FootnoteText"/>
      </w:pPr>
      <w:r>
        <w:rPr>
          <w:rStyle w:val="FootnoteReference"/>
        </w:rPr>
        <w:footnoteRef/>
      </w:r>
      <w:r>
        <w:t xml:space="preserve"> </w:t>
      </w:r>
      <w:hyperlink r:id="rId8" w:history="1">
        <w:r w:rsidRPr="00BC6298">
          <w:rPr>
            <w:rStyle w:val="Hyperlink"/>
          </w:rPr>
          <w:t>http://www.w3.org</w:t>
        </w:r>
      </w:hyperlink>
      <w:r>
        <w:t xml:space="preserve"> </w:t>
      </w:r>
    </w:p>
  </w:footnote>
  <w:footnote w:id="9">
    <w:p w:rsidR="00F00493" w:rsidRDefault="00F00493">
      <w:pPr>
        <w:pStyle w:val="FootnoteText"/>
      </w:pPr>
      <w:r>
        <w:rPr>
          <w:rStyle w:val="FootnoteReference"/>
        </w:rPr>
        <w:footnoteRef/>
      </w:r>
      <w:r>
        <w:t xml:space="preserve"> </w:t>
      </w:r>
      <w:hyperlink r:id="rId9" w:history="1">
        <w:r w:rsidRPr="00BC6298">
          <w:rPr>
            <w:rStyle w:val="Hyperlink"/>
          </w:rPr>
          <w:t>http://www.w3.org/2013/dwbp/wiki/Main_Page</w:t>
        </w:r>
      </w:hyperlink>
      <w:r>
        <w:t xml:space="preserve"> </w:t>
      </w:r>
    </w:p>
  </w:footnote>
  <w:footnote w:id="10">
    <w:p w:rsidR="00F00493" w:rsidRDefault="00F00493">
      <w:pPr>
        <w:pStyle w:val="FootnoteText"/>
      </w:pPr>
      <w:r>
        <w:rPr>
          <w:rStyle w:val="FootnoteReference"/>
        </w:rPr>
        <w:footnoteRef/>
      </w:r>
      <w:r>
        <w:t xml:space="preserve"> </w:t>
      </w:r>
      <w:hyperlink r:id="rId10" w:history="1">
        <w:r w:rsidRPr="00BC6298">
          <w:rPr>
            <w:rStyle w:val="Hyperlink"/>
          </w:rPr>
          <w:t>http://w3c.github.io/dwbp/bp.html</w:t>
        </w:r>
      </w:hyperlink>
      <w:r>
        <w:t xml:space="preserve"> </w:t>
      </w:r>
    </w:p>
  </w:footnote>
  <w:footnote w:id="11">
    <w:p w:rsidR="00F00493" w:rsidRDefault="00F00493">
      <w:pPr>
        <w:pStyle w:val="FootnoteText"/>
      </w:pPr>
      <w:r>
        <w:rPr>
          <w:rStyle w:val="FootnoteReference"/>
        </w:rPr>
        <w:footnoteRef/>
      </w:r>
      <w:r>
        <w:t xml:space="preserve"> </w:t>
      </w:r>
      <w:hyperlink r:id="rId11" w:history="1">
        <w:r w:rsidRPr="00BC6298">
          <w:rPr>
            <w:rStyle w:val="Hyperlink"/>
          </w:rPr>
          <w:t>http://w3c.github.io/dwbp/bp.html#bp-summary</w:t>
        </w:r>
      </w:hyperlink>
      <w:r>
        <w:t xml:space="preserve"> </w:t>
      </w:r>
    </w:p>
  </w:footnote>
  <w:footnote w:id="12">
    <w:p w:rsidR="00FC1258" w:rsidRDefault="00FC1258">
      <w:pPr>
        <w:pStyle w:val="FootnoteText"/>
      </w:pPr>
      <w:r>
        <w:rPr>
          <w:rStyle w:val="FootnoteReference"/>
        </w:rPr>
        <w:footnoteRef/>
      </w:r>
      <w:r>
        <w:t xml:space="preserve"> </w:t>
      </w:r>
      <w:hyperlink r:id="rId12" w:history="1">
        <w:r w:rsidRPr="00BC6298">
          <w:rPr>
            <w:rStyle w:val="Hyperlink"/>
          </w:rPr>
          <w:t>http://w3c.github.io/dwbp/bp.html#BP_Benefits</w:t>
        </w:r>
      </w:hyperlink>
      <w:r>
        <w:t xml:space="preserve"> </w:t>
      </w:r>
    </w:p>
  </w:footnote>
  <w:footnote w:id="13">
    <w:p w:rsidR="00FC1258" w:rsidRDefault="00FC1258">
      <w:pPr>
        <w:pStyle w:val="FootnoteText"/>
      </w:pPr>
      <w:r>
        <w:rPr>
          <w:rStyle w:val="FootnoteReference"/>
        </w:rPr>
        <w:footnoteRef/>
      </w:r>
      <w:r>
        <w:t xml:space="preserve"> </w:t>
      </w:r>
      <w:hyperlink r:id="rId13" w:history="1">
        <w:r w:rsidRPr="00BC6298">
          <w:rPr>
            <w:rStyle w:val="Hyperlink"/>
          </w:rPr>
          <w:t>http://w3c.github.io/dwbp/bp.html#ReuseVocabularies</w:t>
        </w:r>
      </w:hyperlink>
      <w:r>
        <w:t xml:space="preserve"> </w:t>
      </w:r>
    </w:p>
  </w:footnote>
  <w:footnote w:id="14">
    <w:p w:rsidR="00FC1258" w:rsidRDefault="00FC1258">
      <w:pPr>
        <w:pStyle w:val="FootnoteText"/>
      </w:pPr>
      <w:r>
        <w:rPr>
          <w:rStyle w:val="FootnoteReference"/>
        </w:rPr>
        <w:footnoteRef/>
      </w:r>
      <w:r>
        <w:t xml:space="preserve"> </w:t>
      </w:r>
      <w:hyperlink r:id="rId14" w:history="1">
        <w:r w:rsidRPr="00BC6298">
          <w:rPr>
            <w:rStyle w:val="Hyperlink"/>
          </w:rPr>
          <w:t>http://codes.wmo.int</w:t>
        </w:r>
      </w:hyperlink>
      <w:r>
        <w:t xml:space="preserve"> </w:t>
      </w:r>
    </w:p>
  </w:footnote>
  <w:footnote w:id="15">
    <w:p w:rsidR="00FC1258" w:rsidRDefault="00FC1258">
      <w:pPr>
        <w:pStyle w:val="FootnoteText"/>
      </w:pPr>
      <w:r>
        <w:rPr>
          <w:rStyle w:val="FootnoteReference"/>
        </w:rPr>
        <w:footnoteRef/>
      </w:r>
      <w:r>
        <w:t xml:space="preserve"> </w:t>
      </w:r>
      <w:hyperlink r:id="rId15" w:history="1">
        <w:r w:rsidRPr="00BC6298">
          <w:rPr>
            <w:rStyle w:val="Hyperlink"/>
          </w:rPr>
          <w:t>http://cfconventions.org</w:t>
        </w:r>
      </w:hyperlink>
      <w:r>
        <w:t xml:space="preserve"> </w:t>
      </w:r>
    </w:p>
  </w:footnote>
  <w:footnote w:id="16">
    <w:p w:rsidR="00FC1258" w:rsidRDefault="00FC1258">
      <w:pPr>
        <w:pStyle w:val="FootnoteText"/>
      </w:pPr>
      <w:r>
        <w:rPr>
          <w:rStyle w:val="FootnoteReference"/>
        </w:rPr>
        <w:footnoteRef/>
      </w:r>
      <w:r>
        <w:t xml:space="preserve"> </w:t>
      </w:r>
      <w:hyperlink r:id="rId16" w:history="1">
        <w:r w:rsidRPr="00BC6298">
          <w:rPr>
            <w:rStyle w:val="Hyperlink"/>
          </w:rPr>
          <w:t>https://github.com/metarelate/statistical-process/issues</w:t>
        </w:r>
      </w:hyperlink>
      <w:r>
        <w:t xml:space="preserve"> </w:t>
      </w:r>
    </w:p>
  </w:footnote>
  <w:footnote w:id="17">
    <w:p w:rsidR="00FC1258" w:rsidRDefault="00FC1258">
      <w:pPr>
        <w:pStyle w:val="FootnoteText"/>
      </w:pPr>
      <w:r>
        <w:rPr>
          <w:rStyle w:val="FootnoteReference"/>
        </w:rPr>
        <w:footnoteRef/>
      </w:r>
      <w:r>
        <w:t xml:space="preserve"> </w:t>
      </w:r>
      <w:hyperlink r:id="rId17" w:history="1">
        <w:r w:rsidRPr="00BC6298">
          <w:rPr>
            <w:rStyle w:val="Hyperlink"/>
          </w:rPr>
          <w:t>http://www.uncertml.org</w:t>
        </w:r>
      </w:hyperlink>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nsid w:val="1556425B"/>
    <w:multiLevelType w:val="hybridMultilevel"/>
    <w:tmpl w:val="CBE0FA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A632A6"/>
    <w:multiLevelType w:val="hybridMultilevel"/>
    <w:tmpl w:val="A40E5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4">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D2E6B33"/>
    <w:multiLevelType w:val="multilevel"/>
    <w:tmpl w:val="81AAE310"/>
    <w:lvl w:ilvl="0">
      <w:start w:val="1"/>
      <w:numFmt w:val="bullet"/>
      <w:lvlText w:val=""/>
      <w:lvlJc w:val="left"/>
      <w:pPr>
        <w:tabs>
          <w:tab w:val="num" w:pos="1080"/>
        </w:tabs>
        <w:ind w:left="720" w:hanging="360"/>
      </w:pPr>
      <w:rPr>
        <w:rFonts w:ascii="Symbol" w:hAnsi="Symbol" w:hint="default"/>
      </w:rPr>
    </w:lvl>
    <w:lvl w:ilvl="1">
      <w:start w:val="1"/>
      <w:numFmt w:val="decimal"/>
      <w:lvlText w:val="%1.%2."/>
      <w:lvlJc w:val="left"/>
      <w:pPr>
        <w:tabs>
          <w:tab w:val="num" w:pos="1800"/>
        </w:tabs>
        <w:ind w:left="1152" w:hanging="432"/>
      </w:pPr>
    </w:lvl>
    <w:lvl w:ilvl="2">
      <w:start w:val="1"/>
      <w:numFmt w:val="decimal"/>
      <w:lvlText w:val="%1.%2.%3."/>
      <w:lvlJc w:val="left"/>
      <w:pPr>
        <w:tabs>
          <w:tab w:val="num" w:pos="2520"/>
        </w:tabs>
        <w:ind w:left="1584" w:hanging="504"/>
      </w:pPr>
    </w:lvl>
    <w:lvl w:ilvl="3">
      <w:start w:val="1"/>
      <w:numFmt w:val="decimal"/>
      <w:lvlText w:val="%1.%2.%3.%4."/>
      <w:lvlJc w:val="left"/>
      <w:pPr>
        <w:tabs>
          <w:tab w:val="num" w:pos="3240"/>
        </w:tabs>
        <w:ind w:left="2088" w:hanging="648"/>
      </w:pPr>
    </w:lvl>
    <w:lvl w:ilvl="4">
      <w:start w:val="1"/>
      <w:numFmt w:val="decimal"/>
      <w:lvlText w:val="%1.%2.%3.%4.%5."/>
      <w:lvlJc w:val="left"/>
      <w:pPr>
        <w:tabs>
          <w:tab w:val="num" w:pos="3960"/>
        </w:tabs>
        <w:ind w:left="2592" w:hanging="792"/>
      </w:pPr>
    </w:lvl>
    <w:lvl w:ilvl="5">
      <w:start w:val="1"/>
      <w:numFmt w:val="decimal"/>
      <w:lvlText w:val="%1.%2.%3.%4.%5.%6."/>
      <w:lvlJc w:val="left"/>
      <w:pPr>
        <w:tabs>
          <w:tab w:val="num" w:pos="4680"/>
        </w:tabs>
        <w:ind w:left="3096" w:hanging="936"/>
      </w:pPr>
    </w:lvl>
    <w:lvl w:ilvl="6">
      <w:start w:val="1"/>
      <w:numFmt w:val="decimal"/>
      <w:lvlText w:val="%1.%2.%3.%4.%5.%6.%7."/>
      <w:lvlJc w:val="left"/>
      <w:pPr>
        <w:tabs>
          <w:tab w:val="num" w:pos="5400"/>
        </w:tabs>
        <w:ind w:left="3600" w:hanging="1080"/>
      </w:pPr>
    </w:lvl>
    <w:lvl w:ilvl="7">
      <w:start w:val="1"/>
      <w:numFmt w:val="decimal"/>
      <w:lvlText w:val="%1.%2.%3.%4.%5.%6.%7.%8."/>
      <w:lvlJc w:val="left"/>
      <w:pPr>
        <w:tabs>
          <w:tab w:val="num" w:pos="6120"/>
        </w:tabs>
        <w:ind w:left="4104" w:hanging="1224"/>
      </w:pPr>
    </w:lvl>
    <w:lvl w:ilvl="8">
      <w:start w:val="1"/>
      <w:numFmt w:val="decimal"/>
      <w:lvlText w:val="%1.%2.%3.%4.%5.%6.%7.%8.%9."/>
      <w:lvlJc w:val="left"/>
      <w:pPr>
        <w:tabs>
          <w:tab w:val="num" w:pos="6840"/>
        </w:tabs>
        <w:ind w:left="4680" w:hanging="1440"/>
      </w:pPr>
    </w:lvl>
  </w:abstractNum>
  <w:abstractNum w:abstractNumId="6">
    <w:nsid w:val="35AA09FE"/>
    <w:multiLevelType w:val="hybridMultilevel"/>
    <w:tmpl w:val="FA5895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9762BE3"/>
    <w:multiLevelType w:val="hybridMultilevel"/>
    <w:tmpl w:val="72F47C8A"/>
    <w:lvl w:ilvl="0" w:tplc="5E8C9D1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9">
    <w:nsid w:val="4E5562ED"/>
    <w:multiLevelType w:val="multilevel"/>
    <w:tmpl w:val="81AAE310"/>
    <w:lvl w:ilvl="0">
      <w:start w:val="1"/>
      <w:numFmt w:val="bullet"/>
      <w:lvlText w:val=""/>
      <w:lvlJc w:val="left"/>
      <w:pPr>
        <w:tabs>
          <w:tab w:val="num" w:pos="1080"/>
        </w:tabs>
        <w:ind w:left="720" w:hanging="360"/>
      </w:pPr>
      <w:rPr>
        <w:rFonts w:ascii="Symbol" w:hAnsi="Symbol" w:hint="default"/>
      </w:rPr>
    </w:lvl>
    <w:lvl w:ilvl="1">
      <w:start w:val="1"/>
      <w:numFmt w:val="decimal"/>
      <w:lvlText w:val="%1.%2."/>
      <w:lvlJc w:val="left"/>
      <w:pPr>
        <w:tabs>
          <w:tab w:val="num" w:pos="1800"/>
        </w:tabs>
        <w:ind w:left="1152" w:hanging="432"/>
      </w:pPr>
    </w:lvl>
    <w:lvl w:ilvl="2">
      <w:start w:val="1"/>
      <w:numFmt w:val="decimal"/>
      <w:lvlText w:val="%1.%2.%3."/>
      <w:lvlJc w:val="left"/>
      <w:pPr>
        <w:tabs>
          <w:tab w:val="num" w:pos="2520"/>
        </w:tabs>
        <w:ind w:left="1584" w:hanging="504"/>
      </w:pPr>
    </w:lvl>
    <w:lvl w:ilvl="3">
      <w:start w:val="1"/>
      <w:numFmt w:val="decimal"/>
      <w:lvlText w:val="%1.%2.%3.%4."/>
      <w:lvlJc w:val="left"/>
      <w:pPr>
        <w:tabs>
          <w:tab w:val="num" w:pos="3240"/>
        </w:tabs>
        <w:ind w:left="2088" w:hanging="648"/>
      </w:pPr>
    </w:lvl>
    <w:lvl w:ilvl="4">
      <w:start w:val="1"/>
      <w:numFmt w:val="decimal"/>
      <w:lvlText w:val="%1.%2.%3.%4.%5."/>
      <w:lvlJc w:val="left"/>
      <w:pPr>
        <w:tabs>
          <w:tab w:val="num" w:pos="3960"/>
        </w:tabs>
        <w:ind w:left="2592" w:hanging="792"/>
      </w:pPr>
    </w:lvl>
    <w:lvl w:ilvl="5">
      <w:start w:val="1"/>
      <w:numFmt w:val="decimal"/>
      <w:lvlText w:val="%1.%2.%3.%4.%5.%6."/>
      <w:lvlJc w:val="left"/>
      <w:pPr>
        <w:tabs>
          <w:tab w:val="num" w:pos="4680"/>
        </w:tabs>
        <w:ind w:left="3096" w:hanging="936"/>
      </w:pPr>
    </w:lvl>
    <w:lvl w:ilvl="6">
      <w:start w:val="1"/>
      <w:numFmt w:val="decimal"/>
      <w:lvlText w:val="%1.%2.%3.%4.%5.%6.%7."/>
      <w:lvlJc w:val="left"/>
      <w:pPr>
        <w:tabs>
          <w:tab w:val="num" w:pos="5400"/>
        </w:tabs>
        <w:ind w:left="3600" w:hanging="1080"/>
      </w:pPr>
    </w:lvl>
    <w:lvl w:ilvl="7">
      <w:start w:val="1"/>
      <w:numFmt w:val="decimal"/>
      <w:lvlText w:val="%1.%2.%3.%4.%5.%6.%7.%8."/>
      <w:lvlJc w:val="left"/>
      <w:pPr>
        <w:tabs>
          <w:tab w:val="num" w:pos="6120"/>
        </w:tabs>
        <w:ind w:left="4104" w:hanging="1224"/>
      </w:pPr>
    </w:lvl>
    <w:lvl w:ilvl="8">
      <w:start w:val="1"/>
      <w:numFmt w:val="decimal"/>
      <w:lvlText w:val="%1.%2.%3.%4.%5.%6.%7.%8.%9."/>
      <w:lvlJc w:val="left"/>
      <w:pPr>
        <w:tabs>
          <w:tab w:val="num" w:pos="6840"/>
        </w:tabs>
        <w:ind w:left="4680" w:hanging="1440"/>
      </w:pPr>
    </w:lvl>
  </w:abstractNum>
  <w:abstractNum w:abstractNumId="1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6B2563F"/>
    <w:multiLevelType w:val="multilevel"/>
    <w:tmpl w:val="F5765186"/>
    <w:lvl w:ilvl="0">
      <w:start w:val="1"/>
      <w:numFmt w:val="bullet"/>
      <w:lvlText w:val=""/>
      <w:lvlJc w:val="left"/>
      <w:pPr>
        <w:tabs>
          <w:tab w:val="num" w:pos="1080"/>
        </w:tabs>
        <w:ind w:left="720" w:hanging="360"/>
      </w:pPr>
      <w:rPr>
        <w:rFonts w:ascii="Symbol" w:hAnsi="Symbol" w:hint="default"/>
      </w:rPr>
    </w:lvl>
    <w:lvl w:ilvl="1">
      <w:start w:val="1"/>
      <w:numFmt w:val="bullet"/>
      <w:lvlText w:val=""/>
      <w:lvlJc w:val="left"/>
      <w:pPr>
        <w:tabs>
          <w:tab w:val="num" w:pos="1800"/>
        </w:tabs>
        <w:ind w:left="1152" w:hanging="432"/>
      </w:pPr>
      <w:rPr>
        <w:rFonts w:ascii="Wingdings" w:hAnsi="Wingdings" w:hint="default"/>
      </w:rPr>
    </w:lvl>
    <w:lvl w:ilvl="2">
      <w:start w:val="1"/>
      <w:numFmt w:val="decimal"/>
      <w:lvlText w:val="%1.%2.%3."/>
      <w:lvlJc w:val="left"/>
      <w:pPr>
        <w:tabs>
          <w:tab w:val="num" w:pos="2520"/>
        </w:tabs>
        <w:ind w:left="1584" w:hanging="504"/>
      </w:pPr>
    </w:lvl>
    <w:lvl w:ilvl="3">
      <w:start w:val="1"/>
      <w:numFmt w:val="decimal"/>
      <w:lvlText w:val="%1.%2.%3.%4."/>
      <w:lvlJc w:val="left"/>
      <w:pPr>
        <w:tabs>
          <w:tab w:val="num" w:pos="3240"/>
        </w:tabs>
        <w:ind w:left="2088" w:hanging="648"/>
      </w:pPr>
    </w:lvl>
    <w:lvl w:ilvl="4">
      <w:start w:val="1"/>
      <w:numFmt w:val="decimal"/>
      <w:lvlText w:val="%1.%2.%3.%4.%5."/>
      <w:lvlJc w:val="left"/>
      <w:pPr>
        <w:tabs>
          <w:tab w:val="num" w:pos="3960"/>
        </w:tabs>
        <w:ind w:left="2592" w:hanging="792"/>
      </w:pPr>
    </w:lvl>
    <w:lvl w:ilvl="5">
      <w:start w:val="1"/>
      <w:numFmt w:val="decimal"/>
      <w:lvlText w:val="%1.%2.%3.%4.%5.%6."/>
      <w:lvlJc w:val="left"/>
      <w:pPr>
        <w:tabs>
          <w:tab w:val="num" w:pos="4680"/>
        </w:tabs>
        <w:ind w:left="3096" w:hanging="936"/>
      </w:pPr>
    </w:lvl>
    <w:lvl w:ilvl="6">
      <w:start w:val="1"/>
      <w:numFmt w:val="decimal"/>
      <w:lvlText w:val="%1.%2.%3.%4.%5.%6.%7."/>
      <w:lvlJc w:val="left"/>
      <w:pPr>
        <w:tabs>
          <w:tab w:val="num" w:pos="5400"/>
        </w:tabs>
        <w:ind w:left="3600" w:hanging="1080"/>
      </w:pPr>
    </w:lvl>
    <w:lvl w:ilvl="7">
      <w:start w:val="1"/>
      <w:numFmt w:val="decimal"/>
      <w:lvlText w:val="%1.%2.%3.%4.%5.%6.%7.%8."/>
      <w:lvlJc w:val="left"/>
      <w:pPr>
        <w:tabs>
          <w:tab w:val="num" w:pos="6120"/>
        </w:tabs>
        <w:ind w:left="4104" w:hanging="1224"/>
      </w:pPr>
    </w:lvl>
    <w:lvl w:ilvl="8">
      <w:start w:val="1"/>
      <w:numFmt w:val="decimal"/>
      <w:lvlText w:val="%1.%2.%3.%4.%5.%6.%7.%8.%9."/>
      <w:lvlJc w:val="left"/>
      <w:pPr>
        <w:tabs>
          <w:tab w:val="num" w:pos="6840"/>
        </w:tabs>
        <w:ind w:left="4680" w:hanging="1440"/>
      </w:pPr>
    </w:lvl>
  </w:abstractNum>
  <w:abstractNum w:abstractNumId="12">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0"/>
  </w:num>
  <w:num w:numId="2">
    <w:abstractNumId w:val="3"/>
  </w:num>
  <w:num w:numId="3">
    <w:abstractNumId w:val="8"/>
  </w:num>
  <w:num w:numId="4">
    <w:abstractNumId w:val="4"/>
  </w:num>
  <w:num w:numId="5">
    <w:abstractNumId w:val="10"/>
  </w:num>
  <w:num w:numId="6">
    <w:abstractNumId w:val="12"/>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
  </w:num>
  <w:num w:numId="11">
    <w:abstractNumId w:val="5"/>
  </w:num>
  <w:num w:numId="12">
    <w:abstractNumId w:val="9"/>
  </w:num>
  <w:num w:numId="13">
    <w:abstractNumId w:val="11"/>
  </w:num>
  <w:num w:numId="14">
    <w:abstractNumId w:val="7"/>
  </w:num>
  <w:num w:numId="15">
    <w:abstractNumId w:val="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15362"/>
  </w:hdrShapeDefaults>
  <w:footnotePr>
    <w:footnote w:id="-1"/>
    <w:footnote w:id="0"/>
  </w:footnotePr>
  <w:endnotePr>
    <w:endnote w:id="-1"/>
    <w:endnote w:id="0"/>
  </w:endnotePr>
  <w:compat>
    <w:useFELayout/>
  </w:compat>
  <w:rsids>
    <w:rsidRoot w:val="008160B3"/>
    <w:rsid w:val="0003137A"/>
    <w:rsid w:val="00041171"/>
    <w:rsid w:val="00050F8E"/>
    <w:rsid w:val="000573AD"/>
    <w:rsid w:val="00072F17"/>
    <w:rsid w:val="000806D8"/>
    <w:rsid w:val="00082C80"/>
    <w:rsid w:val="00083847"/>
    <w:rsid w:val="00083C36"/>
    <w:rsid w:val="000A69BF"/>
    <w:rsid w:val="000C225A"/>
    <w:rsid w:val="000C6781"/>
    <w:rsid w:val="000F50F6"/>
    <w:rsid w:val="000F5E49"/>
    <w:rsid w:val="000F7A87"/>
    <w:rsid w:val="00111BFD"/>
    <w:rsid w:val="0011498B"/>
    <w:rsid w:val="00120147"/>
    <w:rsid w:val="00123140"/>
    <w:rsid w:val="00163BA3"/>
    <w:rsid w:val="00166B31"/>
    <w:rsid w:val="00180771"/>
    <w:rsid w:val="001930A3"/>
    <w:rsid w:val="001A341E"/>
    <w:rsid w:val="001B0EA6"/>
    <w:rsid w:val="001B1CDF"/>
    <w:rsid w:val="001B56F4"/>
    <w:rsid w:val="001C5462"/>
    <w:rsid w:val="001D6302"/>
    <w:rsid w:val="001E7DD0"/>
    <w:rsid w:val="001F1BDA"/>
    <w:rsid w:val="0020095E"/>
    <w:rsid w:val="00210D30"/>
    <w:rsid w:val="00234A34"/>
    <w:rsid w:val="0025255D"/>
    <w:rsid w:val="00270480"/>
    <w:rsid w:val="002779AF"/>
    <w:rsid w:val="002823D8"/>
    <w:rsid w:val="0028531A"/>
    <w:rsid w:val="00285446"/>
    <w:rsid w:val="00295593"/>
    <w:rsid w:val="002A386C"/>
    <w:rsid w:val="002C30BC"/>
    <w:rsid w:val="002C7A88"/>
    <w:rsid w:val="002D232B"/>
    <w:rsid w:val="002D5E00"/>
    <w:rsid w:val="002D6DAC"/>
    <w:rsid w:val="002E1B4E"/>
    <w:rsid w:val="002E3FAD"/>
    <w:rsid w:val="002E4ACF"/>
    <w:rsid w:val="002E4E16"/>
    <w:rsid w:val="00301E8C"/>
    <w:rsid w:val="00320009"/>
    <w:rsid w:val="0032424A"/>
    <w:rsid w:val="00380AF7"/>
    <w:rsid w:val="00394A05"/>
    <w:rsid w:val="00397770"/>
    <w:rsid w:val="00397880"/>
    <w:rsid w:val="003A7016"/>
    <w:rsid w:val="003B6828"/>
    <w:rsid w:val="003E3EB1"/>
    <w:rsid w:val="003E4046"/>
    <w:rsid w:val="003F125B"/>
    <w:rsid w:val="003F7B3F"/>
    <w:rsid w:val="00401D27"/>
    <w:rsid w:val="0041078D"/>
    <w:rsid w:val="00416F97"/>
    <w:rsid w:val="0043039B"/>
    <w:rsid w:val="004423FE"/>
    <w:rsid w:val="00445C35"/>
    <w:rsid w:val="004667E7"/>
    <w:rsid w:val="00475797"/>
    <w:rsid w:val="0049253B"/>
    <w:rsid w:val="004A140B"/>
    <w:rsid w:val="004B7BAA"/>
    <w:rsid w:val="004C2DF7"/>
    <w:rsid w:val="004C4E0B"/>
    <w:rsid w:val="004D497E"/>
    <w:rsid w:val="004D7BD3"/>
    <w:rsid w:val="004E4809"/>
    <w:rsid w:val="004E6352"/>
    <w:rsid w:val="004E6460"/>
    <w:rsid w:val="004F148C"/>
    <w:rsid w:val="004F6B46"/>
    <w:rsid w:val="00525B80"/>
    <w:rsid w:val="0053098F"/>
    <w:rsid w:val="00546D8E"/>
    <w:rsid w:val="00553C50"/>
    <w:rsid w:val="00571AE1"/>
    <w:rsid w:val="00592267"/>
    <w:rsid w:val="0059550B"/>
    <w:rsid w:val="005B0AE2"/>
    <w:rsid w:val="005B1F2C"/>
    <w:rsid w:val="005D03D9"/>
    <w:rsid w:val="005D666D"/>
    <w:rsid w:val="00615AB0"/>
    <w:rsid w:val="0061778C"/>
    <w:rsid w:val="00636B90"/>
    <w:rsid w:val="0064738B"/>
    <w:rsid w:val="006508EA"/>
    <w:rsid w:val="00653418"/>
    <w:rsid w:val="00697DB5"/>
    <w:rsid w:val="006A492A"/>
    <w:rsid w:val="006D4764"/>
    <w:rsid w:val="006D5576"/>
    <w:rsid w:val="006E766D"/>
    <w:rsid w:val="00705C9F"/>
    <w:rsid w:val="00712ED1"/>
    <w:rsid w:val="00716951"/>
    <w:rsid w:val="00735D9E"/>
    <w:rsid w:val="00754CF7"/>
    <w:rsid w:val="007700EE"/>
    <w:rsid w:val="0077010E"/>
    <w:rsid w:val="00771A68"/>
    <w:rsid w:val="007C212A"/>
    <w:rsid w:val="007C3C55"/>
    <w:rsid w:val="007E7D21"/>
    <w:rsid w:val="007F482F"/>
    <w:rsid w:val="00807CC5"/>
    <w:rsid w:val="008160B3"/>
    <w:rsid w:val="00831751"/>
    <w:rsid w:val="00835B42"/>
    <w:rsid w:val="00847D99"/>
    <w:rsid w:val="0085038E"/>
    <w:rsid w:val="0086271D"/>
    <w:rsid w:val="0086420B"/>
    <w:rsid w:val="00864DBF"/>
    <w:rsid w:val="00865AE2"/>
    <w:rsid w:val="00866283"/>
    <w:rsid w:val="00897F29"/>
    <w:rsid w:val="008A7313"/>
    <w:rsid w:val="008A7D91"/>
    <w:rsid w:val="008B397C"/>
    <w:rsid w:val="008B7FC7"/>
    <w:rsid w:val="008E1E4A"/>
    <w:rsid w:val="008F0615"/>
    <w:rsid w:val="008F1FDB"/>
    <w:rsid w:val="00950605"/>
    <w:rsid w:val="00952233"/>
    <w:rsid w:val="00954D66"/>
    <w:rsid w:val="00975D76"/>
    <w:rsid w:val="00982E51"/>
    <w:rsid w:val="009874B9"/>
    <w:rsid w:val="00993581"/>
    <w:rsid w:val="009A288C"/>
    <w:rsid w:val="009B6697"/>
    <w:rsid w:val="009C4C04"/>
    <w:rsid w:val="009F7566"/>
    <w:rsid w:val="00A06BFE"/>
    <w:rsid w:val="00A10F5D"/>
    <w:rsid w:val="00A14AF1"/>
    <w:rsid w:val="00A14FA1"/>
    <w:rsid w:val="00A16891"/>
    <w:rsid w:val="00A24B3E"/>
    <w:rsid w:val="00A332E8"/>
    <w:rsid w:val="00A35AF5"/>
    <w:rsid w:val="00A35DDF"/>
    <w:rsid w:val="00A36CBA"/>
    <w:rsid w:val="00A50291"/>
    <w:rsid w:val="00A604CD"/>
    <w:rsid w:val="00A60FE6"/>
    <w:rsid w:val="00A654BE"/>
    <w:rsid w:val="00A874EF"/>
    <w:rsid w:val="00A95415"/>
    <w:rsid w:val="00AA3C89"/>
    <w:rsid w:val="00AC4CDB"/>
    <w:rsid w:val="00AD424C"/>
    <w:rsid w:val="00AF638A"/>
    <w:rsid w:val="00B00141"/>
    <w:rsid w:val="00B009AA"/>
    <w:rsid w:val="00B030C8"/>
    <w:rsid w:val="00B056E7"/>
    <w:rsid w:val="00B05B71"/>
    <w:rsid w:val="00B10035"/>
    <w:rsid w:val="00B165E6"/>
    <w:rsid w:val="00B235DB"/>
    <w:rsid w:val="00B548A2"/>
    <w:rsid w:val="00B56934"/>
    <w:rsid w:val="00B6066B"/>
    <w:rsid w:val="00B72444"/>
    <w:rsid w:val="00B93B62"/>
    <w:rsid w:val="00B953D1"/>
    <w:rsid w:val="00BA30D0"/>
    <w:rsid w:val="00C04BD2"/>
    <w:rsid w:val="00C13EEC"/>
    <w:rsid w:val="00C156A4"/>
    <w:rsid w:val="00C20FAA"/>
    <w:rsid w:val="00C2459D"/>
    <w:rsid w:val="00C42C95"/>
    <w:rsid w:val="00C55E5B"/>
    <w:rsid w:val="00C720A4"/>
    <w:rsid w:val="00C74E6A"/>
    <w:rsid w:val="00C7611C"/>
    <w:rsid w:val="00C94097"/>
    <w:rsid w:val="00CA4269"/>
    <w:rsid w:val="00CA7330"/>
    <w:rsid w:val="00CB64F0"/>
    <w:rsid w:val="00CC2909"/>
    <w:rsid w:val="00D05E6F"/>
    <w:rsid w:val="00D33442"/>
    <w:rsid w:val="00D44BAD"/>
    <w:rsid w:val="00D45B55"/>
    <w:rsid w:val="00D7097B"/>
    <w:rsid w:val="00D8463B"/>
    <w:rsid w:val="00D91DFA"/>
    <w:rsid w:val="00DB1AB2"/>
    <w:rsid w:val="00DD3A65"/>
    <w:rsid w:val="00DD62C6"/>
    <w:rsid w:val="00E00498"/>
    <w:rsid w:val="00E2617A"/>
    <w:rsid w:val="00E37DBF"/>
    <w:rsid w:val="00E538E6"/>
    <w:rsid w:val="00E802A2"/>
    <w:rsid w:val="00E85C0B"/>
    <w:rsid w:val="00ED67AF"/>
    <w:rsid w:val="00EE0717"/>
    <w:rsid w:val="00EE128C"/>
    <w:rsid w:val="00EE3D0E"/>
    <w:rsid w:val="00EF45BD"/>
    <w:rsid w:val="00EF66D9"/>
    <w:rsid w:val="00EF6BA5"/>
    <w:rsid w:val="00EF780D"/>
    <w:rsid w:val="00EF7A98"/>
    <w:rsid w:val="00F00493"/>
    <w:rsid w:val="00F0267E"/>
    <w:rsid w:val="00F474C9"/>
    <w:rsid w:val="00F61675"/>
    <w:rsid w:val="00F6686B"/>
    <w:rsid w:val="00F67F74"/>
    <w:rsid w:val="00F73DE3"/>
    <w:rsid w:val="00F73F32"/>
    <w:rsid w:val="00F84DD2"/>
    <w:rsid w:val="00FB0872"/>
    <w:rsid w:val="00FB54CC"/>
    <w:rsid w:val="00FC1258"/>
    <w:rsid w:val="00FD1A37"/>
  </w:rsids>
  <m:mathPr>
    <m:mathFont m:val="Cambria Math"/>
    <m:brkBin m:val="before"/>
    <m:brkBinSub m:val="--"/>
    <m:smallFrac m:val="off"/>
    <m:dispDef m:val="of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WMOBodyText"/>
    <w:next w:val="BodyText"/>
    <w:link w:val="Heading2Char"/>
    <w:qFormat/>
    <w:rsid w:val="00712ED1"/>
    <w:pPr>
      <w:keepNext/>
      <w:keepLines/>
      <w:tabs>
        <w:tab w:val="clear" w:pos="1134"/>
      </w:tabs>
      <w:spacing w:before="360"/>
      <w:outlineLvl w:val="1"/>
    </w:pPr>
    <w:rPr>
      <w:b/>
      <w:bCs/>
      <w:iCs/>
      <w:sz w:val="24"/>
    </w:rPr>
  </w:style>
  <w:style w:type="paragraph" w:styleId="Heading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712ED1"/>
    <w:rPr>
      <w:rFonts w:ascii="Verdana" w:eastAsia="Arial" w:hAnsi="Verdana" w:cs="Arial"/>
      <w:b/>
      <w:bCs/>
      <w:iCs/>
      <w:sz w:val="24"/>
      <w:szCs w:val="22"/>
      <w:lang w:val="en-GB"/>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0">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1">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0"/>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customStyle="1" w:styleId="Action">
    <w:name w:val="_Action"/>
    <w:basedOn w:val="WMOBodyText"/>
    <w:next w:val="BodyText"/>
    <w:rsid w:val="00712ED1"/>
    <w:pPr>
      <w:numPr>
        <w:numId w:val="1"/>
      </w:numPr>
      <w:tabs>
        <w:tab w:val="clear" w:pos="1134"/>
        <w:tab w:val="left" w:pos="680"/>
        <w:tab w:val="left" w:pos="2041"/>
        <w:tab w:val="left" w:pos="2722"/>
        <w:tab w:val="left" w:pos="3402"/>
      </w:tabs>
      <w:spacing w:after="120"/>
    </w:pPr>
    <w:rPr>
      <w:rFonts w:eastAsia="MS Mincho" w:cs="Times New Roman"/>
      <w:color w:val="0000FF"/>
      <w:lang w:eastAsia="ja-JP"/>
    </w:rPr>
  </w:style>
  <w:style w:type="paragraph" w:customStyle="1" w:styleId="Actionold">
    <w:name w:val="_Action_old"/>
    <w:basedOn w:val="Action"/>
    <w:qFormat/>
    <w:rsid w:val="00712ED1"/>
    <w:pPr>
      <w:numPr>
        <w:numId w:val="0"/>
      </w:numPr>
      <w:spacing w:before="0"/>
    </w:pPr>
  </w:style>
  <w:style w:type="character" w:customStyle="1" w:styleId="Addedtext">
    <w:name w:val="_Added text"/>
    <w:rsid w:val="00712ED1"/>
    <w:rPr>
      <w:color w:val="008000"/>
      <w:u w:val="dash"/>
    </w:rPr>
  </w:style>
  <w:style w:type="paragraph" w:customStyle="1" w:styleId="BodyText">
    <w:name w:val="_Body Text"/>
    <w:basedOn w:val="WMOBodyText"/>
    <w:rsid w:val="00712ED1"/>
    <w:pPr>
      <w:tabs>
        <w:tab w:val="center" w:pos="4513"/>
      </w:tabs>
      <w:suppressAutoHyphens/>
      <w:spacing w:after="120"/>
    </w:pPr>
  </w:style>
  <w:style w:type="paragraph" w:customStyle="1" w:styleId="Briefing">
    <w:name w:val="_Briefing"/>
    <w:basedOn w:val="WMOBodyText"/>
    <w:rsid w:val="00712ED1"/>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rPr>
  </w:style>
  <w:style w:type="paragraph" w:customStyle="1" w:styleId="Decision">
    <w:name w:val="_Decision"/>
    <w:basedOn w:val="WMOBodyText"/>
    <w:next w:val="BodyText"/>
    <w:rsid w:val="00712ED1"/>
    <w:pPr>
      <w:numPr>
        <w:numId w:val="2"/>
      </w:numPr>
      <w:tabs>
        <w:tab w:val="left" w:pos="680"/>
        <w:tab w:val="left" w:pos="2041"/>
        <w:tab w:val="left" w:pos="2722"/>
        <w:tab w:val="left" w:pos="3402"/>
      </w:tabs>
    </w:pPr>
    <w:rPr>
      <w:rFonts w:eastAsia="MS Mincho" w:cs="Times New Roman"/>
      <w:color w:val="339966"/>
      <w:lang w:eastAsia="ja-JP"/>
    </w:rPr>
  </w:style>
  <w:style w:type="character" w:customStyle="1" w:styleId="Deletedtext">
    <w:name w:val="_Deleted text"/>
    <w:rsid w:val="00712ED1"/>
    <w:rPr>
      <w:strike/>
      <w:dstrike w:val="0"/>
      <w:color w:val="FF0000"/>
    </w:rPr>
  </w:style>
  <w:style w:type="paragraph" w:customStyle="1" w:styleId="Pending">
    <w:name w:val="_Pending"/>
    <w:basedOn w:val="WMOBodyText"/>
    <w:next w:val="Normal"/>
    <w:rsid w:val="00712ED1"/>
    <w:pPr>
      <w:numPr>
        <w:numId w:val="3"/>
      </w:numPr>
      <w:tabs>
        <w:tab w:val="left" w:pos="680"/>
        <w:tab w:val="left" w:pos="2041"/>
        <w:tab w:val="left" w:pos="2722"/>
        <w:tab w:val="left" w:pos="3402"/>
      </w:tabs>
      <w:spacing w:after="120"/>
    </w:pPr>
    <w:rPr>
      <w:rFonts w:ascii="Arial" w:eastAsia="MS Mincho" w:hAnsi="Arial" w:cs="Times New Roman"/>
      <w:b/>
      <w:color w:val="FF0000"/>
      <w:sz w:val="22"/>
      <w:lang w:eastAsia="ja-JP"/>
    </w:rPr>
  </w:style>
  <w:style w:type="paragraph" w:customStyle="1" w:styleId="Personal">
    <w:name w:val="_Personal"/>
    <w:basedOn w:val="BodyText"/>
    <w:next w:val="Normal"/>
    <w:qFormat/>
    <w:rsid w:val="00712ED1"/>
    <w:pPr>
      <w:numPr>
        <w:numId w:val="4"/>
      </w:numPr>
    </w:pPr>
    <w:rPr>
      <w:color w:val="E36C0A" w:themeColor="accent6" w:themeShade="BF"/>
    </w:rPr>
  </w:style>
  <w:style w:type="paragraph" w:customStyle="1" w:styleId="BodyTextBullet">
    <w:name w:val="_Body Text Bullet"/>
    <w:basedOn w:val="BodyText"/>
    <w:rsid w:val="00712ED1"/>
    <w:pPr>
      <w:numPr>
        <w:numId w:val="5"/>
      </w:numPr>
    </w:pPr>
  </w:style>
  <w:style w:type="paragraph" w:customStyle="1" w:styleId="BodyTextNumbered">
    <w:name w:val="_Body Text Numbered"/>
    <w:basedOn w:val="BodyText"/>
    <w:rsid w:val="00712ED1"/>
    <w:pPr>
      <w:numPr>
        <w:numId w:val="6"/>
      </w:numPr>
    </w:pPr>
  </w:style>
  <w:style w:type="paragraph" w:styleId="Quote">
    <w:name w:val="Quote"/>
    <w:basedOn w:val="Normal"/>
    <w:next w:val="Normal"/>
    <w:link w:val="QuoteChar"/>
    <w:qFormat/>
    <w:rsid w:val="003B6828"/>
    <w:rPr>
      <w:i/>
      <w:iCs/>
      <w:color w:val="000000" w:themeColor="text1"/>
    </w:rPr>
  </w:style>
  <w:style w:type="character" w:customStyle="1" w:styleId="QuoteChar">
    <w:name w:val="Quote Char"/>
    <w:basedOn w:val="DefaultParagraphFont"/>
    <w:link w:val="Quote"/>
    <w:rsid w:val="003B6828"/>
    <w:rPr>
      <w:rFonts w:ascii="Verdana" w:eastAsia="Arial" w:hAnsi="Verdana" w:cs="Arial"/>
      <w:i/>
      <w:iCs/>
      <w:color w:val="000000" w:themeColor="text1"/>
      <w:lang w:val="en-GB" w:eastAsia="en-US"/>
    </w:rPr>
  </w:style>
  <w:style w:type="paragraph" w:styleId="ListParagraph">
    <w:name w:val="List Paragraph"/>
    <w:basedOn w:val="Normal"/>
    <w:qFormat/>
    <w:rsid w:val="00C74E6A"/>
    <w:pPr>
      <w:ind w:left="720"/>
      <w:contextualSpacing/>
    </w:pPr>
  </w:style>
  <w:style w:type="character" w:customStyle="1" w:styleId="FooterChar">
    <w:name w:val="Footer Char"/>
    <w:basedOn w:val="DefaultParagraphFont"/>
    <w:link w:val="Footer"/>
    <w:uiPriority w:val="99"/>
    <w:rsid w:val="006D4764"/>
    <w:rPr>
      <w:rFonts w:ascii="Verdana" w:eastAsia="Arial" w:hAnsi="Verdana" w:cs="Arial"/>
      <w:lang w:val="en-GB" w:eastAsia="en-US"/>
    </w:rPr>
  </w:style>
  <w:style w:type="character" w:styleId="SubtleEmphasis">
    <w:name w:val="Subtle Emphasis"/>
    <w:basedOn w:val="DefaultParagraphFont"/>
    <w:qFormat/>
    <w:rsid w:val="00FC1258"/>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WMOBodyText"/>
    <w:next w:val="BodyText"/>
    <w:link w:val="Heading2Char"/>
    <w:qFormat/>
    <w:rsid w:val="00712ED1"/>
    <w:pPr>
      <w:keepNext/>
      <w:keepLines/>
      <w:tabs>
        <w:tab w:val="clear" w:pos="1134"/>
      </w:tabs>
      <w:spacing w:before="360"/>
      <w:outlineLvl w:val="1"/>
    </w:pPr>
    <w:rPr>
      <w:b/>
      <w:bCs/>
      <w:iCs/>
      <w:sz w:val="24"/>
    </w:rPr>
  </w:style>
  <w:style w:type="paragraph" w:styleId="Heading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712ED1"/>
    <w:rPr>
      <w:rFonts w:ascii="Verdana" w:eastAsia="Arial" w:hAnsi="Verdana" w:cs="Arial"/>
      <w:b/>
      <w:bCs/>
      <w:iCs/>
      <w:sz w:val="24"/>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0">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1">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0"/>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customStyle="1" w:styleId="Action">
    <w:name w:val="_Action"/>
    <w:basedOn w:val="WMOBodyText"/>
    <w:next w:val="BodyText"/>
    <w:rsid w:val="00712ED1"/>
    <w:pPr>
      <w:numPr>
        <w:numId w:val="1"/>
      </w:numPr>
      <w:tabs>
        <w:tab w:val="clear" w:pos="1134"/>
        <w:tab w:val="left" w:pos="680"/>
        <w:tab w:val="left" w:pos="2041"/>
        <w:tab w:val="left" w:pos="2722"/>
        <w:tab w:val="left" w:pos="3402"/>
      </w:tabs>
      <w:spacing w:after="120"/>
    </w:pPr>
    <w:rPr>
      <w:rFonts w:eastAsia="MS Mincho" w:cs="Times New Roman"/>
      <w:color w:val="0000FF"/>
      <w:lang w:eastAsia="ja-JP"/>
    </w:rPr>
  </w:style>
  <w:style w:type="paragraph" w:customStyle="1" w:styleId="Actionold">
    <w:name w:val="_Action_old"/>
    <w:basedOn w:val="Action"/>
    <w:qFormat/>
    <w:rsid w:val="00712ED1"/>
    <w:pPr>
      <w:numPr>
        <w:numId w:val="0"/>
      </w:numPr>
      <w:spacing w:before="0"/>
    </w:pPr>
  </w:style>
  <w:style w:type="character" w:customStyle="1" w:styleId="Addedtext">
    <w:name w:val="_Added text"/>
    <w:rsid w:val="00712ED1"/>
    <w:rPr>
      <w:color w:val="008000"/>
      <w:u w:val="dash"/>
    </w:rPr>
  </w:style>
  <w:style w:type="paragraph" w:customStyle="1" w:styleId="BodyText">
    <w:name w:val="_Body Text"/>
    <w:basedOn w:val="WMOBodyText"/>
    <w:rsid w:val="00712ED1"/>
    <w:pPr>
      <w:tabs>
        <w:tab w:val="center" w:pos="4513"/>
      </w:tabs>
      <w:suppressAutoHyphens/>
      <w:spacing w:after="120"/>
    </w:pPr>
  </w:style>
  <w:style w:type="paragraph" w:customStyle="1" w:styleId="Briefing">
    <w:name w:val="_Briefing"/>
    <w:basedOn w:val="WMOBodyText"/>
    <w:rsid w:val="00712ED1"/>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rPr>
  </w:style>
  <w:style w:type="paragraph" w:customStyle="1" w:styleId="Decision">
    <w:name w:val="_Decision"/>
    <w:basedOn w:val="WMOBodyText"/>
    <w:next w:val="BodyText"/>
    <w:rsid w:val="00712ED1"/>
    <w:pPr>
      <w:numPr>
        <w:numId w:val="2"/>
      </w:numPr>
      <w:tabs>
        <w:tab w:val="left" w:pos="680"/>
        <w:tab w:val="left" w:pos="2041"/>
        <w:tab w:val="left" w:pos="2722"/>
        <w:tab w:val="left" w:pos="3402"/>
      </w:tabs>
    </w:pPr>
    <w:rPr>
      <w:rFonts w:eastAsia="MS Mincho" w:cs="Times New Roman"/>
      <w:color w:val="339966"/>
      <w:lang w:eastAsia="ja-JP"/>
    </w:rPr>
  </w:style>
  <w:style w:type="character" w:customStyle="1" w:styleId="Deletedtext">
    <w:name w:val="_Deleted text"/>
    <w:rsid w:val="00712ED1"/>
    <w:rPr>
      <w:strike/>
      <w:dstrike w:val="0"/>
      <w:color w:val="FF0000"/>
    </w:rPr>
  </w:style>
  <w:style w:type="paragraph" w:customStyle="1" w:styleId="Pending">
    <w:name w:val="_Pending"/>
    <w:basedOn w:val="WMOBodyText"/>
    <w:next w:val="Normal"/>
    <w:rsid w:val="00712ED1"/>
    <w:pPr>
      <w:numPr>
        <w:numId w:val="3"/>
      </w:numPr>
      <w:tabs>
        <w:tab w:val="left" w:pos="680"/>
        <w:tab w:val="left" w:pos="2041"/>
        <w:tab w:val="left" w:pos="2722"/>
        <w:tab w:val="left" w:pos="3402"/>
      </w:tabs>
      <w:spacing w:after="120"/>
    </w:pPr>
    <w:rPr>
      <w:rFonts w:ascii="Arial" w:eastAsia="MS Mincho" w:hAnsi="Arial" w:cs="Times New Roman"/>
      <w:b/>
      <w:color w:val="FF0000"/>
      <w:sz w:val="22"/>
      <w:lang w:eastAsia="ja-JP"/>
    </w:rPr>
  </w:style>
  <w:style w:type="paragraph" w:customStyle="1" w:styleId="Personal">
    <w:name w:val="_Personal"/>
    <w:basedOn w:val="BodyText"/>
    <w:next w:val="Normal"/>
    <w:qFormat/>
    <w:rsid w:val="00712ED1"/>
    <w:pPr>
      <w:numPr>
        <w:numId w:val="4"/>
      </w:numPr>
    </w:pPr>
    <w:rPr>
      <w:color w:val="E36C0A" w:themeColor="accent6" w:themeShade="BF"/>
    </w:rPr>
  </w:style>
  <w:style w:type="paragraph" w:customStyle="1" w:styleId="BodyTextBullet">
    <w:name w:val="_Body Text Bullet"/>
    <w:basedOn w:val="BodyText"/>
    <w:rsid w:val="00712ED1"/>
    <w:pPr>
      <w:numPr>
        <w:numId w:val="5"/>
      </w:numPr>
    </w:pPr>
  </w:style>
  <w:style w:type="paragraph" w:customStyle="1" w:styleId="BodyTextNumbered">
    <w:name w:val="_Body Text Numbered"/>
    <w:basedOn w:val="BodyText"/>
    <w:rsid w:val="00712ED1"/>
    <w:pPr>
      <w:numPr>
        <w:numId w:val="6"/>
      </w:numPr>
    </w:pPr>
  </w:style>
</w:styles>
</file>

<file path=word/webSettings.xml><?xml version="1.0" encoding="utf-8"?>
<w:webSettings xmlns:r="http://schemas.openxmlformats.org/officeDocument/2006/relationships" xmlns:w="http://schemas.openxmlformats.org/wordprocessingml/2006/main">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319924556">
      <w:bodyDiv w:val="1"/>
      <w:marLeft w:val="0"/>
      <w:marRight w:val="0"/>
      <w:marTop w:val="0"/>
      <w:marBottom w:val="0"/>
      <w:divBdr>
        <w:top w:val="none" w:sz="0" w:space="0" w:color="auto"/>
        <w:left w:val="none" w:sz="0" w:space="0" w:color="auto"/>
        <w:bottom w:val="none" w:sz="0" w:space="0" w:color="auto"/>
        <w:right w:val="none" w:sz="0" w:space="0" w:color="auto"/>
      </w:divBdr>
    </w:div>
    <w:div w:id="1763331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48" Type="http://schemas.microsoft.com/office/2007/relationships/stylesWithEffects" Target="stylesWithEffects.xml"/></Relationships>
</file>

<file path=word/_rels/footnotes.xml.rels><?xml version="1.0" encoding="UTF-8" standalone="yes"?>
<Relationships xmlns="http://schemas.openxmlformats.org/package/2006/relationships"><Relationship Id="rId8" Type="http://schemas.openxmlformats.org/officeDocument/2006/relationships/hyperlink" Target="http://www.w3.org" TargetMode="External"/><Relationship Id="rId13" Type="http://schemas.openxmlformats.org/officeDocument/2006/relationships/hyperlink" Target="http://w3c.github.io/dwbp/bp.html#ReuseVocabularies" TargetMode="External"/><Relationship Id="rId3" Type="http://schemas.openxmlformats.org/officeDocument/2006/relationships/hyperlink" Target="http://public.wmo.int/en/programmes" TargetMode="External"/><Relationship Id="rId7" Type="http://schemas.openxmlformats.org/officeDocument/2006/relationships/hyperlink" Target="http://www.w3.org/2013/data/" TargetMode="External"/><Relationship Id="rId12" Type="http://schemas.openxmlformats.org/officeDocument/2006/relationships/hyperlink" Target="http://w3c.github.io/dwbp/bp.html#BP_Benefits" TargetMode="External"/><Relationship Id="rId17" Type="http://schemas.openxmlformats.org/officeDocument/2006/relationships/hyperlink" Target="http://www.uncertml.org" TargetMode="External"/><Relationship Id="rId2" Type="http://schemas.openxmlformats.org/officeDocument/2006/relationships/hyperlink" Target="http://public.wmo.int/en/our-mandate/what-we-do" TargetMode="External"/><Relationship Id="rId16" Type="http://schemas.openxmlformats.org/officeDocument/2006/relationships/hyperlink" Target="https://github.com/metarelate/statistical-process/issues" TargetMode="External"/><Relationship Id="rId1" Type="http://schemas.openxmlformats.org/officeDocument/2006/relationships/hyperlink" Target="http://public.wmo.int/en/our-mandate" TargetMode="External"/><Relationship Id="rId6" Type="http://schemas.openxmlformats.org/officeDocument/2006/relationships/hyperlink" Target="http://public.wmo.int/en/our-mandate/how-we-do-it/technical-commissions" TargetMode="External"/><Relationship Id="rId11" Type="http://schemas.openxmlformats.org/officeDocument/2006/relationships/hyperlink" Target="http://w3c.github.io/dwbp/bp.html#bp-summary" TargetMode="External"/><Relationship Id="rId5" Type="http://schemas.openxmlformats.org/officeDocument/2006/relationships/hyperlink" Target="http://public.wmo.int/en/our-mandate/how-we-do-it/technical-commissions/commission-basic-systems-cbs" TargetMode="External"/><Relationship Id="rId15" Type="http://schemas.openxmlformats.org/officeDocument/2006/relationships/hyperlink" Target="http://cfconventions.org" TargetMode="External"/><Relationship Id="rId10" Type="http://schemas.openxmlformats.org/officeDocument/2006/relationships/hyperlink" Target="http://w3c.github.io/dwbp/bp.html" TargetMode="External"/><Relationship Id="rId4" Type="http://schemas.openxmlformats.org/officeDocument/2006/relationships/hyperlink" Target="http://public.wmo.int/en/our-mandate/how-we-do-it/role-and-operation-of-nmhss" TargetMode="External"/><Relationship Id="rId9" Type="http://schemas.openxmlformats.org/officeDocument/2006/relationships/hyperlink" Target="http://www.w3.org/2013/dwbp/wiki/Main_Page" TargetMode="External"/><Relationship Id="rId14" Type="http://schemas.openxmlformats.org/officeDocument/2006/relationships/hyperlink" Target="http://codes.wmo.i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306A5E-4B4B-4245-BBF2-1D7B4E28B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WMO-Session-Template_en</Template>
  <TotalTime>105</TotalTime>
  <Pages>6</Pages>
  <Words>2337</Words>
  <Characters>13323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15629</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Steve Foreman</dc:creator>
  <cp:lastModifiedBy>jeremy.tandy</cp:lastModifiedBy>
  <cp:revision>9</cp:revision>
  <cp:lastPrinted>2013-03-12T09:27:00Z</cp:lastPrinted>
  <dcterms:created xsi:type="dcterms:W3CDTF">2016-05-05T10:34:00Z</dcterms:created>
  <dcterms:modified xsi:type="dcterms:W3CDTF">2016-05-07T22:20:00Z</dcterms:modified>
</cp:coreProperties>
</file>