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636B90" w:rsidTr="00E53BC0">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eastAsia="en-GB"/>
              </w:rPr>
              <w:drawing>
                <wp:anchor distT="0" distB="0" distL="114300" distR="114300" simplePos="0" relativeHeight="251671552" behindDoc="1" locked="1" layoutInCell="1" allowOverlap="1" wp14:anchorId="399453E6" wp14:editId="0A636D9C">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160B3">
              <w:rPr>
                <w:rFonts w:cs="Tahoma"/>
                <w:b/>
                <w:bCs/>
                <w:color w:val="365F91" w:themeColor="accent1" w:themeShade="BF"/>
                <w:szCs w:val="22"/>
              </w:rPr>
              <w:t>World Meteorological Organization</w:t>
            </w:r>
          </w:p>
          <w:p w:rsidR="00993581" w:rsidRPr="005D666D" w:rsidRDefault="008160B3" w:rsidP="00993581">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712ED1" w:rsidRDefault="00712ED1" w:rsidP="00993581">
            <w:pPr>
              <w:tabs>
                <w:tab w:val="left" w:pos="6946"/>
              </w:tabs>
              <w:suppressAutoHyphens/>
              <w:spacing w:after="120" w:line="252" w:lineRule="auto"/>
              <w:ind w:left="1134"/>
              <w:jc w:val="left"/>
              <w:rPr>
                <w:rFonts w:cstheme="minorBidi"/>
                <w:b/>
                <w:snapToGrid w:val="0"/>
                <w:color w:val="365F91" w:themeColor="accent1" w:themeShade="BF"/>
                <w:szCs w:val="22"/>
              </w:rPr>
            </w:pPr>
            <w:r>
              <w:rPr>
                <w:rFonts w:cstheme="minorBidi"/>
                <w:b/>
                <w:snapToGrid w:val="0"/>
                <w:color w:val="365F91" w:themeColor="accent1" w:themeShade="BF"/>
                <w:szCs w:val="22"/>
              </w:rPr>
              <w:t>Inter-Programme Expert Team on Metadata and Data Representation Development</w:t>
            </w:r>
          </w:p>
          <w:p w:rsidR="00993581" w:rsidRPr="005D666D" w:rsidRDefault="00712ED1"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Fourth Meeting</w:t>
            </w:r>
            <w:r w:rsidR="00993581" w:rsidRPr="005D666D">
              <w:rPr>
                <w:rFonts w:cstheme="minorBidi"/>
                <w:b/>
                <w:snapToGrid w:val="0"/>
                <w:color w:val="365F91" w:themeColor="accent1" w:themeShade="BF"/>
                <w:szCs w:val="22"/>
              </w:rPr>
              <w:br/>
            </w:r>
            <w:r w:rsidR="008160B3">
              <w:rPr>
                <w:snapToGrid w:val="0"/>
                <w:color w:val="365F91" w:themeColor="accent1" w:themeShade="BF"/>
                <w:szCs w:val="22"/>
              </w:rPr>
              <w:t>Geneva, 9 to 12 May 2016</w:t>
            </w:r>
          </w:p>
        </w:tc>
        <w:tc>
          <w:tcPr>
            <w:tcW w:w="3402" w:type="dxa"/>
          </w:tcPr>
          <w:p w:rsidR="00993581" w:rsidRPr="00712ED1" w:rsidRDefault="00712ED1" w:rsidP="00450D03">
            <w:pPr>
              <w:tabs>
                <w:tab w:val="clear" w:pos="1134"/>
              </w:tabs>
              <w:spacing w:after="60"/>
              <w:ind w:right="-108"/>
              <w:jc w:val="right"/>
              <w:rPr>
                <w:rFonts w:cs="Tahoma"/>
                <w:b/>
                <w:bCs/>
                <w:color w:val="365F91" w:themeColor="accent1" w:themeShade="BF"/>
                <w:szCs w:val="22"/>
              </w:rPr>
            </w:pPr>
            <w:r w:rsidRPr="00712ED1">
              <w:rPr>
                <w:rFonts w:cs="Tahoma"/>
                <w:b/>
                <w:bCs/>
                <w:color w:val="365F91" w:themeColor="accent1" w:themeShade="BF"/>
                <w:szCs w:val="22"/>
              </w:rPr>
              <w:t>IPET-MDRD-4/</w:t>
            </w:r>
            <w:r w:rsidR="00450D03">
              <w:rPr>
                <w:rFonts w:cs="Tahoma"/>
                <w:b/>
                <w:bCs/>
                <w:color w:val="365F91" w:themeColor="accent1" w:themeShade="BF"/>
                <w:szCs w:val="22"/>
              </w:rPr>
              <w:t>Inf</w:t>
            </w:r>
            <w:r w:rsidRPr="00712ED1">
              <w:rPr>
                <w:rFonts w:cs="Tahoma"/>
                <w:b/>
                <w:bCs/>
                <w:color w:val="365F91" w:themeColor="accent1" w:themeShade="BF"/>
                <w:szCs w:val="22"/>
              </w:rPr>
              <w:t>. </w:t>
            </w:r>
            <w:r w:rsidR="00ED3F93">
              <w:rPr>
                <w:rFonts w:cs="Tahoma"/>
                <w:b/>
                <w:bCs/>
                <w:color w:val="365F91" w:themeColor="accent1" w:themeShade="BF"/>
                <w:szCs w:val="22"/>
              </w:rPr>
              <w:t>8.1(</w:t>
            </w:r>
            <w:bookmarkStart w:id="0" w:name="_GoBack"/>
            <w:bookmarkEnd w:id="0"/>
            <w:r w:rsidR="00450D03">
              <w:rPr>
                <w:rFonts w:cs="Tahoma"/>
                <w:b/>
                <w:bCs/>
                <w:color w:val="365F91" w:themeColor="accent1" w:themeShade="BF"/>
                <w:szCs w:val="22"/>
              </w:rPr>
              <w:t>1)</w:t>
            </w:r>
          </w:p>
        </w:tc>
      </w:tr>
      <w:tr w:rsidR="00993581" w:rsidRPr="005D666D" w:rsidTr="00E53BC0">
        <w:trPr>
          <w:trHeight w:val="730"/>
        </w:trPr>
        <w:tc>
          <w:tcPr>
            <w:tcW w:w="6487" w:type="dxa"/>
            <w:vMerge/>
          </w:tcPr>
          <w:p w:rsidR="00993581" w:rsidRPr="00712ED1" w:rsidRDefault="00993581" w:rsidP="00DE0041">
            <w:pPr>
              <w:tabs>
                <w:tab w:val="left" w:pos="6946"/>
              </w:tabs>
              <w:suppressAutoHyphens/>
              <w:spacing w:after="120" w:line="252" w:lineRule="auto"/>
              <w:ind w:left="1134"/>
              <w:jc w:val="left"/>
              <w:rPr>
                <w:noProof/>
                <w:color w:val="365F91" w:themeColor="accent1" w:themeShade="BF"/>
                <w:szCs w:val="22"/>
                <w:lang w:eastAsia="zh-CN"/>
              </w:rPr>
            </w:pPr>
          </w:p>
        </w:tc>
        <w:tc>
          <w:tcPr>
            <w:tcW w:w="3402" w:type="dxa"/>
          </w:tcPr>
          <w:p w:rsidR="00993581" w:rsidRPr="005D666D" w:rsidRDefault="00993581" w:rsidP="0099358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450D03">
              <w:rPr>
                <w:rFonts w:cs="Tahoma"/>
                <w:color w:val="365F91" w:themeColor="accent1" w:themeShade="BF"/>
                <w:szCs w:val="22"/>
              </w:rPr>
              <w:t>Secretariat</w:t>
            </w:r>
            <w:r w:rsidRPr="005D666D">
              <w:rPr>
                <w:rFonts w:cs="Tahoma"/>
                <w:color w:val="365F91" w:themeColor="accent1" w:themeShade="BF"/>
                <w:szCs w:val="22"/>
              </w:rPr>
              <w:t xml:space="preserve"> </w:t>
            </w:r>
          </w:p>
          <w:p w:rsidR="00993581" w:rsidRPr="005D666D" w:rsidRDefault="00450D03" w:rsidP="0099358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08</w:t>
            </w:r>
            <w:r w:rsidR="008160B3">
              <w:rPr>
                <w:rFonts w:cs="Tahoma"/>
                <w:color w:val="365F91" w:themeColor="accent1" w:themeShade="BF"/>
                <w:szCs w:val="22"/>
              </w:rPr>
              <w:t>.</w:t>
            </w:r>
            <w:r>
              <w:rPr>
                <w:rFonts w:cs="Tahoma"/>
                <w:color w:val="365F91" w:themeColor="accent1" w:themeShade="BF"/>
                <w:szCs w:val="22"/>
              </w:rPr>
              <w:t>MAY</w:t>
            </w:r>
            <w:r w:rsidR="008160B3">
              <w:rPr>
                <w:rFonts w:cs="Tahoma"/>
                <w:color w:val="365F91" w:themeColor="accent1" w:themeShade="BF"/>
                <w:szCs w:val="22"/>
              </w:rPr>
              <w:t>.2016</w:t>
            </w:r>
          </w:p>
          <w:p w:rsidR="00993581" w:rsidRPr="00DF1240" w:rsidRDefault="00993581" w:rsidP="00993581">
            <w:pPr>
              <w:tabs>
                <w:tab w:val="clear" w:pos="1134"/>
              </w:tabs>
              <w:spacing w:after="60"/>
              <w:ind w:right="-108"/>
              <w:jc w:val="right"/>
              <w:rPr>
                <w:rFonts w:cs="Tahoma"/>
                <w:b/>
                <w:bCs/>
                <w:color w:val="365F91" w:themeColor="accent1" w:themeShade="BF"/>
                <w:szCs w:val="22"/>
                <w:lang w:val="en-US"/>
              </w:rPr>
            </w:pPr>
            <w:r w:rsidRPr="005D666D">
              <w:rPr>
                <w:rFonts w:cs="Tahoma"/>
                <w:b/>
                <w:bCs/>
                <w:color w:val="365F91" w:themeColor="accent1" w:themeShade="BF"/>
                <w:szCs w:val="22"/>
              </w:rPr>
              <w:t>DRAFT 1</w:t>
            </w:r>
          </w:p>
        </w:tc>
      </w:tr>
    </w:tbl>
    <w:p w:rsidR="00082C80" w:rsidRPr="005D666D" w:rsidRDefault="00712ED1" w:rsidP="00B56934">
      <w:pPr>
        <w:pStyle w:val="WMOBodyText"/>
        <w:tabs>
          <w:tab w:val="clear" w:pos="1134"/>
        </w:tabs>
        <w:ind w:left="2977" w:hanging="2977"/>
        <w:rPr>
          <w:b/>
          <w:bCs/>
        </w:rPr>
      </w:pPr>
      <w:r>
        <w:rPr>
          <w:b/>
          <w:bCs/>
        </w:rPr>
        <w:t xml:space="preserve">AGENDA ITEM </w:t>
      </w:r>
      <w:r w:rsidR="00450D03">
        <w:rPr>
          <w:b/>
          <w:bCs/>
        </w:rPr>
        <w:t>8</w:t>
      </w:r>
      <w:r w:rsidR="008160B3">
        <w:rPr>
          <w:b/>
          <w:bCs/>
        </w:rPr>
        <w:t>:</w:t>
      </w:r>
      <w:r w:rsidR="008160B3">
        <w:rPr>
          <w:b/>
          <w:bCs/>
        </w:rPr>
        <w:tab/>
      </w:r>
      <w:r w:rsidR="00450D03">
        <w:rPr>
          <w:b/>
          <w:bCs/>
        </w:rPr>
        <w:t>W</w:t>
      </w:r>
      <w:r w:rsidR="00450D03" w:rsidRPr="00450D03">
        <w:rPr>
          <w:b/>
          <w:bCs/>
        </w:rPr>
        <w:t>ork plan for 2017-2020</w:t>
      </w:r>
    </w:p>
    <w:p w:rsidR="00082C80" w:rsidRPr="005D666D" w:rsidRDefault="008160B3" w:rsidP="009A288C">
      <w:pPr>
        <w:pStyle w:val="WMOBodyText"/>
        <w:tabs>
          <w:tab w:val="clear" w:pos="1134"/>
        </w:tabs>
        <w:spacing w:after="360"/>
        <w:ind w:left="2977" w:hanging="2977"/>
        <w:rPr>
          <w:b/>
          <w:bCs/>
        </w:rPr>
      </w:pPr>
      <w:r>
        <w:rPr>
          <w:b/>
          <w:bCs/>
        </w:rPr>
        <w:t xml:space="preserve">AGENDA ITEM </w:t>
      </w:r>
      <w:r w:rsidR="00450D03">
        <w:rPr>
          <w:b/>
          <w:bCs/>
        </w:rPr>
        <w:t>1.8</w:t>
      </w:r>
      <w:r>
        <w:rPr>
          <w:b/>
          <w:bCs/>
        </w:rPr>
        <w:t>:</w:t>
      </w:r>
      <w:r>
        <w:rPr>
          <w:b/>
          <w:bCs/>
        </w:rPr>
        <w:tab/>
      </w:r>
      <w:r w:rsidR="00450D03" w:rsidRPr="00450D03">
        <w:rPr>
          <w:b/>
          <w:bCs/>
        </w:rPr>
        <w:t>Draft work plan for 2017-2020</w:t>
      </w:r>
    </w:p>
    <w:p w:rsidR="008A7D91" w:rsidRDefault="00450D03" w:rsidP="00B56934">
      <w:pPr>
        <w:pStyle w:val="Heading1"/>
      </w:pPr>
      <w:bookmarkStart w:id="1" w:name="_APPENDIX_A:_"/>
      <w:bookmarkEnd w:id="1"/>
      <w:r>
        <w:t>Requests for changes</w:t>
      </w:r>
    </w:p>
    <w:p w:rsidR="00712ED1" w:rsidRDefault="00712ED1" w:rsidP="00712ED1">
      <w:pPr>
        <w:rPr>
          <w:lang w:eastAsia="zh-TW"/>
        </w:rPr>
      </w:pPr>
    </w:p>
    <w:tbl>
      <w:tblPr>
        <w:tblW w:w="15309" w:type="dxa"/>
        <w:tblLayout w:type="fixed"/>
        <w:tblLook w:val="04A0" w:firstRow="1" w:lastRow="0" w:firstColumn="1" w:lastColumn="0" w:noHBand="0" w:noVBand="1"/>
      </w:tblPr>
      <w:tblGrid>
        <w:gridCol w:w="1171"/>
        <w:gridCol w:w="1231"/>
        <w:gridCol w:w="1645"/>
        <w:gridCol w:w="1417"/>
        <w:gridCol w:w="9845"/>
      </w:tblGrid>
      <w:tr w:rsidR="005C7A62" w:rsidRPr="00450D03" w:rsidTr="005C7A62">
        <w:trPr>
          <w:cantSplit/>
          <w:trHeight w:val="290"/>
          <w:tblHeader/>
        </w:trPr>
        <w:tc>
          <w:tcPr>
            <w:tcW w:w="410" w:type="dxa"/>
            <w:tcBorders>
              <w:top w:val="nil"/>
              <w:left w:val="nil"/>
              <w:bottom w:val="nil"/>
              <w:right w:val="nil"/>
            </w:tcBorders>
            <w:shd w:val="clear" w:color="auto" w:fill="auto"/>
            <w:noWrap/>
            <w:hideMark/>
          </w:tcPr>
          <w:p w:rsidR="005C7A62" w:rsidRPr="00450D03" w:rsidRDefault="005C7A62" w:rsidP="00982231">
            <w:pPr>
              <w:tabs>
                <w:tab w:val="clear" w:pos="1134"/>
              </w:tabs>
              <w:jc w:val="left"/>
              <w:rPr>
                <w:rFonts w:ascii="Calibri" w:eastAsia="Times New Roman" w:hAnsi="Calibri" w:cs="Times New Roman"/>
                <w:b/>
                <w:color w:val="000000"/>
                <w:sz w:val="22"/>
                <w:szCs w:val="22"/>
                <w:lang w:eastAsia="en-GB"/>
              </w:rPr>
            </w:pPr>
            <w:r w:rsidRPr="00450D03">
              <w:rPr>
                <w:rFonts w:ascii="Calibri" w:eastAsia="Times New Roman" w:hAnsi="Calibri" w:cs="Times New Roman"/>
                <w:b/>
                <w:color w:val="000000"/>
                <w:sz w:val="22"/>
                <w:szCs w:val="22"/>
                <w:lang w:eastAsia="en-GB"/>
              </w:rPr>
              <w:t xml:space="preserve">Manual </w:t>
            </w:r>
          </w:p>
        </w:tc>
        <w:tc>
          <w:tcPr>
            <w:tcW w:w="431" w:type="dxa"/>
            <w:tcBorders>
              <w:top w:val="nil"/>
              <w:left w:val="nil"/>
              <w:bottom w:val="nil"/>
              <w:right w:val="nil"/>
            </w:tcBorders>
            <w:shd w:val="clear" w:color="auto" w:fill="auto"/>
            <w:noWrap/>
            <w:hideMark/>
          </w:tcPr>
          <w:p w:rsidR="005C7A62" w:rsidRPr="00450D03" w:rsidRDefault="005C7A62" w:rsidP="00982231">
            <w:pPr>
              <w:tabs>
                <w:tab w:val="clear" w:pos="1134"/>
              </w:tabs>
              <w:jc w:val="left"/>
              <w:rPr>
                <w:rFonts w:ascii="Calibri" w:eastAsia="Times New Roman" w:hAnsi="Calibri" w:cs="Times New Roman"/>
                <w:b/>
                <w:color w:val="000000"/>
                <w:sz w:val="22"/>
                <w:szCs w:val="22"/>
                <w:lang w:eastAsia="en-GB"/>
              </w:rPr>
            </w:pPr>
            <w:r w:rsidRPr="00450D03">
              <w:rPr>
                <w:rFonts w:ascii="Calibri" w:eastAsia="Times New Roman" w:hAnsi="Calibri" w:cs="Times New Roman"/>
                <w:b/>
                <w:color w:val="000000"/>
                <w:sz w:val="22"/>
                <w:szCs w:val="22"/>
                <w:lang w:eastAsia="en-GB"/>
              </w:rPr>
              <w:t xml:space="preserve">Proposal </w:t>
            </w:r>
          </w:p>
        </w:tc>
        <w:tc>
          <w:tcPr>
            <w:tcW w:w="576" w:type="dxa"/>
            <w:tcBorders>
              <w:top w:val="nil"/>
              <w:left w:val="nil"/>
              <w:bottom w:val="nil"/>
              <w:right w:val="nil"/>
            </w:tcBorders>
            <w:shd w:val="clear" w:color="auto" w:fill="auto"/>
            <w:noWrap/>
            <w:hideMark/>
          </w:tcPr>
          <w:p w:rsidR="005C7A62" w:rsidRPr="00450D03" w:rsidRDefault="005C7A62" w:rsidP="00982231">
            <w:pPr>
              <w:tabs>
                <w:tab w:val="clear" w:pos="1134"/>
              </w:tabs>
              <w:jc w:val="left"/>
              <w:rPr>
                <w:rFonts w:ascii="Calibri" w:eastAsia="Times New Roman" w:hAnsi="Calibri" w:cs="Times New Roman"/>
                <w:b/>
                <w:color w:val="000000"/>
                <w:sz w:val="22"/>
                <w:szCs w:val="22"/>
                <w:lang w:eastAsia="en-GB"/>
              </w:rPr>
            </w:pPr>
            <w:r w:rsidRPr="00450D03">
              <w:rPr>
                <w:rFonts w:ascii="Calibri" w:eastAsia="Times New Roman" w:hAnsi="Calibri" w:cs="Times New Roman"/>
                <w:b/>
                <w:color w:val="000000"/>
                <w:sz w:val="22"/>
                <w:szCs w:val="22"/>
                <w:lang w:eastAsia="en-GB"/>
              </w:rPr>
              <w:t xml:space="preserve">Stage </w:t>
            </w:r>
          </w:p>
        </w:tc>
        <w:tc>
          <w:tcPr>
            <w:tcW w:w="496" w:type="dxa"/>
            <w:tcBorders>
              <w:top w:val="nil"/>
              <w:left w:val="nil"/>
              <w:bottom w:val="nil"/>
              <w:right w:val="nil"/>
            </w:tcBorders>
            <w:shd w:val="clear" w:color="auto" w:fill="auto"/>
            <w:noWrap/>
            <w:hideMark/>
          </w:tcPr>
          <w:p w:rsidR="005C7A62" w:rsidRPr="00450D03" w:rsidRDefault="005C7A62" w:rsidP="00982231">
            <w:pPr>
              <w:tabs>
                <w:tab w:val="clear" w:pos="1134"/>
              </w:tabs>
              <w:jc w:val="left"/>
              <w:rPr>
                <w:rFonts w:ascii="Calibri" w:eastAsia="Times New Roman" w:hAnsi="Calibri" w:cs="Times New Roman"/>
                <w:b/>
                <w:color w:val="000000"/>
                <w:sz w:val="22"/>
                <w:szCs w:val="22"/>
                <w:lang w:eastAsia="en-GB"/>
              </w:rPr>
            </w:pPr>
            <w:r w:rsidRPr="00450D03">
              <w:rPr>
                <w:rFonts w:ascii="Calibri" w:eastAsia="Times New Roman" w:hAnsi="Calibri" w:cs="Times New Roman"/>
                <w:b/>
                <w:color w:val="000000"/>
                <w:sz w:val="22"/>
                <w:szCs w:val="22"/>
                <w:lang w:eastAsia="en-GB"/>
              </w:rPr>
              <w:t>Procedure</w:t>
            </w:r>
          </w:p>
        </w:tc>
        <w:tc>
          <w:tcPr>
            <w:tcW w:w="3447" w:type="dxa"/>
            <w:tcBorders>
              <w:top w:val="nil"/>
              <w:left w:val="nil"/>
              <w:bottom w:val="nil"/>
              <w:right w:val="nil"/>
            </w:tcBorders>
            <w:shd w:val="clear" w:color="auto" w:fill="auto"/>
            <w:noWrap/>
            <w:hideMark/>
          </w:tcPr>
          <w:p w:rsidR="005C7A62" w:rsidRPr="00450D03" w:rsidRDefault="005C7A62" w:rsidP="00982231">
            <w:pPr>
              <w:tabs>
                <w:tab w:val="clear" w:pos="1134"/>
              </w:tabs>
              <w:jc w:val="left"/>
              <w:rPr>
                <w:rFonts w:ascii="Calibri" w:eastAsia="Times New Roman" w:hAnsi="Calibri" w:cs="Times New Roman"/>
                <w:b/>
                <w:color w:val="000000"/>
                <w:sz w:val="22"/>
                <w:szCs w:val="22"/>
                <w:lang w:eastAsia="en-GB"/>
              </w:rPr>
            </w:pPr>
            <w:r w:rsidRPr="00450D03">
              <w:rPr>
                <w:rFonts w:ascii="Calibri" w:eastAsia="Times New Roman" w:hAnsi="Calibri" w:cs="Times New Roman"/>
                <w:b/>
                <w:color w:val="000000"/>
                <w:sz w:val="22"/>
                <w:szCs w:val="22"/>
                <w:lang w:eastAsia="en-GB"/>
              </w:rPr>
              <w:t xml:space="preserve">Description </w:t>
            </w:r>
          </w:p>
        </w:tc>
      </w:tr>
      <w:tr w:rsidR="005C7A62" w:rsidRPr="00450D03" w:rsidTr="005C7A62">
        <w:trPr>
          <w:trHeight w:val="290"/>
        </w:trPr>
        <w:tc>
          <w:tcPr>
            <w:tcW w:w="410"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p>
        </w:tc>
        <w:tc>
          <w:tcPr>
            <w:tcW w:w="431"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p>
        </w:tc>
        <w:tc>
          <w:tcPr>
            <w:tcW w:w="57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p>
        </w:tc>
        <w:tc>
          <w:tcPr>
            <w:tcW w:w="49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p>
        </w:tc>
        <w:tc>
          <w:tcPr>
            <w:tcW w:w="3447"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p>
        </w:tc>
      </w:tr>
      <w:tr w:rsidR="005C7A62" w:rsidRPr="00450D03" w:rsidTr="005C7A62">
        <w:trPr>
          <w:trHeight w:val="290"/>
        </w:trPr>
        <w:tc>
          <w:tcPr>
            <w:tcW w:w="410"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Codes</w:t>
            </w:r>
          </w:p>
        </w:tc>
        <w:tc>
          <w:tcPr>
            <w:tcW w:w="431"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MM23</w:t>
            </w:r>
          </w:p>
        </w:tc>
        <w:tc>
          <w:tcPr>
            <w:tcW w:w="57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 xml:space="preserve">IWXXM - No Significant Clouds and No Clouds Detected - remove </w:t>
            </w:r>
            <w:proofErr w:type="spellStart"/>
            <w:r w:rsidRPr="00450D03">
              <w:rPr>
                <w:rFonts w:ascii="Calibri" w:eastAsia="Times New Roman" w:hAnsi="Calibri" w:cs="Times New Roman"/>
                <w:color w:val="000000"/>
                <w:sz w:val="22"/>
                <w:szCs w:val="22"/>
                <w:lang w:eastAsia="en-GB"/>
              </w:rPr>
              <w:t>boolean</w:t>
            </w:r>
            <w:proofErr w:type="spellEnd"/>
            <w:r w:rsidRPr="00450D03">
              <w:rPr>
                <w:rFonts w:ascii="Calibri" w:eastAsia="Times New Roman" w:hAnsi="Calibri" w:cs="Times New Roman"/>
                <w:color w:val="000000"/>
                <w:sz w:val="22"/>
                <w:szCs w:val="22"/>
                <w:lang w:eastAsia="en-GB"/>
              </w:rPr>
              <w:t xml:space="preserve"> ""</w:t>
            </w:r>
            <w:proofErr w:type="spellStart"/>
            <w:r w:rsidRPr="00450D03">
              <w:rPr>
                <w:rFonts w:ascii="Calibri" w:eastAsia="Times New Roman" w:hAnsi="Calibri" w:cs="Times New Roman"/>
                <w:color w:val="000000"/>
                <w:sz w:val="22"/>
                <w:szCs w:val="22"/>
                <w:lang w:eastAsia="en-GB"/>
              </w:rPr>
              <w:t>amoundAndHeightUnobservableByAutoSystem</w:t>
            </w:r>
            <w:proofErr w:type="spellEnd"/>
            <w:r w:rsidRPr="00450D03">
              <w:rPr>
                <w:rFonts w:ascii="Calibri" w:eastAsia="Times New Roman" w:hAnsi="Calibri" w:cs="Times New Roman"/>
                <w:color w:val="000000"/>
                <w:sz w:val="22"/>
                <w:szCs w:val="22"/>
                <w:lang w:eastAsia="en-GB"/>
              </w:rPr>
              <w:t xml:space="preserve">"" and add </w:t>
            </w:r>
            <w:proofErr w:type="spellStart"/>
            <w:r w:rsidRPr="00450D03">
              <w:rPr>
                <w:rFonts w:ascii="Calibri" w:eastAsia="Times New Roman" w:hAnsi="Calibri" w:cs="Times New Roman"/>
                <w:color w:val="000000"/>
                <w:sz w:val="22"/>
                <w:szCs w:val="22"/>
                <w:lang w:eastAsia="en-GB"/>
              </w:rPr>
              <w:t>nilReason</w:t>
            </w:r>
            <w:proofErr w:type="spellEnd"/>
            <w:r w:rsidRPr="00450D03">
              <w:rPr>
                <w:rFonts w:ascii="Calibri" w:eastAsia="Times New Roman" w:hAnsi="Calibri" w:cs="Times New Roman"/>
                <w:color w:val="000000"/>
                <w:sz w:val="22"/>
                <w:szCs w:val="22"/>
                <w:lang w:eastAsia="en-GB"/>
              </w:rPr>
              <w:t xml:space="preserve"> on </w:t>
            </w:r>
            <w:proofErr w:type="spellStart"/>
            <w:r w:rsidRPr="00450D03">
              <w:rPr>
                <w:rFonts w:ascii="Calibri" w:eastAsia="Times New Roman" w:hAnsi="Calibri" w:cs="Times New Roman"/>
                <w:color w:val="000000"/>
                <w:sz w:val="22"/>
                <w:szCs w:val="22"/>
                <w:lang w:eastAsia="en-GB"/>
              </w:rPr>
              <w:t>AerodromeObservedClouds</w:t>
            </w:r>
            <w:proofErr w:type="spellEnd"/>
            <w:r w:rsidRPr="00450D03">
              <w:rPr>
                <w:rFonts w:ascii="Calibri" w:eastAsia="Times New Roman" w:hAnsi="Calibri" w:cs="Times New Roman"/>
                <w:color w:val="000000"/>
                <w:sz w:val="22"/>
                <w:szCs w:val="22"/>
                <w:lang w:eastAsia="en-GB"/>
              </w:rPr>
              <w:t>. (Response to issue identified by Jonathan Paul)</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Codes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MM34</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Complex</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Introduce the data representation standard for WIGOS metadata</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Codes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MM39</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Complex</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 xml:space="preserve">Package of updates to IWXXM to represent report types required by </w:t>
            </w:r>
            <w:proofErr w:type="spellStart"/>
            <w:r w:rsidRPr="00450D03">
              <w:rPr>
                <w:rFonts w:ascii="Calibri" w:eastAsia="Times New Roman" w:hAnsi="Calibri" w:cs="Times New Roman"/>
                <w:color w:val="000000"/>
                <w:sz w:val="22"/>
                <w:szCs w:val="22"/>
                <w:lang w:eastAsia="en-GB"/>
              </w:rPr>
              <w:t>Amd</w:t>
            </w:r>
            <w:proofErr w:type="spellEnd"/>
            <w:r w:rsidRPr="00450D03">
              <w:rPr>
                <w:rFonts w:ascii="Calibri" w:eastAsia="Times New Roman" w:hAnsi="Calibri" w:cs="Times New Roman"/>
                <w:color w:val="000000"/>
                <w:sz w:val="22"/>
                <w:szCs w:val="22"/>
                <w:lang w:eastAsia="en-GB"/>
              </w:rPr>
              <w:t xml:space="preserve"> 77 to WMO 49 Vol 2 (ICAO Annex 3).</w:t>
            </w:r>
          </w:p>
        </w:tc>
      </w:tr>
      <w:tr w:rsidR="005C7A62" w:rsidRPr="00450D03" w:rsidTr="005C7A62">
        <w:trPr>
          <w:trHeight w:val="28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Codes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MM40</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Complex</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Introduce representation of time series of information (</w:t>
            </w:r>
            <w:proofErr w:type="spellStart"/>
            <w:r w:rsidRPr="00450D03">
              <w:rPr>
                <w:rFonts w:ascii="Calibri" w:eastAsia="Times New Roman" w:hAnsi="Calibri" w:cs="Times New Roman"/>
                <w:color w:val="000000"/>
                <w:sz w:val="22"/>
                <w:szCs w:val="22"/>
                <w:lang w:eastAsia="en-GB"/>
              </w:rPr>
              <w:t>TimeSeriesML</w:t>
            </w:r>
            <w:proofErr w:type="spellEnd"/>
            <w:r w:rsidRPr="00450D03">
              <w:rPr>
                <w:rFonts w:ascii="Calibri" w:eastAsia="Times New Roman" w:hAnsi="Calibri" w:cs="Times New Roman"/>
                <w:color w:val="000000"/>
                <w:sz w:val="22"/>
                <w:szCs w:val="22"/>
                <w:lang w:eastAsia="en-GB"/>
              </w:rPr>
              <w:t xml:space="preserve">) into </w:t>
            </w:r>
            <w:proofErr w:type="spellStart"/>
            <w:r w:rsidRPr="00450D03">
              <w:rPr>
                <w:rFonts w:ascii="Calibri" w:eastAsia="Times New Roman" w:hAnsi="Calibri" w:cs="Times New Roman"/>
                <w:color w:val="000000"/>
                <w:sz w:val="22"/>
                <w:szCs w:val="22"/>
                <w:lang w:eastAsia="en-GB"/>
              </w:rPr>
              <w:t>metce</w:t>
            </w:r>
            <w:proofErr w:type="spellEnd"/>
            <w:r w:rsidRPr="00450D03">
              <w:rPr>
                <w:rFonts w:ascii="Calibri" w:eastAsia="Times New Roman" w:hAnsi="Calibri" w:cs="Times New Roman"/>
                <w:color w:val="000000"/>
                <w:sz w:val="22"/>
                <w:szCs w:val="22"/>
                <w:lang w:eastAsia="en-GB"/>
              </w:rPr>
              <w:t xml:space="preserve"> family</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Codes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MM41</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Complex</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 xml:space="preserve">Include WaterML2 as a WMO standard based on the OGC standard developed with </w:t>
            </w:r>
            <w:proofErr w:type="spellStart"/>
            <w:r w:rsidRPr="00450D03">
              <w:rPr>
                <w:rFonts w:ascii="Calibri" w:eastAsia="Times New Roman" w:hAnsi="Calibri" w:cs="Times New Roman"/>
                <w:color w:val="000000"/>
                <w:sz w:val="22"/>
                <w:szCs w:val="22"/>
                <w:lang w:eastAsia="en-GB"/>
              </w:rPr>
              <w:t>CHy</w:t>
            </w:r>
            <w:proofErr w:type="spellEnd"/>
            <w:r w:rsidRPr="00450D03">
              <w:rPr>
                <w:rFonts w:ascii="Calibri" w:eastAsia="Times New Roman" w:hAnsi="Calibri" w:cs="Times New Roman"/>
                <w:color w:val="000000"/>
                <w:sz w:val="22"/>
                <w:szCs w:val="22"/>
                <w:lang w:eastAsia="en-GB"/>
              </w:rPr>
              <w:t>.</w:t>
            </w:r>
          </w:p>
        </w:tc>
      </w:tr>
      <w:tr w:rsidR="005C7A62" w:rsidRPr="00450D03" w:rsidTr="005C7A62">
        <w:trPr>
          <w:trHeight w:val="290"/>
        </w:trPr>
        <w:tc>
          <w:tcPr>
            <w:tcW w:w="410"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Codes</w:t>
            </w:r>
          </w:p>
        </w:tc>
        <w:tc>
          <w:tcPr>
            <w:tcW w:w="431"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MM25</w:t>
            </w:r>
          </w:p>
        </w:tc>
        <w:tc>
          <w:tcPr>
            <w:tcW w:w="576" w:type="dxa"/>
            <w:tcBorders>
              <w:top w:val="nil"/>
              <w:left w:val="nil"/>
              <w:bottom w:val="nil"/>
              <w:right w:val="nil"/>
            </w:tcBorders>
            <w:shd w:val="clear" w:color="auto" w:fill="auto"/>
            <w:noWrap/>
          </w:tcPr>
          <w:p w:rsidR="005C7A62" w:rsidRPr="00450D03" w:rsidRDefault="005C7A62" w:rsidP="005C7A62">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Withdrawn?</w:t>
            </w:r>
          </w:p>
        </w:tc>
        <w:tc>
          <w:tcPr>
            <w:tcW w:w="49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 xml:space="preserve">Annex 3 Amendment 77 is expected to prohibit reporting of more than one precipitation type in the recent precipitation group of recent weather. This means that </w:t>
            </w:r>
            <w:proofErr w:type="spellStart"/>
            <w:r w:rsidRPr="00450D03">
              <w:rPr>
                <w:rFonts w:ascii="Calibri" w:eastAsia="Times New Roman" w:hAnsi="Calibri" w:cs="Times New Roman"/>
                <w:color w:val="000000"/>
                <w:sz w:val="22"/>
                <w:szCs w:val="22"/>
                <w:lang w:eastAsia="en-GB"/>
              </w:rPr>
              <w:t>REaabb</w:t>
            </w:r>
            <w:proofErr w:type="spellEnd"/>
            <w:r w:rsidRPr="00450D03">
              <w:rPr>
                <w:rFonts w:ascii="Calibri" w:eastAsia="Times New Roman" w:hAnsi="Calibri" w:cs="Times New Roman"/>
                <w:color w:val="000000"/>
                <w:sz w:val="22"/>
                <w:szCs w:val="22"/>
                <w:lang w:eastAsia="en-GB"/>
              </w:rPr>
              <w:t xml:space="preserve"> is not permitted where both aa and bb represent precipitation types. This has to be reflected in IWXXM. (Impacts METAR and SPECI)</w:t>
            </w:r>
          </w:p>
        </w:tc>
      </w:tr>
      <w:tr w:rsidR="005C7A62" w:rsidRPr="00450D03" w:rsidTr="005C7A62">
        <w:trPr>
          <w:trHeight w:val="290"/>
        </w:trPr>
        <w:tc>
          <w:tcPr>
            <w:tcW w:w="410"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MM38</w:t>
            </w:r>
          </w:p>
        </w:tc>
        <w:tc>
          <w:tcPr>
            <w:tcW w:w="57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 xml:space="preserve">Add a new </w:t>
            </w:r>
            <w:proofErr w:type="spellStart"/>
            <w:r w:rsidRPr="00450D03">
              <w:rPr>
                <w:rFonts w:ascii="Calibri" w:eastAsia="Times New Roman" w:hAnsi="Calibri" w:cs="Times New Roman"/>
                <w:color w:val="000000"/>
                <w:sz w:val="22"/>
                <w:szCs w:val="22"/>
                <w:lang w:eastAsia="en-GB"/>
              </w:rPr>
              <w:t>WMODataLicense</w:t>
            </w:r>
            <w:proofErr w:type="spellEnd"/>
            <w:r w:rsidRPr="00450D03">
              <w:rPr>
                <w:rFonts w:ascii="Calibri" w:eastAsia="Times New Roman" w:hAnsi="Calibri" w:cs="Times New Roman"/>
                <w:color w:val="000000"/>
                <w:sz w:val="22"/>
                <w:szCs w:val="22"/>
                <w:lang w:eastAsia="en-GB"/>
              </w:rPr>
              <w:t xml:space="preserve"> of </w:t>
            </w:r>
            <w:proofErr w:type="spellStart"/>
            <w:r w:rsidRPr="00450D03">
              <w:rPr>
                <w:rFonts w:ascii="Calibri" w:eastAsia="Times New Roman" w:hAnsi="Calibri" w:cs="Times New Roman"/>
                <w:color w:val="000000"/>
                <w:sz w:val="22"/>
                <w:szCs w:val="22"/>
                <w:lang w:eastAsia="en-GB"/>
              </w:rPr>
              <w:t>NotInternational</w:t>
            </w:r>
            <w:proofErr w:type="spellEnd"/>
            <w:r w:rsidRPr="00450D03">
              <w:rPr>
                <w:rFonts w:ascii="Calibri" w:eastAsia="Times New Roman" w:hAnsi="Calibri" w:cs="Times New Roman"/>
                <w:color w:val="000000"/>
                <w:sz w:val="22"/>
                <w:szCs w:val="22"/>
                <w:lang w:eastAsia="en-GB"/>
              </w:rPr>
              <w:t xml:space="preserve"> to indicate that the information is not intended for international exchange. This is in response of a requirement of the WIGOS metadata to distinguish between observation sites that distribute internationally and those that are normally for local or national use only.</w:t>
            </w:r>
          </w:p>
        </w:tc>
      </w:tr>
      <w:tr w:rsidR="005C7A62" w:rsidRPr="00450D03" w:rsidTr="005C7A62">
        <w:trPr>
          <w:trHeight w:val="290"/>
        </w:trPr>
        <w:tc>
          <w:tcPr>
            <w:tcW w:w="410"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MM26</w:t>
            </w:r>
          </w:p>
        </w:tc>
        <w:tc>
          <w:tcPr>
            <w:tcW w:w="57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Can the Data Format be encoded as an entry from a code list (</w:t>
            </w:r>
            <w:proofErr w:type="spellStart"/>
            <w:r w:rsidRPr="00450D03">
              <w:rPr>
                <w:rFonts w:ascii="Calibri" w:eastAsia="Times New Roman" w:hAnsi="Calibri" w:cs="Times New Roman"/>
                <w:color w:val="000000"/>
                <w:sz w:val="22"/>
                <w:szCs w:val="22"/>
                <w:lang w:eastAsia="en-GB"/>
              </w:rPr>
              <w:t>ie</w:t>
            </w:r>
            <w:proofErr w:type="spellEnd"/>
            <w:r w:rsidRPr="00450D03">
              <w:rPr>
                <w:rFonts w:ascii="Calibri" w:eastAsia="Times New Roman" w:hAnsi="Calibri" w:cs="Times New Roman"/>
                <w:color w:val="000000"/>
                <w:sz w:val="22"/>
                <w:szCs w:val="22"/>
                <w:lang w:eastAsia="en-GB"/>
              </w:rPr>
              <w:t xml:space="preserve"> introduce a code list of formats). This code list would also be used by the WIGOS </w:t>
            </w:r>
            <w:proofErr w:type="spellStart"/>
            <w:r w:rsidRPr="00450D03">
              <w:rPr>
                <w:rFonts w:ascii="Calibri" w:eastAsia="Times New Roman" w:hAnsi="Calibri" w:cs="Times New Roman"/>
                <w:color w:val="000000"/>
                <w:sz w:val="22"/>
                <w:szCs w:val="22"/>
                <w:lang w:eastAsia="en-GB"/>
              </w:rPr>
              <w:t>metadt</w:t>
            </w:r>
            <w:r>
              <w:rPr>
                <w:rFonts w:ascii="Calibri" w:eastAsia="Times New Roman" w:hAnsi="Calibri" w:cs="Times New Roman"/>
                <w:color w:val="000000"/>
                <w:sz w:val="22"/>
                <w:szCs w:val="22"/>
                <w:lang w:eastAsia="en-GB"/>
              </w:rPr>
              <w:t>a</w:t>
            </w:r>
            <w:r w:rsidRPr="00450D03">
              <w:rPr>
                <w:rFonts w:ascii="Calibri" w:eastAsia="Times New Roman" w:hAnsi="Calibri" w:cs="Times New Roman"/>
                <w:color w:val="000000"/>
                <w:sz w:val="22"/>
                <w:szCs w:val="22"/>
                <w:lang w:eastAsia="en-GB"/>
              </w:rPr>
              <w:t>a</w:t>
            </w:r>
            <w:proofErr w:type="spellEnd"/>
            <w:r w:rsidRPr="00450D03">
              <w:rPr>
                <w:rFonts w:ascii="Calibri" w:eastAsia="Times New Roman" w:hAnsi="Calibri" w:cs="Times New Roman"/>
                <w:color w:val="000000"/>
                <w:sz w:val="22"/>
                <w:szCs w:val="22"/>
                <w:lang w:eastAsia="en-GB"/>
              </w:rPr>
              <w:t xml:space="preserve"> standard.</w:t>
            </w:r>
          </w:p>
        </w:tc>
      </w:tr>
      <w:tr w:rsidR="005C7A62" w:rsidRPr="00450D03" w:rsidTr="005C7A62">
        <w:trPr>
          <w:trHeight w:val="290"/>
        </w:trPr>
        <w:tc>
          <w:tcPr>
            <w:tcW w:w="410"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MM36</w:t>
            </w:r>
          </w:p>
        </w:tc>
        <w:tc>
          <w:tcPr>
            <w:tcW w:w="57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Develop a mapping between the descriptions of data policy in the WMO Core Profile and the GEOSS data policies (for version 2.0 of the WIS standard).</w:t>
            </w:r>
          </w:p>
        </w:tc>
      </w:tr>
      <w:tr w:rsidR="005C7A62" w:rsidRPr="00450D03" w:rsidTr="005C7A62">
        <w:trPr>
          <w:trHeight w:val="290"/>
        </w:trPr>
        <w:tc>
          <w:tcPr>
            <w:tcW w:w="410"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lastRenderedPageBreak/>
              <w:t>WIS</w:t>
            </w:r>
          </w:p>
        </w:tc>
        <w:tc>
          <w:tcPr>
            <w:tcW w:w="431"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MM27</w:t>
            </w:r>
          </w:p>
        </w:tc>
        <w:tc>
          <w:tcPr>
            <w:tcW w:w="57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How can a user (</w:t>
            </w:r>
            <w:proofErr w:type="spellStart"/>
            <w:r w:rsidRPr="00450D03">
              <w:rPr>
                <w:rFonts w:ascii="Calibri" w:eastAsia="Times New Roman" w:hAnsi="Calibri" w:cs="Times New Roman"/>
                <w:color w:val="000000"/>
                <w:sz w:val="22"/>
                <w:szCs w:val="22"/>
                <w:lang w:eastAsia="en-GB"/>
              </w:rPr>
              <w:t>eg</w:t>
            </w:r>
            <w:proofErr w:type="spellEnd"/>
            <w:r w:rsidRPr="00450D03">
              <w:rPr>
                <w:rFonts w:ascii="Calibri" w:eastAsia="Times New Roman" w:hAnsi="Calibri" w:cs="Times New Roman"/>
                <w:color w:val="000000"/>
                <w:sz w:val="22"/>
                <w:szCs w:val="22"/>
                <w:lang w:eastAsia="en-GB"/>
              </w:rPr>
              <w:t xml:space="preserve"> the WIGOS metadata recording system, OSCAR) refer a user directly to a WIS metadata record (</w:t>
            </w:r>
            <w:proofErr w:type="spellStart"/>
            <w:r w:rsidRPr="00450D03">
              <w:rPr>
                <w:rFonts w:ascii="Calibri" w:eastAsia="Times New Roman" w:hAnsi="Calibri" w:cs="Times New Roman"/>
                <w:color w:val="000000"/>
                <w:sz w:val="22"/>
                <w:szCs w:val="22"/>
                <w:lang w:eastAsia="en-GB"/>
              </w:rPr>
              <w:t>eg</w:t>
            </w:r>
            <w:proofErr w:type="spellEnd"/>
            <w:r w:rsidRPr="00450D03">
              <w:rPr>
                <w:rFonts w:ascii="Calibri" w:eastAsia="Times New Roman" w:hAnsi="Calibri" w:cs="Times New Roman"/>
                <w:color w:val="000000"/>
                <w:sz w:val="22"/>
                <w:szCs w:val="22"/>
                <w:lang w:eastAsia="en-GB"/>
              </w:rPr>
              <w:t xml:space="preserve"> click and see metadata element)?</w:t>
            </w:r>
          </w:p>
        </w:tc>
      </w:tr>
      <w:tr w:rsidR="005C7A62" w:rsidRPr="00450D03" w:rsidTr="005C7A62">
        <w:trPr>
          <w:trHeight w:val="290"/>
        </w:trPr>
        <w:tc>
          <w:tcPr>
            <w:tcW w:w="410"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MM28</w:t>
            </w:r>
          </w:p>
        </w:tc>
        <w:tc>
          <w:tcPr>
            <w:tcW w:w="57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How can users find information originating from a specific station?</w:t>
            </w:r>
          </w:p>
        </w:tc>
      </w:tr>
      <w:tr w:rsidR="005C7A62" w:rsidRPr="00450D03" w:rsidTr="005C7A62">
        <w:trPr>
          <w:trHeight w:val="290"/>
        </w:trPr>
        <w:tc>
          <w:tcPr>
            <w:tcW w:w="410"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MM35</w:t>
            </w:r>
          </w:p>
        </w:tc>
        <w:tc>
          <w:tcPr>
            <w:tcW w:w="57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 xml:space="preserve">Specify a maximum length for a </w:t>
            </w:r>
            <w:proofErr w:type="spellStart"/>
            <w:r w:rsidRPr="00450D03">
              <w:rPr>
                <w:rFonts w:ascii="Calibri" w:eastAsia="Times New Roman" w:hAnsi="Calibri" w:cs="Times New Roman"/>
                <w:color w:val="000000"/>
                <w:sz w:val="22"/>
                <w:szCs w:val="22"/>
                <w:lang w:eastAsia="en-GB"/>
              </w:rPr>
              <w:t>gmd:fileIdentifier</w:t>
            </w:r>
            <w:proofErr w:type="spellEnd"/>
            <w:r w:rsidRPr="00450D03">
              <w:rPr>
                <w:rFonts w:ascii="Calibri" w:eastAsia="Times New Roman" w:hAnsi="Calibri" w:cs="Times New Roman"/>
                <w:color w:val="000000"/>
                <w:sz w:val="22"/>
                <w:szCs w:val="22"/>
                <w:lang w:eastAsia="en-GB"/>
              </w:rPr>
              <w:t xml:space="preserve"> (so that application developers can make their applications more efficient)</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MM12</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Add keywords to allow Humanitarian Agencies to identify products intended to assist with Disaster Management</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MM13</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For those datasets that are produced as routine and contain observations, indicate the delay between the nominal time of the observation and the observation becoming available in the product, dataset or service being described by the metadata record.</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MM29</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Combine code lists for WIS metadata and WIGOS metadata where appropriate (for example lists of parameter names) - and should these also be combined with the METCE lists.</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MM30</w:t>
            </w:r>
          </w:p>
        </w:tc>
        <w:tc>
          <w:tcPr>
            <w:tcW w:w="1072" w:type="dxa"/>
            <w:gridSpan w:val="2"/>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Introduce a hierarchy into code list items. Users of the WIGOS metadata interface find it very difficult to find code list items and it was necessary to introduce a hierarchy. Should the same be done for WIS metadata code lists?</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MM31</w:t>
            </w:r>
          </w:p>
        </w:tc>
        <w:tc>
          <w:tcPr>
            <w:tcW w:w="1072" w:type="dxa"/>
            <w:gridSpan w:val="2"/>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Is it possible to create a hierarchy of metadata records so that search can be made simpler by returning fewer records that refer to groups that can be drilled down into?</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MM37</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 xml:space="preserve">Include the Climate Data Management System Specifications in the </w:t>
            </w:r>
            <w:r>
              <w:rPr>
                <w:rFonts w:ascii="Calibri" w:eastAsia="Times New Roman" w:hAnsi="Calibri" w:cs="Times New Roman"/>
                <w:color w:val="000000"/>
                <w:sz w:val="22"/>
                <w:szCs w:val="22"/>
                <w:lang w:eastAsia="en-GB"/>
              </w:rPr>
              <w:t>WIS</w:t>
            </w:r>
            <w:r w:rsidRPr="00450D03">
              <w:rPr>
                <w:rFonts w:ascii="Calibri" w:eastAsia="Times New Roman" w:hAnsi="Calibri" w:cs="Times New Roman"/>
                <w:color w:val="000000"/>
                <w:sz w:val="22"/>
                <w:szCs w:val="22"/>
                <w:lang w:eastAsia="en-GB"/>
              </w:rPr>
              <w:t xml:space="preserve"> (Part C of the WIS) - see Res 34 Cg-17</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MM6</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Add completeness of dataset to quality description as optional element</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MM7</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0=Received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Undecided</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Expand use of Scope of Distribution keyword</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MM33</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1=Review</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Simple</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 xml:space="preserve">Annex C of </w:t>
            </w:r>
            <w:r>
              <w:rPr>
                <w:rFonts w:ascii="Calibri" w:eastAsia="Times New Roman" w:hAnsi="Calibri" w:cs="Times New Roman"/>
                <w:color w:val="000000"/>
                <w:sz w:val="22"/>
                <w:szCs w:val="22"/>
                <w:lang w:eastAsia="en-GB"/>
              </w:rPr>
              <w:t>WIS</w:t>
            </w:r>
            <w:r w:rsidRPr="00450D03">
              <w:rPr>
                <w:rFonts w:ascii="Calibri" w:eastAsia="Times New Roman" w:hAnsi="Calibri" w:cs="Times New Roman"/>
                <w:color w:val="000000"/>
                <w:sz w:val="22"/>
                <w:szCs w:val="22"/>
                <w:lang w:eastAsia="en-GB"/>
              </w:rPr>
              <w:t>, paragraph 2.3.1 section on ""Test purpose"" change ""</w:t>
            </w:r>
            <w:proofErr w:type="spellStart"/>
            <w:r w:rsidRPr="00450D03">
              <w:rPr>
                <w:rFonts w:ascii="Calibri" w:eastAsia="Times New Roman" w:hAnsi="Calibri" w:cs="Times New Roman"/>
                <w:color w:val="000000"/>
                <w:sz w:val="22"/>
                <w:szCs w:val="22"/>
                <w:lang w:eastAsia="en-GB"/>
              </w:rPr>
              <w:t>dataCenterdataCentre</w:t>
            </w:r>
            <w:proofErr w:type="spellEnd"/>
            <w:r w:rsidRPr="00450D03">
              <w:rPr>
                <w:rFonts w:ascii="Calibri" w:eastAsia="Times New Roman" w:hAnsi="Calibri" w:cs="Times New Roman"/>
                <w:color w:val="000000"/>
                <w:sz w:val="22"/>
                <w:szCs w:val="22"/>
                <w:lang w:eastAsia="en-GB"/>
              </w:rPr>
              <w:t>"" to ""</w:t>
            </w:r>
            <w:proofErr w:type="spellStart"/>
            <w:r w:rsidRPr="00450D03">
              <w:rPr>
                <w:rFonts w:ascii="Calibri" w:eastAsia="Times New Roman" w:hAnsi="Calibri" w:cs="Times New Roman"/>
                <w:color w:val="000000"/>
                <w:sz w:val="22"/>
                <w:szCs w:val="22"/>
                <w:lang w:eastAsia="en-GB"/>
              </w:rPr>
              <w:t>dataCentre</w:t>
            </w:r>
            <w:proofErr w:type="spellEnd"/>
            <w:r w:rsidRPr="00450D03">
              <w:rPr>
                <w:rFonts w:ascii="Calibri" w:eastAsia="Times New Roman" w:hAnsi="Calibri" w:cs="Times New Roman"/>
                <w:color w:val="000000"/>
                <w:sz w:val="22"/>
                <w:szCs w:val="22"/>
                <w:lang w:eastAsia="en-GB"/>
              </w:rPr>
              <w:t xml:space="preserve">"". This is an editorial change and makes </w:t>
            </w:r>
            <w:proofErr w:type="spellStart"/>
            <w:r w:rsidRPr="00450D03">
              <w:rPr>
                <w:rFonts w:ascii="Calibri" w:eastAsia="Times New Roman" w:hAnsi="Calibri" w:cs="Times New Roman"/>
                <w:color w:val="000000"/>
                <w:sz w:val="22"/>
                <w:szCs w:val="22"/>
                <w:lang w:eastAsia="en-GB"/>
              </w:rPr>
              <w:t>hte</w:t>
            </w:r>
            <w:proofErr w:type="spellEnd"/>
            <w:r w:rsidRPr="00450D03">
              <w:rPr>
                <w:rFonts w:ascii="Calibri" w:eastAsia="Times New Roman" w:hAnsi="Calibri" w:cs="Times New Roman"/>
                <w:color w:val="000000"/>
                <w:sz w:val="22"/>
                <w:szCs w:val="22"/>
                <w:lang w:eastAsia="en-GB"/>
              </w:rPr>
              <w:t xml:space="preserve"> text consistent with the </w:t>
            </w:r>
            <w:proofErr w:type="spellStart"/>
            <w:r w:rsidRPr="00450D03">
              <w:rPr>
                <w:rFonts w:ascii="Calibri" w:eastAsia="Times New Roman" w:hAnsi="Calibri" w:cs="Times New Roman"/>
                <w:color w:val="000000"/>
                <w:sz w:val="22"/>
                <w:szCs w:val="22"/>
                <w:lang w:eastAsia="en-GB"/>
              </w:rPr>
              <w:t>expmple</w:t>
            </w:r>
            <w:proofErr w:type="spellEnd"/>
            <w:r w:rsidRPr="00450D03">
              <w:rPr>
                <w:rFonts w:ascii="Calibri" w:eastAsia="Times New Roman" w:hAnsi="Calibri" w:cs="Times New Roman"/>
                <w:color w:val="000000"/>
                <w:sz w:val="22"/>
                <w:szCs w:val="22"/>
                <w:lang w:eastAsia="en-GB"/>
              </w:rPr>
              <w:t xml:space="preserve"> that follows.</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MM24</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7=Approved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Simple</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 xml:space="preserve">Seventeenth Congress resolution 8.1(2)/1 introduced an information exchange framework for information relevant to GFCS. It introduced three categories of IPR constraint that need to be recorded in </w:t>
            </w:r>
            <w:proofErr w:type="spellStart"/>
            <w:r w:rsidRPr="00450D03">
              <w:rPr>
                <w:rFonts w:ascii="Calibri" w:eastAsia="Times New Roman" w:hAnsi="Calibri" w:cs="Times New Roman"/>
                <w:color w:val="000000"/>
                <w:sz w:val="22"/>
                <w:szCs w:val="22"/>
                <w:lang w:eastAsia="en-GB"/>
              </w:rPr>
              <w:t>WMO_DataLicenseCode</w:t>
            </w:r>
            <w:proofErr w:type="spellEnd"/>
            <w:r w:rsidRPr="00450D03">
              <w:rPr>
                <w:rFonts w:ascii="Calibri" w:eastAsia="Times New Roman" w:hAnsi="Calibri" w:cs="Times New Roman"/>
                <w:color w:val="000000"/>
                <w:sz w:val="22"/>
                <w:szCs w:val="22"/>
                <w:lang w:eastAsia="en-GB"/>
              </w:rPr>
              <w:t xml:space="preserve">. Data essential for GFCS without restrictions; data volunteered by Members without restrictions and data volunteered by Members with restrictions. See the </w:t>
            </w:r>
            <w:proofErr w:type="spellStart"/>
            <w:r w:rsidRPr="00450D03">
              <w:rPr>
                <w:rFonts w:ascii="Calibri" w:eastAsia="Times New Roman" w:hAnsi="Calibri" w:cs="Times New Roman"/>
                <w:color w:val="000000"/>
                <w:sz w:val="22"/>
                <w:szCs w:val="22"/>
                <w:lang w:eastAsia="en-GB"/>
              </w:rPr>
              <w:t>Contress</w:t>
            </w:r>
            <w:proofErr w:type="spellEnd"/>
            <w:r w:rsidRPr="00450D03">
              <w:rPr>
                <w:rFonts w:ascii="Calibri" w:eastAsia="Times New Roman" w:hAnsi="Calibri" w:cs="Times New Roman"/>
                <w:color w:val="000000"/>
                <w:sz w:val="22"/>
                <w:szCs w:val="22"/>
                <w:lang w:eastAsia="en-GB"/>
              </w:rPr>
              <w:t xml:space="preserve"> resolution for the correct phrasing.</w:t>
            </w:r>
          </w:p>
        </w:tc>
      </w:tr>
      <w:tr w:rsidR="005C7A62" w:rsidRPr="00450D03" w:rsidTr="005C7A62">
        <w:trPr>
          <w:trHeight w:val="290"/>
        </w:trPr>
        <w:tc>
          <w:tcPr>
            <w:tcW w:w="410"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WIS</w:t>
            </w:r>
          </w:p>
        </w:tc>
        <w:tc>
          <w:tcPr>
            <w:tcW w:w="431"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MM32</w:t>
            </w:r>
          </w:p>
        </w:tc>
        <w:tc>
          <w:tcPr>
            <w:tcW w:w="57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7=Approved</w:t>
            </w:r>
          </w:p>
        </w:tc>
        <w:tc>
          <w:tcPr>
            <w:tcW w:w="496"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Pr>
                <w:rFonts w:ascii="Calibri" w:eastAsia="Times New Roman" w:hAnsi="Calibri" w:cs="Times New Roman"/>
                <w:color w:val="000000"/>
                <w:sz w:val="22"/>
                <w:szCs w:val="22"/>
                <w:lang w:eastAsia="en-GB"/>
              </w:rPr>
              <w:t>Simple</w:t>
            </w:r>
          </w:p>
        </w:tc>
        <w:tc>
          <w:tcPr>
            <w:tcW w:w="3447" w:type="dxa"/>
            <w:tcBorders>
              <w:top w:val="nil"/>
              <w:left w:val="nil"/>
              <w:bottom w:val="nil"/>
              <w:right w:val="nil"/>
            </w:tcBorders>
            <w:shd w:val="clear" w:color="auto" w:fill="auto"/>
            <w:noWrap/>
            <w:hideMark/>
          </w:tcPr>
          <w:p w:rsidR="005C7A62" w:rsidRPr="00450D03" w:rsidRDefault="005C7A62" w:rsidP="008E44F3">
            <w:pPr>
              <w:tabs>
                <w:tab w:val="clear" w:pos="1134"/>
              </w:tabs>
              <w:jc w:val="left"/>
              <w:rPr>
                <w:rFonts w:ascii="Calibri" w:eastAsia="Times New Roman" w:hAnsi="Calibri" w:cs="Times New Roman"/>
                <w:color w:val="000000"/>
                <w:sz w:val="22"/>
                <w:szCs w:val="22"/>
                <w:lang w:eastAsia="en-GB"/>
              </w:rPr>
            </w:pPr>
            <w:r w:rsidRPr="00450D03">
              <w:rPr>
                <w:rFonts w:ascii="Calibri" w:eastAsia="Times New Roman" w:hAnsi="Calibri" w:cs="Times New Roman"/>
                <w:color w:val="000000"/>
                <w:sz w:val="22"/>
                <w:szCs w:val="22"/>
                <w:lang w:eastAsia="en-GB"/>
              </w:rPr>
              <w:t xml:space="preserve">Consolidated changes for First Simple Procedure of 2016. Update definitions of </w:t>
            </w:r>
            <w:proofErr w:type="spellStart"/>
            <w:r w:rsidRPr="00450D03">
              <w:rPr>
                <w:rFonts w:ascii="Calibri" w:eastAsia="Times New Roman" w:hAnsi="Calibri" w:cs="Times New Roman"/>
                <w:color w:val="000000"/>
                <w:sz w:val="22"/>
                <w:szCs w:val="22"/>
                <w:lang w:eastAsia="en-GB"/>
              </w:rPr>
              <w:t>WMOEssential</w:t>
            </w:r>
            <w:proofErr w:type="spellEnd"/>
            <w:r w:rsidRPr="00450D03">
              <w:rPr>
                <w:rFonts w:ascii="Calibri" w:eastAsia="Times New Roman" w:hAnsi="Calibri" w:cs="Times New Roman"/>
                <w:color w:val="000000"/>
                <w:sz w:val="22"/>
                <w:szCs w:val="22"/>
                <w:lang w:eastAsia="en-GB"/>
              </w:rPr>
              <w:t xml:space="preserve"> and </w:t>
            </w:r>
            <w:proofErr w:type="spellStart"/>
            <w:r w:rsidRPr="00450D03">
              <w:rPr>
                <w:rFonts w:ascii="Calibri" w:eastAsia="Times New Roman" w:hAnsi="Calibri" w:cs="Times New Roman"/>
                <w:color w:val="000000"/>
                <w:sz w:val="22"/>
                <w:szCs w:val="22"/>
                <w:lang w:eastAsia="en-GB"/>
              </w:rPr>
              <w:t>WMOOther</w:t>
            </w:r>
            <w:proofErr w:type="spellEnd"/>
            <w:r w:rsidRPr="00450D03">
              <w:rPr>
                <w:rFonts w:ascii="Calibri" w:eastAsia="Times New Roman" w:hAnsi="Calibri" w:cs="Times New Roman"/>
                <w:color w:val="000000"/>
                <w:sz w:val="22"/>
                <w:szCs w:val="22"/>
                <w:lang w:eastAsia="en-GB"/>
              </w:rPr>
              <w:t xml:space="preserve"> to take account of Resolution 60 (Cg=17</w:t>
            </w:r>
            <w:proofErr w:type="gramStart"/>
            <w:r w:rsidRPr="00450D03">
              <w:rPr>
                <w:rFonts w:ascii="Calibri" w:eastAsia="Times New Roman" w:hAnsi="Calibri" w:cs="Times New Roman"/>
                <w:color w:val="000000"/>
                <w:sz w:val="22"/>
                <w:szCs w:val="22"/>
                <w:lang w:eastAsia="en-GB"/>
              </w:rPr>
              <w:t>)to</w:t>
            </w:r>
            <w:proofErr w:type="gramEnd"/>
            <w:r w:rsidRPr="00450D03">
              <w:rPr>
                <w:rFonts w:ascii="Calibri" w:eastAsia="Times New Roman" w:hAnsi="Calibri" w:cs="Times New Roman"/>
                <w:color w:val="000000"/>
                <w:sz w:val="22"/>
                <w:szCs w:val="22"/>
                <w:lang w:eastAsia="en-GB"/>
              </w:rPr>
              <w:t xml:space="preserve"> include GFCS relevant climate related data. </w:t>
            </w:r>
          </w:p>
        </w:tc>
      </w:tr>
    </w:tbl>
    <w:p w:rsidR="00A14FA1" w:rsidRPr="00712ED1" w:rsidRDefault="00A14FA1" w:rsidP="00450D03">
      <w:pPr>
        <w:pStyle w:val="BodyText"/>
      </w:pPr>
    </w:p>
    <w:sectPr w:rsidR="00A14FA1" w:rsidRPr="00712ED1" w:rsidSect="005C7A62">
      <w:headerReference w:type="default" r:id="rId9"/>
      <w:pgSz w:w="16840" w:h="11907" w:orient="landscape"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50A6" w:rsidRDefault="007050A6">
      <w:r>
        <w:separator/>
      </w:r>
    </w:p>
    <w:p w:rsidR="007050A6" w:rsidRDefault="007050A6"/>
    <w:p w:rsidR="007050A6" w:rsidRDefault="007050A6"/>
  </w:endnote>
  <w:endnote w:type="continuationSeparator" w:id="0">
    <w:p w:rsidR="007050A6" w:rsidRDefault="007050A6">
      <w:r>
        <w:continuationSeparator/>
      </w:r>
    </w:p>
    <w:p w:rsidR="007050A6" w:rsidRDefault="007050A6"/>
    <w:p w:rsidR="007050A6" w:rsidRDefault="007050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50A6" w:rsidRDefault="007050A6">
      <w:r>
        <w:separator/>
      </w:r>
    </w:p>
  </w:footnote>
  <w:footnote w:type="continuationSeparator" w:id="0">
    <w:p w:rsidR="007050A6" w:rsidRDefault="007050A6">
      <w:r>
        <w:continuationSeparator/>
      </w:r>
    </w:p>
    <w:p w:rsidR="007050A6" w:rsidRDefault="007050A6"/>
    <w:p w:rsidR="007050A6" w:rsidRDefault="007050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12A" w:rsidRDefault="00A14FA1" w:rsidP="00B72444">
    <w:pPr>
      <w:pStyle w:val="Header"/>
    </w:pPr>
    <w:r>
      <w:t>IPET</w:t>
    </w:r>
    <w:r w:rsidR="00450D03">
      <w:t>-MDRD-4/</w:t>
    </w:r>
    <w:proofErr w:type="spellStart"/>
    <w:r w:rsidR="00450D03">
      <w:t>Inf</w:t>
    </w:r>
    <w:proofErr w:type="spellEnd"/>
    <w:r w:rsidR="00450D03">
      <w:t xml:space="preserve"> 8.1(1)</w:t>
    </w:r>
    <w:r w:rsidR="0020095E" w:rsidRPr="00C2459D">
      <w:t xml:space="preserve"> p. </w:t>
    </w:r>
    <w:r w:rsidR="0020095E" w:rsidRPr="00C2459D">
      <w:rPr>
        <w:rStyle w:val="PageNumber"/>
      </w:rPr>
      <w:fldChar w:fldCharType="begin"/>
    </w:r>
    <w:r w:rsidR="0020095E" w:rsidRPr="00C2459D">
      <w:rPr>
        <w:rStyle w:val="PageNumber"/>
      </w:rPr>
      <w:instrText xml:space="preserve"> PAGE </w:instrText>
    </w:r>
    <w:r w:rsidR="0020095E" w:rsidRPr="00C2459D">
      <w:rPr>
        <w:rStyle w:val="PageNumber"/>
      </w:rPr>
      <w:fldChar w:fldCharType="separate"/>
    </w:r>
    <w:r w:rsidR="005C7A62">
      <w:rPr>
        <w:rStyle w:val="PageNumber"/>
        <w:noProof/>
      </w:rPr>
      <w:t>2</w:t>
    </w:r>
    <w:r w:rsidR="0020095E" w:rsidRPr="00C2459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C6CF93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4EAC2E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8AC24B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6909F9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8DC2F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15:restartNumberingAfterBreak="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6" w15:restartNumberingAfterBreak="0">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8" w15:restartNumberingAfterBreak="0">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2"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5" w15:restartNumberingAfterBreak="0">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5" w15:restartNumberingAfterBreak="0">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8" w15:restartNumberingAfterBreak="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7" w15:restartNumberingAfterBreak="0">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47"/>
  </w:num>
  <w:num w:numId="3">
    <w:abstractNumId w:val="29"/>
  </w:num>
  <w:num w:numId="4">
    <w:abstractNumId w:val="38"/>
  </w:num>
  <w:num w:numId="5">
    <w:abstractNumId w:val="18"/>
  </w:num>
  <w:num w:numId="6">
    <w:abstractNumId w:val="24"/>
  </w:num>
  <w:num w:numId="7">
    <w:abstractNumId w:val="19"/>
  </w:num>
  <w:num w:numId="8">
    <w:abstractNumId w:val="31"/>
  </w:num>
  <w:num w:numId="9">
    <w:abstractNumId w:val="23"/>
  </w:num>
  <w:num w:numId="10">
    <w:abstractNumId w:val="21"/>
  </w:num>
  <w:num w:numId="11">
    <w:abstractNumId w:val="37"/>
  </w:num>
  <w:num w:numId="12">
    <w:abstractNumId w:val="11"/>
  </w:num>
  <w:num w:numId="13">
    <w:abstractNumId w:val="27"/>
  </w:num>
  <w:num w:numId="14">
    <w:abstractNumId w:val="42"/>
  </w:num>
  <w:num w:numId="15">
    <w:abstractNumId w:val="20"/>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4"/>
  </w:num>
  <w:num w:numId="27">
    <w:abstractNumId w:val="32"/>
  </w:num>
  <w:num w:numId="28">
    <w:abstractNumId w:val="25"/>
  </w:num>
  <w:num w:numId="29">
    <w:abstractNumId w:val="33"/>
  </w:num>
  <w:num w:numId="30">
    <w:abstractNumId w:val="35"/>
  </w:num>
  <w:num w:numId="31">
    <w:abstractNumId w:val="14"/>
  </w:num>
  <w:num w:numId="32">
    <w:abstractNumId w:val="41"/>
  </w:num>
  <w:num w:numId="33">
    <w:abstractNumId w:val="40"/>
  </w:num>
  <w:num w:numId="34">
    <w:abstractNumId w:val="26"/>
  </w:num>
  <w:num w:numId="35">
    <w:abstractNumId w:val="28"/>
  </w:num>
  <w:num w:numId="36">
    <w:abstractNumId w:val="45"/>
  </w:num>
  <w:num w:numId="37">
    <w:abstractNumId w:val="36"/>
  </w:num>
  <w:num w:numId="38">
    <w:abstractNumId w:val="12"/>
  </w:num>
  <w:num w:numId="39">
    <w:abstractNumId w:val="13"/>
  </w:num>
  <w:num w:numId="40">
    <w:abstractNumId w:val="16"/>
  </w:num>
  <w:num w:numId="41">
    <w:abstractNumId w:val="10"/>
  </w:num>
  <w:num w:numId="42">
    <w:abstractNumId w:val="43"/>
  </w:num>
  <w:num w:numId="43">
    <w:abstractNumId w:val="15"/>
  </w:num>
  <w:num w:numId="44">
    <w:abstractNumId w:val="17"/>
  </w:num>
  <w:num w:numId="45">
    <w:abstractNumId w:val="34"/>
  </w:num>
  <w:num w:numId="46">
    <w:abstractNumId w:val="22"/>
  </w:num>
  <w:num w:numId="47">
    <w:abstractNumId w:val="39"/>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0B3"/>
    <w:rsid w:val="0003137A"/>
    <w:rsid w:val="00041171"/>
    <w:rsid w:val="00050F8E"/>
    <w:rsid w:val="000573AD"/>
    <w:rsid w:val="00072F17"/>
    <w:rsid w:val="000806D8"/>
    <w:rsid w:val="00082C80"/>
    <w:rsid w:val="00083847"/>
    <w:rsid w:val="00083C36"/>
    <w:rsid w:val="000A69BF"/>
    <w:rsid w:val="000C225A"/>
    <w:rsid w:val="000C6781"/>
    <w:rsid w:val="000F5E49"/>
    <w:rsid w:val="000F7A87"/>
    <w:rsid w:val="00111BFD"/>
    <w:rsid w:val="0011498B"/>
    <w:rsid w:val="00120147"/>
    <w:rsid w:val="00123140"/>
    <w:rsid w:val="00163BA3"/>
    <w:rsid w:val="00166B31"/>
    <w:rsid w:val="00180771"/>
    <w:rsid w:val="001930A3"/>
    <w:rsid w:val="001A341E"/>
    <w:rsid w:val="001B0EA6"/>
    <w:rsid w:val="001B1CDF"/>
    <w:rsid w:val="001B56F4"/>
    <w:rsid w:val="001C5462"/>
    <w:rsid w:val="001D6302"/>
    <w:rsid w:val="001E7DD0"/>
    <w:rsid w:val="001F1BDA"/>
    <w:rsid w:val="0020095E"/>
    <w:rsid w:val="00210D30"/>
    <w:rsid w:val="00234A34"/>
    <w:rsid w:val="0025255D"/>
    <w:rsid w:val="00270480"/>
    <w:rsid w:val="002779AF"/>
    <w:rsid w:val="002823D8"/>
    <w:rsid w:val="0028531A"/>
    <w:rsid w:val="00285446"/>
    <w:rsid w:val="00295593"/>
    <w:rsid w:val="002A386C"/>
    <w:rsid w:val="002C30BC"/>
    <w:rsid w:val="002C7A88"/>
    <w:rsid w:val="002D232B"/>
    <w:rsid w:val="002D5E00"/>
    <w:rsid w:val="002D6DAC"/>
    <w:rsid w:val="002E3FAD"/>
    <w:rsid w:val="002E4E16"/>
    <w:rsid w:val="00301E8C"/>
    <w:rsid w:val="00320009"/>
    <w:rsid w:val="0032424A"/>
    <w:rsid w:val="00380AF7"/>
    <w:rsid w:val="00394A05"/>
    <w:rsid w:val="00397770"/>
    <w:rsid w:val="00397880"/>
    <w:rsid w:val="003A7016"/>
    <w:rsid w:val="003E4046"/>
    <w:rsid w:val="003F125B"/>
    <w:rsid w:val="003F7B3F"/>
    <w:rsid w:val="0041078D"/>
    <w:rsid w:val="00416F97"/>
    <w:rsid w:val="0043039B"/>
    <w:rsid w:val="004423FE"/>
    <w:rsid w:val="00445C35"/>
    <w:rsid w:val="00450D03"/>
    <w:rsid w:val="004667E7"/>
    <w:rsid w:val="00475797"/>
    <w:rsid w:val="0049253B"/>
    <w:rsid w:val="004A140B"/>
    <w:rsid w:val="004B7BAA"/>
    <w:rsid w:val="004C2DF7"/>
    <w:rsid w:val="004C4E0B"/>
    <w:rsid w:val="004D497E"/>
    <w:rsid w:val="004E4809"/>
    <w:rsid w:val="004E6352"/>
    <w:rsid w:val="004E6460"/>
    <w:rsid w:val="004F6B46"/>
    <w:rsid w:val="00525B80"/>
    <w:rsid w:val="0053098F"/>
    <w:rsid w:val="00546D8E"/>
    <w:rsid w:val="00571AE1"/>
    <w:rsid w:val="00592267"/>
    <w:rsid w:val="005B0AE2"/>
    <w:rsid w:val="005B1F2C"/>
    <w:rsid w:val="005C7A62"/>
    <w:rsid w:val="005D03D9"/>
    <w:rsid w:val="005D666D"/>
    <w:rsid w:val="00615AB0"/>
    <w:rsid w:val="0061778C"/>
    <w:rsid w:val="00636B90"/>
    <w:rsid w:val="0064738B"/>
    <w:rsid w:val="006508EA"/>
    <w:rsid w:val="00697DB5"/>
    <w:rsid w:val="006A492A"/>
    <w:rsid w:val="006D5576"/>
    <w:rsid w:val="006E766D"/>
    <w:rsid w:val="007050A6"/>
    <w:rsid w:val="00705C9F"/>
    <w:rsid w:val="00712ED1"/>
    <w:rsid w:val="00716951"/>
    <w:rsid w:val="00735D9E"/>
    <w:rsid w:val="00754CF7"/>
    <w:rsid w:val="00771A68"/>
    <w:rsid w:val="007C212A"/>
    <w:rsid w:val="007E7D21"/>
    <w:rsid w:val="007F482F"/>
    <w:rsid w:val="00807CC5"/>
    <w:rsid w:val="008160B3"/>
    <w:rsid w:val="00831751"/>
    <w:rsid w:val="00835B42"/>
    <w:rsid w:val="00847D99"/>
    <w:rsid w:val="0085038E"/>
    <w:rsid w:val="0086271D"/>
    <w:rsid w:val="0086420B"/>
    <w:rsid w:val="00864DBF"/>
    <w:rsid w:val="00865AE2"/>
    <w:rsid w:val="008A7313"/>
    <w:rsid w:val="008A7D91"/>
    <w:rsid w:val="008B7FC7"/>
    <w:rsid w:val="008E1E4A"/>
    <w:rsid w:val="008E44F3"/>
    <w:rsid w:val="008F0615"/>
    <w:rsid w:val="008F1FDB"/>
    <w:rsid w:val="00950605"/>
    <w:rsid w:val="00952233"/>
    <w:rsid w:val="00954D66"/>
    <w:rsid w:val="00975D76"/>
    <w:rsid w:val="00982231"/>
    <w:rsid w:val="00982E51"/>
    <w:rsid w:val="009874B9"/>
    <w:rsid w:val="00993581"/>
    <w:rsid w:val="009A288C"/>
    <w:rsid w:val="009B6697"/>
    <w:rsid w:val="009C4C04"/>
    <w:rsid w:val="009F7566"/>
    <w:rsid w:val="00A06BFE"/>
    <w:rsid w:val="00A10F5D"/>
    <w:rsid w:val="00A14AF1"/>
    <w:rsid w:val="00A14FA1"/>
    <w:rsid w:val="00A16891"/>
    <w:rsid w:val="00A332E8"/>
    <w:rsid w:val="00A35AF5"/>
    <w:rsid w:val="00A35DDF"/>
    <w:rsid w:val="00A36CBA"/>
    <w:rsid w:val="00A50291"/>
    <w:rsid w:val="00A604CD"/>
    <w:rsid w:val="00A60FE6"/>
    <w:rsid w:val="00A654BE"/>
    <w:rsid w:val="00A874EF"/>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93B62"/>
    <w:rsid w:val="00B953D1"/>
    <w:rsid w:val="00BA30D0"/>
    <w:rsid w:val="00C04BD2"/>
    <w:rsid w:val="00C13EEC"/>
    <w:rsid w:val="00C156A4"/>
    <w:rsid w:val="00C20FAA"/>
    <w:rsid w:val="00C2459D"/>
    <w:rsid w:val="00C42C95"/>
    <w:rsid w:val="00C55E5B"/>
    <w:rsid w:val="00C720A4"/>
    <w:rsid w:val="00C7611C"/>
    <w:rsid w:val="00C94097"/>
    <w:rsid w:val="00CA4269"/>
    <w:rsid w:val="00CA7330"/>
    <w:rsid w:val="00CB64F0"/>
    <w:rsid w:val="00CC2909"/>
    <w:rsid w:val="00D05E6F"/>
    <w:rsid w:val="00D33442"/>
    <w:rsid w:val="00D44BAD"/>
    <w:rsid w:val="00D45B55"/>
    <w:rsid w:val="00D7097B"/>
    <w:rsid w:val="00D91DFA"/>
    <w:rsid w:val="00DB1AB2"/>
    <w:rsid w:val="00DD3A65"/>
    <w:rsid w:val="00DD62C6"/>
    <w:rsid w:val="00E00498"/>
    <w:rsid w:val="00E2617A"/>
    <w:rsid w:val="00E538E6"/>
    <w:rsid w:val="00E53BC0"/>
    <w:rsid w:val="00E66BBB"/>
    <w:rsid w:val="00E802A2"/>
    <w:rsid w:val="00E85C0B"/>
    <w:rsid w:val="00ED3F93"/>
    <w:rsid w:val="00ED67AF"/>
    <w:rsid w:val="00EE128C"/>
    <w:rsid w:val="00EF66D9"/>
    <w:rsid w:val="00EF6BA5"/>
    <w:rsid w:val="00EF780D"/>
    <w:rsid w:val="00EF7A98"/>
    <w:rsid w:val="00F0267E"/>
    <w:rsid w:val="00F474C9"/>
    <w:rsid w:val="00F61675"/>
    <w:rsid w:val="00F6686B"/>
    <w:rsid w:val="00F67F74"/>
    <w:rsid w:val="00F73DE3"/>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946E118A-3E4F-47B3-A604-B2F8B685A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No Spacing" w:qFormat="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WMOBodyText"/>
    <w:next w:val="BodyText"/>
    <w:link w:val="Heading2Char"/>
    <w:qFormat/>
    <w:rsid w:val="00712ED1"/>
    <w:pPr>
      <w:keepNext/>
      <w:keepLines/>
      <w:tabs>
        <w:tab w:val="clear" w:pos="1134"/>
      </w:tabs>
      <w:spacing w:before="360"/>
      <w:outlineLvl w:val="1"/>
    </w:pPr>
    <w:rPr>
      <w:b/>
      <w:bCs/>
      <w:iCs/>
      <w:sz w:val="24"/>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712ED1"/>
    <w:rPr>
      <w:rFonts w:ascii="Verdana" w:eastAsia="Arial" w:hAnsi="Verdana" w:cs="Arial"/>
      <w:b/>
      <w:bCs/>
      <w:iCs/>
      <w:sz w:val="24"/>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0">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1">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Action">
    <w:name w:val="_Action"/>
    <w:basedOn w:val="WMOBodyText"/>
    <w:next w:val="BodyText"/>
    <w:rsid w:val="00712ED1"/>
    <w:pPr>
      <w:numPr>
        <w:numId w:val="43"/>
      </w:numPr>
      <w:tabs>
        <w:tab w:val="clear" w:pos="1134"/>
        <w:tab w:val="left" w:pos="680"/>
        <w:tab w:val="left" w:pos="2041"/>
        <w:tab w:val="left" w:pos="2722"/>
        <w:tab w:val="left" w:pos="3402"/>
      </w:tabs>
      <w:spacing w:after="120"/>
    </w:pPr>
    <w:rPr>
      <w:rFonts w:eastAsia="MS Mincho" w:cs="Times New Roman"/>
      <w:color w:val="0000FF"/>
      <w:lang w:eastAsia="ja-JP"/>
    </w:rPr>
  </w:style>
  <w:style w:type="paragraph" w:customStyle="1" w:styleId="Actionold">
    <w:name w:val="_Action_old"/>
    <w:basedOn w:val="Action"/>
    <w:qFormat/>
    <w:rsid w:val="00712ED1"/>
    <w:pPr>
      <w:numPr>
        <w:numId w:val="0"/>
      </w:numPr>
      <w:spacing w:before="0"/>
    </w:pPr>
  </w:style>
  <w:style w:type="character" w:customStyle="1" w:styleId="Addedtext">
    <w:name w:val="_Added text"/>
    <w:rsid w:val="00712ED1"/>
    <w:rPr>
      <w:color w:val="008000"/>
      <w:u w:val="dash"/>
    </w:rPr>
  </w:style>
  <w:style w:type="paragraph" w:customStyle="1" w:styleId="BodyText">
    <w:name w:val="_Body Text"/>
    <w:basedOn w:val="WMOBodyText"/>
    <w:rsid w:val="00712ED1"/>
    <w:pPr>
      <w:tabs>
        <w:tab w:val="center" w:pos="4513"/>
      </w:tabs>
      <w:suppressAutoHyphens/>
      <w:spacing w:after="120"/>
    </w:pPr>
  </w:style>
  <w:style w:type="paragraph" w:customStyle="1" w:styleId="Briefing">
    <w:name w:val="_Briefing"/>
    <w:basedOn w:val="WMOBodyText"/>
    <w:rsid w:val="00712ED1"/>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paragraph" w:customStyle="1" w:styleId="Decision">
    <w:name w:val="_Decision"/>
    <w:basedOn w:val="WMOBodyText"/>
    <w:next w:val="BodyText"/>
    <w:rsid w:val="00712ED1"/>
    <w:pPr>
      <w:numPr>
        <w:numId w:val="44"/>
      </w:numPr>
      <w:tabs>
        <w:tab w:val="left" w:pos="680"/>
        <w:tab w:val="left" w:pos="2041"/>
        <w:tab w:val="left" w:pos="2722"/>
        <w:tab w:val="left" w:pos="3402"/>
      </w:tabs>
    </w:pPr>
    <w:rPr>
      <w:rFonts w:eastAsia="MS Mincho" w:cs="Times New Roman"/>
      <w:color w:val="339966"/>
      <w:lang w:eastAsia="ja-JP"/>
    </w:rPr>
  </w:style>
  <w:style w:type="character" w:customStyle="1" w:styleId="Deletedtext">
    <w:name w:val="_Deleted text"/>
    <w:rsid w:val="00712ED1"/>
    <w:rPr>
      <w:strike/>
      <w:dstrike w:val="0"/>
      <w:color w:val="FF0000"/>
    </w:rPr>
  </w:style>
  <w:style w:type="paragraph" w:customStyle="1" w:styleId="Pending">
    <w:name w:val="_Pending"/>
    <w:basedOn w:val="WMOBodyText"/>
    <w:next w:val="Normal"/>
    <w:rsid w:val="00712ED1"/>
    <w:pPr>
      <w:numPr>
        <w:numId w:val="45"/>
      </w:numPr>
      <w:tabs>
        <w:tab w:val="left" w:pos="680"/>
        <w:tab w:val="left" w:pos="2041"/>
        <w:tab w:val="left" w:pos="2722"/>
        <w:tab w:val="left" w:pos="3402"/>
      </w:tabs>
      <w:spacing w:after="120"/>
    </w:pPr>
    <w:rPr>
      <w:rFonts w:ascii="Arial" w:eastAsia="MS Mincho" w:hAnsi="Arial" w:cs="Times New Roman"/>
      <w:b/>
      <w:color w:val="FF0000"/>
      <w:sz w:val="22"/>
      <w:lang w:eastAsia="ja-JP"/>
    </w:rPr>
  </w:style>
  <w:style w:type="paragraph" w:customStyle="1" w:styleId="Personal">
    <w:name w:val="_Personal"/>
    <w:basedOn w:val="BodyText"/>
    <w:next w:val="Normal"/>
    <w:qFormat/>
    <w:rsid w:val="00712ED1"/>
    <w:pPr>
      <w:numPr>
        <w:numId w:val="46"/>
      </w:numPr>
    </w:pPr>
    <w:rPr>
      <w:color w:val="E36C0A" w:themeColor="accent6" w:themeShade="BF"/>
    </w:rPr>
  </w:style>
  <w:style w:type="paragraph" w:customStyle="1" w:styleId="BodyTextBullet">
    <w:name w:val="_Body Text Bullet"/>
    <w:basedOn w:val="BodyText"/>
    <w:rsid w:val="00712ED1"/>
    <w:pPr>
      <w:numPr>
        <w:numId w:val="47"/>
      </w:numPr>
    </w:pPr>
  </w:style>
  <w:style w:type="paragraph" w:customStyle="1" w:styleId="BodyTextNumbered">
    <w:name w:val="_Body Text Numbered"/>
    <w:basedOn w:val="BodyText"/>
    <w:rsid w:val="00712ED1"/>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596578">
      <w:bodyDiv w:val="1"/>
      <w:marLeft w:val="0"/>
      <w:marRight w:val="0"/>
      <w:marTop w:val="0"/>
      <w:marBottom w:val="0"/>
      <w:divBdr>
        <w:top w:val="none" w:sz="0" w:space="0" w:color="auto"/>
        <w:left w:val="none" w:sz="0" w:space="0" w:color="auto"/>
        <w:bottom w:val="none" w:sz="0" w:space="0" w:color="auto"/>
        <w:right w:val="none" w:sz="0" w:space="0" w:color="auto"/>
      </w:divBdr>
    </w:div>
    <w:div w:id="743335798">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6A11B-0B38-4BB6-860E-EE3337AA5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43</TotalTime>
  <Pages>2</Pages>
  <Words>727</Words>
  <Characters>4149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4867</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4</cp:revision>
  <cp:lastPrinted>2013-03-12T09:27:00Z</cp:lastPrinted>
  <dcterms:created xsi:type="dcterms:W3CDTF">2016-05-08T07:35:00Z</dcterms:created>
  <dcterms:modified xsi:type="dcterms:W3CDTF">2016-05-08T08:18:00Z</dcterms:modified>
</cp:coreProperties>
</file>