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912"/>
        <w:gridCol w:w="2977"/>
      </w:tblGrid>
      <w:tr w:rsidR="00993581" w:rsidRPr="00923097" w:rsidTr="00DE0041">
        <w:trPr>
          <w:trHeight w:val="282"/>
        </w:trPr>
        <w:tc>
          <w:tcPr>
            <w:tcW w:w="6912" w:type="dxa"/>
            <w:vMerge w:val="restart"/>
          </w:tcPr>
          <w:p w:rsidR="00993581" w:rsidRPr="00923097"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923097">
              <w:rPr>
                <w:noProof/>
                <w:color w:val="365F91" w:themeColor="accent1" w:themeShade="BF"/>
                <w:szCs w:val="22"/>
                <w:lang w:eastAsia="zh-CN"/>
              </w:rPr>
              <w:drawing>
                <wp:anchor distT="0" distB="0" distL="114300" distR="114300" simplePos="0" relativeHeight="251671552" behindDoc="1" locked="1" layoutInCell="1" allowOverlap="1" wp14:anchorId="1D931190" wp14:editId="2E157F0E">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sidRPr="00923097">
              <w:rPr>
                <w:rFonts w:cs="Tahoma"/>
                <w:b/>
                <w:bCs/>
                <w:color w:val="365F91" w:themeColor="accent1" w:themeShade="BF"/>
                <w:szCs w:val="22"/>
              </w:rPr>
              <w:t>World Meteorological Organization</w:t>
            </w:r>
          </w:p>
          <w:p w:rsidR="00993581" w:rsidRPr="00923097"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sidRPr="00923097">
              <w:rPr>
                <w:rFonts w:cs="Tahoma"/>
                <w:b/>
                <w:color w:val="365F91" w:themeColor="accent1" w:themeShade="BF"/>
                <w:spacing w:val="-2"/>
                <w:szCs w:val="22"/>
              </w:rPr>
              <w:t>COMMISSION FOR BASIC SYSTEMS</w:t>
            </w:r>
          </w:p>
          <w:p w:rsidR="00712ED1" w:rsidRPr="00923097"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sidRPr="00923097">
              <w:rPr>
                <w:rFonts w:cstheme="minorBidi"/>
                <w:b/>
                <w:snapToGrid w:val="0"/>
                <w:color w:val="365F91" w:themeColor="accent1" w:themeShade="BF"/>
                <w:szCs w:val="22"/>
              </w:rPr>
              <w:t>Inter-Programme Expert Team on Metadata and Data Representation Development</w:t>
            </w:r>
          </w:p>
          <w:p w:rsidR="00993581" w:rsidRPr="00923097" w:rsidRDefault="00712ED1" w:rsidP="00993581">
            <w:pPr>
              <w:tabs>
                <w:tab w:val="left" w:pos="6946"/>
              </w:tabs>
              <w:suppressAutoHyphens/>
              <w:spacing w:after="120" w:line="252" w:lineRule="auto"/>
              <w:ind w:left="1134"/>
              <w:jc w:val="left"/>
              <w:rPr>
                <w:rFonts w:cs="Tahoma"/>
                <w:b/>
                <w:bCs/>
                <w:color w:val="365F91" w:themeColor="accent1" w:themeShade="BF"/>
                <w:szCs w:val="22"/>
              </w:rPr>
            </w:pPr>
            <w:r w:rsidRPr="00923097">
              <w:rPr>
                <w:rFonts w:cstheme="minorBidi"/>
                <w:b/>
                <w:snapToGrid w:val="0"/>
                <w:color w:val="365F91" w:themeColor="accent1" w:themeShade="BF"/>
                <w:szCs w:val="22"/>
              </w:rPr>
              <w:t>Fourth Meeting</w:t>
            </w:r>
            <w:r w:rsidR="00993581" w:rsidRPr="00923097">
              <w:rPr>
                <w:rFonts w:cstheme="minorBidi"/>
                <w:b/>
                <w:snapToGrid w:val="0"/>
                <w:color w:val="365F91" w:themeColor="accent1" w:themeShade="BF"/>
                <w:szCs w:val="22"/>
              </w:rPr>
              <w:br/>
            </w:r>
            <w:r w:rsidR="008160B3" w:rsidRPr="00923097">
              <w:rPr>
                <w:snapToGrid w:val="0"/>
                <w:color w:val="365F91" w:themeColor="accent1" w:themeShade="BF"/>
                <w:szCs w:val="22"/>
              </w:rPr>
              <w:t>Geneva, 9 to 12 May 2016</w:t>
            </w:r>
          </w:p>
        </w:tc>
        <w:tc>
          <w:tcPr>
            <w:tcW w:w="2977" w:type="dxa"/>
          </w:tcPr>
          <w:p w:rsidR="00993581" w:rsidRPr="00923097" w:rsidRDefault="00712ED1" w:rsidP="00A345C2">
            <w:pPr>
              <w:tabs>
                <w:tab w:val="clear" w:pos="1134"/>
              </w:tabs>
              <w:spacing w:after="60"/>
              <w:ind w:right="-108"/>
              <w:jc w:val="right"/>
              <w:rPr>
                <w:rFonts w:cs="Tahoma"/>
                <w:b/>
                <w:bCs/>
                <w:color w:val="365F91" w:themeColor="accent1" w:themeShade="BF"/>
                <w:szCs w:val="22"/>
              </w:rPr>
            </w:pPr>
            <w:r w:rsidRPr="00923097">
              <w:rPr>
                <w:rFonts w:cs="Tahoma"/>
                <w:b/>
                <w:bCs/>
                <w:color w:val="365F91" w:themeColor="accent1" w:themeShade="BF"/>
                <w:szCs w:val="22"/>
              </w:rPr>
              <w:t>IPET-MDRD-4/Doc. </w:t>
            </w:r>
            <w:r w:rsidR="002C7BA9" w:rsidRPr="00923097">
              <w:rPr>
                <w:rFonts w:cs="Tahoma" w:hint="eastAsia"/>
                <w:b/>
                <w:bCs/>
                <w:color w:val="365F91" w:themeColor="accent1" w:themeShade="BF"/>
                <w:szCs w:val="22"/>
                <w:lang w:eastAsia="ja-JP"/>
              </w:rPr>
              <w:t>02</w:t>
            </w:r>
            <w:r w:rsidR="002C7BA9" w:rsidRPr="00923097">
              <w:rPr>
                <w:rFonts w:cs="Tahoma"/>
                <w:b/>
                <w:bCs/>
                <w:color w:val="365F91" w:themeColor="accent1" w:themeShade="BF"/>
                <w:szCs w:val="22"/>
              </w:rPr>
              <w:t>.</w:t>
            </w:r>
            <w:r w:rsidR="002C7BA9" w:rsidRPr="00923097">
              <w:rPr>
                <w:rFonts w:cs="Tahoma" w:hint="eastAsia"/>
                <w:b/>
                <w:bCs/>
                <w:color w:val="365F91" w:themeColor="accent1" w:themeShade="BF"/>
                <w:szCs w:val="22"/>
                <w:lang w:eastAsia="ja-JP"/>
              </w:rPr>
              <w:t>0</w:t>
            </w:r>
            <w:r w:rsidR="00A345C2">
              <w:rPr>
                <w:rFonts w:cs="Tahoma"/>
                <w:b/>
                <w:bCs/>
                <w:color w:val="365F91" w:themeColor="accent1" w:themeShade="BF"/>
                <w:szCs w:val="22"/>
                <w:lang w:eastAsia="ja-JP"/>
              </w:rPr>
              <w:t>1</w:t>
            </w:r>
            <w:r w:rsidR="002C7BA9" w:rsidRPr="00923097">
              <w:rPr>
                <w:rFonts w:cs="Tahoma"/>
                <w:b/>
                <w:bCs/>
                <w:color w:val="365F91" w:themeColor="accent1" w:themeShade="BF"/>
                <w:szCs w:val="22"/>
              </w:rPr>
              <w:t>(</w:t>
            </w:r>
            <w:r w:rsidR="002C7BA9" w:rsidRPr="00923097">
              <w:rPr>
                <w:rFonts w:cs="Tahoma" w:hint="eastAsia"/>
                <w:b/>
                <w:bCs/>
                <w:color w:val="365F91" w:themeColor="accent1" w:themeShade="BF"/>
                <w:szCs w:val="22"/>
                <w:lang w:eastAsia="ja-JP"/>
              </w:rPr>
              <w:t>1</w:t>
            </w:r>
            <w:r w:rsidRPr="00923097">
              <w:rPr>
                <w:rFonts w:cs="Tahoma"/>
                <w:b/>
                <w:bCs/>
                <w:color w:val="365F91" w:themeColor="accent1" w:themeShade="BF"/>
                <w:szCs w:val="22"/>
              </w:rPr>
              <w:t>)</w:t>
            </w:r>
          </w:p>
        </w:tc>
      </w:tr>
      <w:tr w:rsidR="00993581" w:rsidRPr="00923097" w:rsidTr="00DE0041">
        <w:trPr>
          <w:trHeight w:val="730"/>
        </w:trPr>
        <w:tc>
          <w:tcPr>
            <w:tcW w:w="6912" w:type="dxa"/>
            <w:vMerge/>
          </w:tcPr>
          <w:p w:rsidR="00993581" w:rsidRPr="00923097" w:rsidRDefault="00993581" w:rsidP="00DE0041">
            <w:pPr>
              <w:tabs>
                <w:tab w:val="left" w:pos="6946"/>
              </w:tabs>
              <w:suppressAutoHyphens/>
              <w:spacing w:after="120" w:line="252" w:lineRule="auto"/>
              <w:ind w:left="1134"/>
              <w:jc w:val="left"/>
              <w:rPr>
                <w:noProof/>
                <w:color w:val="365F91" w:themeColor="accent1" w:themeShade="BF"/>
                <w:szCs w:val="22"/>
                <w:lang w:eastAsia="zh-CN"/>
              </w:rPr>
            </w:pPr>
          </w:p>
        </w:tc>
        <w:tc>
          <w:tcPr>
            <w:tcW w:w="2977" w:type="dxa"/>
          </w:tcPr>
          <w:p w:rsidR="00993581" w:rsidRPr="00923097" w:rsidRDefault="00993581" w:rsidP="00993581">
            <w:pPr>
              <w:tabs>
                <w:tab w:val="clear" w:pos="1134"/>
              </w:tabs>
              <w:spacing w:after="60"/>
              <w:ind w:right="-108"/>
              <w:jc w:val="right"/>
              <w:rPr>
                <w:rFonts w:cs="Tahoma"/>
                <w:color w:val="365F91" w:themeColor="accent1" w:themeShade="BF"/>
                <w:szCs w:val="22"/>
              </w:rPr>
            </w:pPr>
            <w:r w:rsidRPr="00923097">
              <w:rPr>
                <w:rFonts w:cs="Tahoma"/>
                <w:color w:val="365F91" w:themeColor="accent1" w:themeShade="BF"/>
                <w:szCs w:val="22"/>
              </w:rPr>
              <w:t>Submitted by:</w:t>
            </w:r>
            <w:r w:rsidRPr="00923097">
              <w:rPr>
                <w:rFonts w:cs="Tahoma"/>
                <w:color w:val="365F91" w:themeColor="accent1" w:themeShade="BF"/>
                <w:szCs w:val="22"/>
              </w:rPr>
              <w:br/>
            </w:r>
            <w:proofErr w:type="spellStart"/>
            <w:r w:rsidR="002C7BA9" w:rsidRPr="00923097">
              <w:rPr>
                <w:rFonts w:hint="eastAsia"/>
              </w:rPr>
              <w:t>Eizi</w:t>
            </w:r>
            <w:proofErr w:type="spellEnd"/>
            <w:r w:rsidR="002C7BA9" w:rsidRPr="00923097">
              <w:rPr>
                <w:rFonts w:hint="eastAsia"/>
              </w:rPr>
              <w:t xml:space="preserve"> Toyoda</w:t>
            </w:r>
            <w:r w:rsidRPr="00923097">
              <w:rPr>
                <w:rFonts w:cs="Tahoma"/>
                <w:color w:val="365F91" w:themeColor="accent1" w:themeShade="BF"/>
                <w:szCs w:val="22"/>
              </w:rPr>
              <w:t xml:space="preserve"> </w:t>
            </w:r>
          </w:p>
          <w:p w:rsidR="00993581" w:rsidRPr="00923097" w:rsidRDefault="002C7BA9" w:rsidP="00993581">
            <w:pPr>
              <w:tabs>
                <w:tab w:val="clear" w:pos="1134"/>
              </w:tabs>
              <w:spacing w:after="60"/>
              <w:ind w:right="-108"/>
              <w:jc w:val="right"/>
              <w:rPr>
                <w:rFonts w:cs="Tahoma"/>
                <w:color w:val="365F91" w:themeColor="accent1" w:themeShade="BF"/>
                <w:szCs w:val="22"/>
              </w:rPr>
            </w:pPr>
            <w:r w:rsidRPr="00923097">
              <w:rPr>
                <w:rFonts w:hint="eastAsia"/>
              </w:rPr>
              <w:t>27</w:t>
            </w:r>
            <w:r w:rsidR="008160B3" w:rsidRPr="00923097">
              <w:rPr>
                <w:rFonts w:cs="Tahoma"/>
                <w:color w:val="365F91" w:themeColor="accent1" w:themeShade="BF"/>
                <w:szCs w:val="22"/>
              </w:rPr>
              <w:t>.</w:t>
            </w:r>
            <w:r w:rsidRPr="00923097">
              <w:rPr>
                <w:rFonts w:hint="eastAsia"/>
              </w:rPr>
              <w:t>Apr</w:t>
            </w:r>
            <w:r w:rsidR="008160B3" w:rsidRPr="00923097">
              <w:rPr>
                <w:rFonts w:cs="Tahoma"/>
                <w:color w:val="365F91" w:themeColor="accent1" w:themeShade="BF"/>
                <w:szCs w:val="22"/>
              </w:rPr>
              <w:t>.2016</w:t>
            </w:r>
          </w:p>
          <w:p w:rsidR="00993581" w:rsidRPr="00923097" w:rsidRDefault="00993581" w:rsidP="00993581">
            <w:pPr>
              <w:tabs>
                <w:tab w:val="clear" w:pos="1134"/>
              </w:tabs>
              <w:spacing w:after="60"/>
              <w:ind w:right="-108"/>
              <w:jc w:val="right"/>
              <w:rPr>
                <w:rFonts w:cs="Tahoma"/>
                <w:b/>
                <w:bCs/>
                <w:color w:val="365F91" w:themeColor="accent1" w:themeShade="BF"/>
                <w:szCs w:val="22"/>
                <w:lang w:val="en-US"/>
              </w:rPr>
            </w:pPr>
            <w:r w:rsidRPr="00923097">
              <w:rPr>
                <w:rFonts w:cs="Tahoma"/>
                <w:b/>
                <w:bCs/>
                <w:color w:val="365F91" w:themeColor="accent1" w:themeShade="BF"/>
                <w:szCs w:val="22"/>
              </w:rPr>
              <w:t>DRAFT 1</w:t>
            </w:r>
          </w:p>
        </w:tc>
      </w:tr>
    </w:tbl>
    <w:p w:rsidR="00082C80" w:rsidRPr="00923097" w:rsidRDefault="00712ED1" w:rsidP="00B56934">
      <w:pPr>
        <w:pStyle w:val="WMOBodyText"/>
        <w:tabs>
          <w:tab w:val="clear" w:pos="1134"/>
        </w:tabs>
        <w:ind w:left="2977" w:hanging="2977"/>
        <w:rPr>
          <w:b/>
          <w:bCs/>
        </w:rPr>
      </w:pPr>
      <w:r w:rsidRPr="00923097">
        <w:rPr>
          <w:b/>
          <w:bCs/>
        </w:rPr>
        <w:t xml:space="preserve">AGENDA ITEM </w:t>
      </w:r>
      <w:r w:rsidR="006D0315" w:rsidRPr="00923097">
        <w:rPr>
          <w:rFonts w:eastAsia="MS Mincho" w:hint="eastAsia"/>
          <w:b/>
          <w:bCs/>
          <w:lang w:eastAsia="ja-JP"/>
        </w:rPr>
        <w:t>2</w:t>
      </w:r>
      <w:r w:rsidR="008160B3" w:rsidRPr="00923097">
        <w:rPr>
          <w:b/>
          <w:bCs/>
        </w:rPr>
        <w:t>:</w:t>
      </w:r>
      <w:r w:rsidR="008160B3" w:rsidRPr="00923097">
        <w:rPr>
          <w:b/>
          <w:bCs/>
        </w:rPr>
        <w:tab/>
      </w:r>
      <w:r w:rsidR="006D0315" w:rsidRPr="00923097">
        <w:rPr>
          <w:rFonts w:eastAsia="MS Mincho" w:hint="eastAsia"/>
          <w:b/>
          <w:bCs/>
          <w:lang w:eastAsia="ja-JP"/>
        </w:rPr>
        <w:t>WMO Core Metadata Profile</w:t>
      </w:r>
    </w:p>
    <w:p w:rsidR="00082C80" w:rsidRPr="00923097" w:rsidRDefault="008160B3" w:rsidP="009A288C">
      <w:pPr>
        <w:pStyle w:val="WMOBodyText"/>
        <w:tabs>
          <w:tab w:val="clear" w:pos="1134"/>
        </w:tabs>
        <w:spacing w:after="360"/>
        <w:ind w:left="2977" w:hanging="2977"/>
        <w:rPr>
          <w:b/>
          <w:bCs/>
        </w:rPr>
      </w:pPr>
      <w:r w:rsidRPr="00923097">
        <w:rPr>
          <w:b/>
          <w:bCs/>
        </w:rPr>
        <w:t xml:space="preserve">AGENDA ITEM </w:t>
      </w:r>
      <w:r w:rsidR="006D0315" w:rsidRPr="00923097">
        <w:rPr>
          <w:rFonts w:eastAsia="MS Mincho" w:hint="eastAsia"/>
          <w:b/>
          <w:bCs/>
          <w:lang w:eastAsia="ja-JP"/>
        </w:rPr>
        <w:t>2</w:t>
      </w:r>
      <w:r w:rsidR="00712ED1" w:rsidRPr="00923097">
        <w:rPr>
          <w:b/>
          <w:bCs/>
        </w:rPr>
        <w:t>.</w:t>
      </w:r>
      <w:r w:rsidR="006D0315" w:rsidRPr="00923097">
        <w:rPr>
          <w:rFonts w:eastAsia="MS Mincho" w:hint="eastAsia"/>
          <w:b/>
          <w:bCs/>
          <w:lang w:eastAsia="ja-JP"/>
        </w:rPr>
        <w:t>1</w:t>
      </w:r>
      <w:r w:rsidRPr="00923097">
        <w:rPr>
          <w:b/>
          <w:bCs/>
        </w:rPr>
        <w:t>:</w:t>
      </w:r>
      <w:r w:rsidRPr="00923097">
        <w:rPr>
          <w:b/>
          <w:bCs/>
        </w:rPr>
        <w:tab/>
      </w:r>
      <w:r w:rsidR="006D0315" w:rsidRPr="00923097">
        <w:rPr>
          <w:rFonts w:eastAsia="MS Mincho" w:hint="eastAsia"/>
          <w:b/>
          <w:bCs/>
          <w:lang w:eastAsia="ja-JP"/>
        </w:rPr>
        <w:t>Consideration of ISO 19115-1</w:t>
      </w:r>
      <w:bookmarkStart w:id="0" w:name="_GoBack"/>
      <w:bookmarkEnd w:id="0"/>
    </w:p>
    <w:p w:rsidR="008A7D91" w:rsidRPr="00923097" w:rsidRDefault="00712ED1" w:rsidP="00B56934">
      <w:pPr>
        <w:pStyle w:val="Heading1"/>
      </w:pPr>
      <w:bookmarkStart w:id="1" w:name="_APPENDIX_A:_"/>
      <w:bookmarkEnd w:id="1"/>
      <w:r w:rsidRPr="00923097">
        <w:t>Recommended Text</w:t>
      </w:r>
    </w:p>
    <w:p w:rsidR="00712ED1" w:rsidRPr="00923097" w:rsidRDefault="00712ED1" w:rsidP="00712ED1">
      <w:pPr>
        <w:rPr>
          <w:lang w:eastAsia="zh-TW"/>
        </w:rPr>
      </w:pPr>
    </w:p>
    <w:p w:rsidR="00712ED1" w:rsidRPr="00923097" w:rsidRDefault="003E0096" w:rsidP="000770DE">
      <w:pPr>
        <w:pStyle w:val="Heading2"/>
      </w:pPr>
      <w:r w:rsidRPr="00923097">
        <w:rPr>
          <w:rFonts w:hint="eastAsia"/>
        </w:rPr>
        <w:t>Consideration of 2014 revision of ISO geographical metadata</w:t>
      </w:r>
    </w:p>
    <w:p w:rsidR="00712ED1" w:rsidRPr="00923097" w:rsidRDefault="005A2953" w:rsidP="00712ED1">
      <w:pPr>
        <w:pStyle w:val="BodyTextNumbered"/>
      </w:pPr>
      <w:r w:rsidRPr="00923097">
        <w:rPr>
          <w:rFonts w:eastAsia="MS Mincho" w:hint="eastAsia"/>
          <w:lang w:eastAsia="ja-JP"/>
        </w:rPr>
        <w:t>Mr Toyoda reported the activities of IPET-MDRD regarding new ISO standards of geographical metadata</w:t>
      </w:r>
      <w:r w:rsidR="00033AAB" w:rsidRPr="00923097">
        <w:rPr>
          <w:rFonts w:eastAsia="MS Mincho" w:hint="eastAsia"/>
          <w:lang w:eastAsia="ja-JP"/>
        </w:rPr>
        <w:t>, on which the WMO Core Metadata Profile is based</w:t>
      </w:r>
      <w:r w:rsidRPr="00923097">
        <w:rPr>
          <w:rFonts w:eastAsia="MS Mincho" w:hint="eastAsia"/>
          <w:lang w:eastAsia="ja-JP"/>
        </w:rPr>
        <w:t>, including the result of the team</w:t>
      </w:r>
      <w:r w:rsidRPr="00923097">
        <w:rPr>
          <w:rFonts w:eastAsia="MS Mincho"/>
          <w:lang w:eastAsia="ja-JP"/>
        </w:rPr>
        <w:t>’</w:t>
      </w:r>
      <w:r w:rsidRPr="00923097">
        <w:rPr>
          <w:rFonts w:eastAsia="MS Mincho" w:hint="eastAsia"/>
          <w:lang w:eastAsia="ja-JP"/>
        </w:rPr>
        <w:t>s first and third meetings.</w:t>
      </w:r>
    </w:p>
    <w:p w:rsidR="00712ED1" w:rsidRPr="00923097" w:rsidRDefault="005A2953" w:rsidP="00033AAB">
      <w:pPr>
        <w:pStyle w:val="Decision"/>
      </w:pPr>
      <w:r w:rsidRPr="00923097">
        <w:rPr>
          <w:rFonts w:hint="eastAsia"/>
        </w:rPr>
        <w:t xml:space="preserve">IPET-MDRD reaffirmed the decisions of its third meeting that </w:t>
      </w:r>
      <w:r w:rsidR="00033AAB" w:rsidRPr="00923097">
        <w:br/>
      </w:r>
      <w:r w:rsidR="00033AAB" w:rsidRPr="00923097">
        <w:rPr>
          <w:rFonts w:hint="eastAsia"/>
        </w:rPr>
        <w:t>(</w:t>
      </w:r>
      <w:proofErr w:type="spellStart"/>
      <w:r w:rsidR="00033AAB" w:rsidRPr="00923097">
        <w:rPr>
          <w:rFonts w:hint="eastAsia"/>
        </w:rPr>
        <w:t>i</w:t>
      </w:r>
      <w:proofErr w:type="spellEnd"/>
      <w:r w:rsidR="00033AAB" w:rsidRPr="00923097">
        <w:rPr>
          <w:rFonts w:hint="eastAsia"/>
        </w:rPr>
        <w:t xml:space="preserve">) it will continue study of the new ISO standards, and </w:t>
      </w:r>
      <w:r w:rsidR="00033AAB" w:rsidRPr="00923097">
        <w:br/>
      </w:r>
      <w:r w:rsidR="00033AAB" w:rsidRPr="00923097">
        <w:rPr>
          <w:rFonts w:hint="eastAsia"/>
        </w:rPr>
        <w:t>(ii) w</w:t>
      </w:r>
      <w:r w:rsidR="00033AAB" w:rsidRPr="00923097">
        <w:t>hile the study was being performed, IPET-MDRD would concentrate its development activities on improving guidance and search</w:t>
      </w:r>
    </w:p>
    <w:p w:rsidR="00033AAB" w:rsidRPr="00923097" w:rsidRDefault="00033AAB" w:rsidP="00033AAB">
      <w:pPr>
        <w:pStyle w:val="Decision"/>
      </w:pPr>
      <w:r w:rsidRPr="00923097">
        <w:rPr>
          <w:rFonts w:hint="eastAsia"/>
        </w:rPr>
        <w:t xml:space="preserve">IPET-MDRD also reaffirmed the decision of it third meeting that the extended </w:t>
      </w:r>
      <w:proofErr w:type="spellStart"/>
      <w:r w:rsidRPr="00923097">
        <w:rPr>
          <w:rFonts w:hint="eastAsia"/>
        </w:rPr>
        <w:t>codelist</w:t>
      </w:r>
      <w:proofErr w:type="spellEnd"/>
      <w:r w:rsidRPr="00923097">
        <w:rPr>
          <w:rFonts w:hint="eastAsia"/>
        </w:rPr>
        <w:t xml:space="preserve"> in ISO 19</w:t>
      </w:r>
      <w:r w:rsidR="001130AE" w:rsidRPr="00923097">
        <w:rPr>
          <w:rFonts w:hint="eastAsia"/>
        </w:rPr>
        <w:t>115-1 could be used with future versions 1.</w:t>
      </w:r>
      <w:r w:rsidR="001130AE" w:rsidRPr="00923097">
        <w:rPr>
          <w:rFonts w:hint="eastAsia"/>
          <w:i/>
        </w:rPr>
        <w:t>n</w:t>
      </w:r>
      <w:r w:rsidR="001130AE" w:rsidRPr="00923097">
        <w:rPr>
          <w:rFonts w:hint="eastAsia"/>
        </w:rPr>
        <w:t xml:space="preserve"> of</w:t>
      </w:r>
      <w:r w:rsidRPr="00923097">
        <w:rPr>
          <w:rFonts w:hint="eastAsia"/>
        </w:rPr>
        <w:t xml:space="preserve"> WMO Core Metadata Profile.</w:t>
      </w:r>
    </w:p>
    <w:p w:rsidR="00712ED1" w:rsidRPr="00923097" w:rsidRDefault="00712ED1" w:rsidP="00712ED1">
      <w:pPr>
        <w:pStyle w:val="WMOBodyText"/>
      </w:pPr>
    </w:p>
    <w:p w:rsidR="00712ED1" w:rsidRPr="00923097" w:rsidRDefault="00712ED1" w:rsidP="00712ED1">
      <w:pPr>
        <w:pStyle w:val="Heading1"/>
      </w:pPr>
      <w:r w:rsidRPr="00923097">
        <w:t>BACKGROUND</w:t>
      </w:r>
    </w:p>
    <w:p w:rsidR="00712ED1" w:rsidRPr="00923097" w:rsidRDefault="00B06B68" w:rsidP="00712ED1">
      <w:pPr>
        <w:pStyle w:val="Heading2"/>
        <w:rPr>
          <w:rFonts w:eastAsia="MS Mincho"/>
          <w:lang w:eastAsia="ja-JP"/>
        </w:rPr>
      </w:pPr>
      <w:r w:rsidRPr="00923097">
        <w:rPr>
          <w:rFonts w:eastAsia="MS Mincho" w:hint="eastAsia"/>
          <w:lang w:eastAsia="ja-JP"/>
        </w:rPr>
        <w:t>ISO 19100 series of standards for geographical metadata</w:t>
      </w:r>
    </w:p>
    <w:p w:rsidR="00B06B68" w:rsidRPr="00923097" w:rsidRDefault="00B06B68" w:rsidP="0087675F">
      <w:pPr>
        <w:pStyle w:val="ECBodyText"/>
        <w:rPr>
          <w:rFonts w:eastAsia="MS Mincho"/>
          <w:lang w:eastAsia="ja-JP"/>
        </w:rPr>
      </w:pPr>
      <w:r w:rsidRPr="00923097">
        <w:t>Table 1: timeline of ISO standards for geographical metadata</w:t>
      </w:r>
      <w:r w:rsidRPr="00923097">
        <w:rPr>
          <w:rFonts w:eastAsia="MS Mincho" w:hint="eastAsia"/>
          <w:lang w:eastAsia="ja-JP"/>
        </w:rPr>
        <w:t>.</w:t>
      </w:r>
      <w:r w:rsidR="0087675F" w:rsidRPr="00923097">
        <w:rPr>
          <w:rFonts w:eastAsia="MS Mincho" w:hint="eastAsia"/>
          <w:lang w:eastAsia="ja-JP"/>
        </w:rPr>
        <w:t xml:space="preserve"> The second-generation (2G) standards are indicated by hatches in the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A0" w:firstRow="1" w:lastRow="0" w:firstColumn="1" w:lastColumn="0" w:noHBand="0" w:noVBand="0"/>
        <w:tblCaption w:val="Table 1: timeline of ISO standards for geographical metadata."/>
      </w:tblPr>
      <w:tblGrid>
        <w:gridCol w:w="1233"/>
        <w:gridCol w:w="806"/>
        <w:gridCol w:w="717"/>
        <w:gridCol w:w="806"/>
        <w:gridCol w:w="1024"/>
        <w:gridCol w:w="1024"/>
        <w:gridCol w:w="806"/>
        <w:gridCol w:w="1024"/>
        <w:gridCol w:w="1024"/>
        <w:gridCol w:w="1024"/>
      </w:tblGrid>
      <w:tr w:rsidR="002E1133" w:rsidRPr="00923097" w:rsidTr="006F2688">
        <w:trPr>
          <w:trHeight w:hRule="exact" w:val="340"/>
          <w:tblHeader/>
          <w:jc w:val="center"/>
        </w:trPr>
        <w:tc>
          <w:tcPr>
            <w:tcW w:w="0" w:type="auto"/>
            <w:tcBorders>
              <w:top w:val="single" w:sz="4" w:space="0" w:color="auto"/>
              <w:left w:val="single" w:sz="4" w:space="0" w:color="auto"/>
              <w:bottom w:val="double" w:sz="4" w:space="0" w:color="auto"/>
              <w:right w:val="double" w:sz="4" w:space="0" w:color="auto"/>
            </w:tcBorders>
            <w:vAlign w:val="center"/>
          </w:tcPr>
          <w:p w:rsidR="002E1133" w:rsidRPr="00923097" w:rsidRDefault="002E1133" w:rsidP="002E1133">
            <w:pPr>
              <w:contextualSpacing/>
              <w:rPr>
                <w:rFonts w:ascii="Arial" w:eastAsia="Times New Roman" w:hAnsi="Arial"/>
              </w:rPr>
            </w:pPr>
          </w:p>
        </w:tc>
        <w:tc>
          <w:tcPr>
            <w:tcW w:w="0" w:type="auto"/>
            <w:tcBorders>
              <w:top w:val="single" w:sz="4" w:space="0" w:color="auto"/>
              <w:left w:val="double" w:sz="4" w:space="0" w:color="auto"/>
              <w:bottom w:val="double" w:sz="4" w:space="0" w:color="auto"/>
              <w:right w:val="single" w:sz="4" w:space="0" w:color="auto"/>
            </w:tcBorders>
            <w:vAlign w:val="center"/>
            <w:hideMark/>
          </w:tcPr>
          <w:p w:rsidR="002E1133" w:rsidRPr="00923097" w:rsidRDefault="002E1133" w:rsidP="002E1133">
            <w:pPr>
              <w:pStyle w:val="ECBodyText"/>
              <w:spacing w:before="0"/>
              <w:contextualSpacing/>
            </w:pPr>
            <w:r w:rsidRPr="00923097">
              <w:t>2003</w:t>
            </w:r>
          </w:p>
        </w:tc>
        <w:tc>
          <w:tcPr>
            <w:tcW w:w="0" w:type="auto"/>
            <w:tcBorders>
              <w:top w:val="single" w:sz="4" w:space="0" w:color="auto"/>
              <w:left w:val="single" w:sz="4" w:space="0" w:color="auto"/>
              <w:bottom w:val="double" w:sz="4" w:space="0" w:color="auto"/>
              <w:right w:val="single" w:sz="4" w:space="0" w:color="auto"/>
            </w:tcBorders>
            <w:vAlign w:val="center"/>
            <w:hideMark/>
          </w:tcPr>
          <w:p w:rsidR="002E1133" w:rsidRPr="00923097" w:rsidRDefault="002E1133" w:rsidP="002E1133">
            <w:pPr>
              <w:pStyle w:val="ECBodyText"/>
              <w:spacing w:before="0"/>
              <w:contextualSpacing/>
            </w:pPr>
            <w:r w:rsidRPr="00923097">
              <w:t>2006</w:t>
            </w:r>
          </w:p>
        </w:tc>
        <w:tc>
          <w:tcPr>
            <w:tcW w:w="0" w:type="auto"/>
            <w:tcBorders>
              <w:top w:val="single" w:sz="4" w:space="0" w:color="auto"/>
              <w:left w:val="single" w:sz="4" w:space="0" w:color="auto"/>
              <w:bottom w:val="double" w:sz="4" w:space="0" w:color="auto"/>
              <w:right w:val="single" w:sz="4" w:space="0" w:color="auto"/>
            </w:tcBorders>
            <w:vAlign w:val="center"/>
            <w:hideMark/>
          </w:tcPr>
          <w:p w:rsidR="002E1133" w:rsidRPr="00923097" w:rsidRDefault="002E1133" w:rsidP="002E1133">
            <w:pPr>
              <w:pStyle w:val="ECBodyText"/>
              <w:spacing w:before="0"/>
              <w:contextualSpacing/>
            </w:pPr>
            <w:r w:rsidRPr="00923097">
              <w:t>2007</w:t>
            </w:r>
          </w:p>
        </w:tc>
        <w:tc>
          <w:tcPr>
            <w:tcW w:w="0" w:type="auto"/>
            <w:tcBorders>
              <w:top w:val="single" w:sz="4" w:space="0" w:color="auto"/>
              <w:left w:val="single" w:sz="4" w:space="0" w:color="auto"/>
              <w:bottom w:val="double" w:sz="4" w:space="0" w:color="auto"/>
              <w:right w:val="single" w:sz="4" w:space="0" w:color="auto"/>
            </w:tcBorders>
            <w:vAlign w:val="center"/>
            <w:hideMark/>
          </w:tcPr>
          <w:p w:rsidR="002E1133" w:rsidRPr="00923097" w:rsidRDefault="002E1133" w:rsidP="002E1133">
            <w:pPr>
              <w:pStyle w:val="ECBodyText"/>
              <w:spacing w:before="0"/>
              <w:contextualSpacing/>
            </w:pPr>
            <w:r w:rsidRPr="00923097">
              <w:t>2009</w:t>
            </w:r>
          </w:p>
        </w:tc>
        <w:tc>
          <w:tcPr>
            <w:tcW w:w="0" w:type="auto"/>
            <w:tcBorders>
              <w:top w:val="single" w:sz="4" w:space="0" w:color="auto"/>
              <w:left w:val="single" w:sz="4" w:space="0" w:color="auto"/>
              <w:bottom w:val="double" w:sz="4" w:space="0" w:color="auto"/>
              <w:right w:val="single" w:sz="4" w:space="0" w:color="auto"/>
            </w:tcBorders>
            <w:vAlign w:val="center"/>
            <w:hideMark/>
          </w:tcPr>
          <w:p w:rsidR="002E1133" w:rsidRPr="00923097" w:rsidRDefault="002E1133" w:rsidP="002E1133">
            <w:pPr>
              <w:pStyle w:val="ECBodyText"/>
              <w:spacing w:before="0"/>
              <w:contextualSpacing/>
            </w:pPr>
            <w:r w:rsidRPr="00923097">
              <w:t>2012</w:t>
            </w:r>
          </w:p>
        </w:tc>
        <w:tc>
          <w:tcPr>
            <w:tcW w:w="0" w:type="auto"/>
            <w:tcBorders>
              <w:top w:val="single" w:sz="4" w:space="0" w:color="auto"/>
              <w:left w:val="single" w:sz="4" w:space="0" w:color="auto"/>
              <w:bottom w:val="double" w:sz="4" w:space="0" w:color="auto"/>
              <w:right w:val="single" w:sz="4" w:space="0" w:color="auto"/>
            </w:tcBorders>
            <w:vAlign w:val="center"/>
            <w:hideMark/>
          </w:tcPr>
          <w:p w:rsidR="002E1133" w:rsidRPr="00923097" w:rsidRDefault="002E1133" w:rsidP="002E1133">
            <w:pPr>
              <w:pStyle w:val="ECBodyText"/>
              <w:spacing w:before="0"/>
              <w:contextualSpacing/>
            </w:pPr>
            <w:r w:rsidRPr="00923097">
              <w:t>2013</w:t>
            </w:r>
          </w:p>
        </w:tc>
        <w:tc>
          <w:tcPr>
            <w:tcW w:w="0" w:type="auto"/>
            <w:tcBorders>
              <w:top w:val="single" w:sz="4" w:space="0" w:color="auto"/>
              <w:left w:val="single" w:sz="4" w:space="0" w:color="auto"/>
              <w:bottom w:val="double" w:sz="4" w:space="0" w:color="auto"/>
              <w:right w:val="single" w:sz="4" w:space="0" w:color="auto"/>
            </w:tcBorders>
            <w:vAlign w:val="center"/>
            <w:hideMark/>
          </w:tcPr>
          <w:p w:rsidR="002E1133" w:rsidRPr="00923097" w:rsidRDefault="002E1133" w:rsidP="002E1133">
            <w:pPr>
              <w:pStyle w:val="ECBodyText"/>
              <w:spacing w:before="0"/>
              <w:contextualSpacing/>
            </w:pPr>
            <w:r w:rsidRPr="00923097">
              <w:t>2014</w:t>
            </w:r>
          </w:p>
        </w:tc>
        <w:tc>
          <w:tcPr>
            <w:tcW w:w="0" w:type="auto"/>
            <w:tcBorders>
              <w:top w:val="single" w:sz="4" w:space="0" w:color="auto"/>
              <w:left w:val="single" w:sz="4" w:space="0" w:color="auto"/>
              <w:bottom w:val="double" w:sz="4" w:space="0" w:color="auto"/>
              <w:right w:val="single" w:sz="4" w:space="0" w:color="auto"/>
            </w:tcBorders>
            <w:vAlign w:val="center"/>
            <w:hideMark/>
          </w:tcPr>
          <w:p w:rsidR="002E1133" w:rsidRPr="00923097" w:rsidRDefault="002E1133" w:rsidP="002E1133">
            <w:pPr>
              <w:pStyle w:val="ECBodyText"/>
              <w:spacing w:before="0"/>
              <w:contextualSpacing/>
              <w:rPr>
                <w:rFonts w:eastAsia="MS Mincho"/>
                <w:lang w:eastAsia="ja-JP"/>
              </w:rPr>
            </w:pPr>
            <w:r w:rsidRPr="00923097">
              <w:rPr>
                <w:rFonts w:eastAsia="MS Mincho" w:hint="eastAsia"/>
                <w:lang w:eastAsia="ja-JP"/>
              </w:rPr>
              <w:t>2016</w:t>
            </w:r>
          </w:p>
        </w:tc>
        <w:tc>
          <w:tcPr>
            <w:tcW w:w="0" w:type="auto"/>
            <w:tcBorders>
              <w:top w:val="single" w:sz="4" w:space="0" w:color="auto"/>
              <w:left w:val="single" w:sz="4" w:space="0" w:color="auto"/>
              <w:bottom w:val="double" w:sz="4" w:space="0" w:color="auto"/>
              <w:right w:val="single" w:sz="4" w:space="0" w:color="auto"/>
            </w:tcBorders>
            <w:vAlign w:val="center"/>
          </w:tcPr>
          <w:p w:rsidR="002E1133" w:rsidRPr="00923097" w:rsidRDefault="002E1133" w:rsidP="002E1133">
            <w:pPr>
              <w:pStyle w:val="ECBodyText"/>
              <w:spacing w:before="0"/>
              <w:contextualSpacing/>
              <w:rPr>
                <w:rFonts w:eastAsia="MS Mincho"/>
                <w:lang w:eastAsia="ja-JP"/>
              </w:rPr>
            </w:pPr>
            <w:r w:rsidRPr="00923097">
              <w:rPr>
                <w:rFonts w:eastAsia="MS Mincho" w:hint="eastAsia"/>
                <w:lang w:eastAsia="ja-JP"/>
              </w:rPr>
              <w:t>future</w:t>
            </w:r>
          </w:p>
        </w:tc>
      </w:tr>
      <w:tr w:rsidR="002E1133" w:rsidRPr="00923097" w:rsidTr="006F2688">
        <w:trPr>
          <w:trHeight w:hRule="exact" w:val="340"/>
          <w:tblHeader/>
          <w:jc w:val="center"/>
        </w:trPr>
        <w:tc>
          <w:tcPr>
            <w:tcW w:w="0" w:type="auto"/>
            <w:tcBorders>
              <w:top w:val="double" w:sz="4" w:space="0" w:color="auto"/>
              <w:left w:val="single" w:sz="4" w:space="0" w:color="auto"/>
              <w:bottom w:val="single" w:sz="4" w:space="0" w:color="auto"/>
              <w:right w:val="double" w:sz="4" w:space="0" w:color="auto"/>
            </w:tcBorders>
            <w:vAlign w:val="center"/>
            <w:hideMark/>
          </w:tcPr>
          <w:p w:rsidR="002E1133" w:rsidRPr="00923097" w:rsidRDefault="002E1133" w:rsidP="002E1133">
            <w:pPr>
              <w:pStyle w:val="ECBodyText"/>
              <w:spacing w:before="0"/>
              <w:contextualSpacing/>
              <w:rPr>
                <w:b/>
              </w:rPr>
            </w:pPr>
            <w:r w:rsidRPr="00923097">
              <w:rPr>
                <w:b/>
              </w:rPr>
              <w:t>UML Core</w:t>
            </w:r>
          </w:p>
        </w:tc>
        <w:tc>
          <w:tcPr>
            <w:tcW w:w="0" w:type="auto"/>
            <w:vMerge w:val="restart"/>
            <w:tcBorders>
              <w:top w:val="double" w:sz="4" w:space="0" w:color="auto"/>
              <w:left w:val="double" w:sz="4" w:space="0" w:color="auto"/>
              <w:bottom w:val="single" w:sz="12" w:space="0" w:color="auto"/>
              <w:right w:val="dashed" w:sz="4" w:space="0" w:color="auto"/>
            </w:tcBorders>
            <w:shd w:val="clear" w:color="auto" w:fill="E5B8B7" w:themeFill="accent2" w:themeFillTint="66"/>
            <w:vAlign w:val="center"/>
            <w:hideMark/>
          </w:tcPr>
          <w:p w:rsidR="002E1133" w:rsidRPr="00923097" w:rsidRDefault="002E1133" w:rsidP="00070D2A">
            <w:pPr>
              <w:pStyle w:val="ECBodyText"/>
              <w:spacing w:before="0"/>
              <w:contextualSpacing/>
            </w:pPr>
            <w:r w:rsidRPr="00923097">
              <w:t>19115</w:t>
            </w:r>
          </w:p>
        </w:tc>
        <w:tc>
          <w:tcPr>
            <w:tcW w:w="0" w:type="auto"/>
            <w:vMerge w:val="restart"/>
            <w:tcBorders>
              <w:top w:val="double" w:sz="4" w:space="0" w:color="auto"/>
              <w:left w:val="dashed" w:sz="4" w:space="0" w:color="auto"/>
              <w:bottom w:val="single" w:sz="12" w:space="0" w:color="auto"/>
              <w:right w:val="dashed" w:sz="4" w:space="0" w:color="auto"/>
            </w:tcBorders>
            <w:shd w:val="clear" w:color="auto" w:fill="E5B8B7" w:themeFill="accent2" w:themeFillTint="66"/>
            <w:vAlign w:val="center"/>
            <w:hideMark/>
          </w:tcPr>
          <w:p w:rsidR="002E1133" w:rsidRPr="00923097" w:rsidRDefault="002E1133" w:rsidP="00070D2A">
            <w:pPr>
              <w:pStyle w:val="ECBodyText"/>
              <w:spacing w:before="0"/>
              <w:contextualSpacing/>
            </w:pPr>
            <w:r w:rsidRPr="00923097">
              <w:t>Cor.1</w:t>
            </w:r>
          </w:p>
        </w:tc>
        <w:tc>
          <w:tcPr>
            <w:tcW w:w="0" w:type="auto"/>
            <w:vMerge w:val="restart"/>
            <w:tcBorders>
              <w:top w:val="double" w:sz="4" w:space="0" w:color="auto"/>
              <w:left w:val="dashed" w:sz="4" w:space="0" w:color="auto"/>
              <w:bottom w:val="single" w:sz="12" w:space="0" w:color="auto"/>
              <w:right w:val="dashed" w:sz="4" w:space="0" w:color="auto"/>
            </w:tcBorders>
            <w:shd w:val="clear" w:color="auto" w:fill="E5B8B7" w:themeFill="accent2" w:themeFillTint="66"/>
            <w:vAlign w:val="center"/>
          </w:tcPr>
          <w:p w:rsidR="002E1133" w:rsidRPr="00923097" w:rsidRDefault="002E1133" w:rsidP="00070D2A">
            <w:pPr>
              <w:contextualSpacing/>
              <w:rPr>
                <w:rFonts w:ascii="Arial" w:eastAsia="Times New Roman" w:hAnsi="Arial"/>
              </w:rPr>
            </w:pPr>
          </w:p>
        </w:tc>
        <w:tc>
          <w:tcPr>
            <w:tcW w:w="0" w:type="auto"/>
            <w:vMerge w:val="restart"/>
            <w:tcBorders>
              <w:top w:val="double" w:sz="4" w:space="0" w:color="auto"/>
              <w:left w:val="dashed" w:sz="4" w:space="0" w:color="auto"/>
              <w:bottom w:val="single" w:sz="4" w:space="0" w:color="auto"/>
              <w:right w:val="dashed" w:sz="4" w:space="0" w:color="auto"/>
            </w:tcBorders>
            <w:shd w:val="clear" w:color="auto" w:fill="E5B8B7" w:themeFill="accent2" w:themeFillTint="66"/>
            <w:vAlign w:val="center"/>
          </w:tcPr>
          <w:p w:rsidR="002E1133" w:rsidRPr="00923097" w:rsidRDefault="002E1133" w:rsidP="00070D2A">
            <w:pPr>
              <w:contextualSpacing/>
              <w:rPr>
                <w:rFonts w:ascii="Arial" w:eastAsia="Times New Roman" w:hAnsi="Arial"/>
              </w:rPr>
            </w:pPr>
          </w:p>
        </w:tc>
        <w:tc>
          <w:tcPr>
            <w:tcW w:w="0" w:type="auto"/>
            <w:vMerge w:val="restart"/>
            <w:tcBorders>
              <w:top w:val="double" w:sz="4" w:space="0" w:color="auto"/>
              <w:left w:val="dashed" w:sz="4" w:space="0" w:color="auto"/>
              <w:bottom w:val="single" w:sz="4" w:space="0" w:color="auto"/>
              <w:right w:val="dashed" w:sz="4" w:space="0" w:color="auto"/>
            </w:tcBorders>
            <w:shd w:val="clear" w:color="auto" w:fill="E5B8B7" w:themeFill="accent2" w:themeFillTint="66"/>
            <w:vAlign w:val="center"/>
          </w:tcPr>
          <w:p w:rsidR="002E1133" w:rsidRPr="00923097" w:rsidRDefault="002E1133" w:rsidP="00070D2A">
            <w:pPr>
              <w:contextualSpacing/>
              <w:rPr>
                <w:rFonts w:ascii="Arial" w:eastAsia="Times New Roman" w:hAnsi="Arial"/>
              </w:rPr>
            </w:pPr>
          </w:p>
        </w:tc>
        <w:tc>
          <w:tcPr>
            <w:tcW w:w="0" w:type="auto"/>
            <w:tcBorders>
              <w:top w:val="double" w:sz="4" w:space="0" w:color="auto"/>
              <w:left w:val="dashed" w:sz="4" w:space="0" w:color="auto"/>
              <w:bottom w:val="single" w:sz="12" w:space="0" w:color="auto"/>
              <w:right w:val="single" w:sz="12" w:space="0" w:color="auto"/>
            </w:tcBorders>
            <w:shd w:val="clear" w:color="auto" w:fill="E5B8B7" w:themeFill="accent2" w:themeFillTint="66"/>
            <w:vAlign w:val="center"/>
          </w:tcPr>
          <w:p w:rsidR="002E1133" w:rsidRPr="00923097" w:rsidRDefault="002E1133" w:rsidP="00070D2A">
            <w:pPr>
              <w:contextualSpacing/>
              <w:rPr>
                <w:rFonts w:ascii="Arial" w:eastAsia="Times New Roman" w:hAnsi="Arial"/>
              </w:rPr>
            </w:pPr>
          </w:p>
        </w:tc>
        <w:tc>
          <w:tcPr>
            <w:tcW w:w="0" w:type="auto"/>
            <w:tcBorders>
              <w:top w:val="double" w:sz="4" w:space="0" w:color="auto"/>
              <w:left w:val="single" w:sz="12" w:space="0" w:color="auto"/>
              <w:bottom w:val="single" w:sz="4" w:space="0" w:color="auto"/>
              <w:right w:val="dashed" w:sz="4" w:space="0" w:color="auto"/>
            </w:tcBorders>
            <w:shd w:val="clear" w:color="auto" w:fill="C2D69B"/>
            <w:vAlign w:val="center"/>
            <w:hideMark/>
          </w:tcPr>
          <w:p w:rsidR="002E1133" w:rsidRPr="00923097" w:rsidRDefault="002E1133" w:rsidP="00070D2A">
            <w:pPr>
              <w:pStyle w:val="ECBodyText"/>
              <w:spacing w:before="0"/>
              <w:contextualSpacing/>
            </w:pPr>
            <w:r w:rsidRPr="00923097">
              <w:t>19115-1</w:t>
            </w:r>
          </w:p>
        </w:tc>
        <w:tc>
          <w:tcPr>
            <w:tcW w:w="0" w:type="auto"/>
            <w:tcBorders>
              <w:top w:val="double" w:sz="4" w:space="0" w:color="auto"/>
              <w:left w:val="dashed" w:sz="4" w:space="0" w:color="auto"/>
              <w:bottom w:val="single" w:sz="4" w:space="0" w:color="auto"/>
              <w:right w:val="dashed" w:sz="4" w:space="0" w:color="auto"/>
            </w:tcBorders>
            <w:shd w:val="thinDiagStripe" w:color="auto" w:fill="C2D69B"/>
            <w:vAlign w:val="center"/>
          </w:tcPr>
          <w:p w:rsidR="002E1133" w:rsidRPr="00923097" w:rsidRDefault="002E1133" w:rsidP="00070D2A">
            <w:pPr>
              <w:contextualSpacing/>
              <w:rPr>
                <w:rFonts w:ascii="Arial" w:eastAsia="Times New Roman" w:hAnsi="Arial"/>
              </w:rPr>
            </w:pPr>
          </w:p>
        </w:tc>
        <w:tc>
          <w:tcPr>
            <w:tcW w:w="0" w:type="auto"/>
            <w:tcBorders>
              <w:top w:val="double" w:sz="4" w:space="0" w:color="auto"/>
              <w:left w:val="dashed" w:sz="4" w:space="0" w:color="auto"/>
              <w:bottom w:val="single" w:sz="4" w:space="0" w:color="auto"/>
              <w:right w:val="single" w:sz="4" w:space="0" w:color="auto"/>
            </w:tcBorders>
            <w:shd w:val="thinDiagStripe" w:color="auto" w:fill="C2D69B"/>
            <w:vAlign w:val="center"/>
          </w:tcPr>
          <w:p w:rsidR="002E1133" w:rsidRPr="00923097" w:rsidRDefault="002E1133" w:rsidP="00070D2A">
            <w:pPr>
              <w:contextualSpacing/>
              <w:rPr>
                <w:rFonts w:ascii="Arial" w:eastAsia="Times New Roman" w:hAnsi="Arial"/>
              </w:rPr>
            </w:pPr>
          </w:p>
        </w:tc>
      </w:tr>
      <w:tr w:rsidR="002E1133" w:rsidRPr="00923097" w:rsidTr="006F2688">
        <w:trPr>
          <w:trHeight w:hRule="exact" w:val="340"/>
          <w:tblHeade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2E1133" w:rsidRPr="00923097" w:rsidRDefault="002E1133" w:rsidP="002E1133">
            <w:pPr>
              <w:pStyle w:val="ECBodyText"/>
              <w:spacing w:before="0"/>
              <w:contextualSpacing/>
              <w:jc w:val="right"/>
            </w:pPr>
            <w:r w:rsidRPr="00923097">
              <w:t>Quality</w:t>
            </w:r>
          </w:p>
        </w:tc>
        <w:tc>
          <w:tcPr>
            <w:tcW w:w="0" w:type="auto"/>
            <w:vMerge/>
            <w:tcBorders>
              <w:top w:val="single" w:sz="4" w:space="0" w:color="auto"/>
              <w:left w:val="double" w:sz="4" w:space="0" w:color="auto"/>
              <w:bottom w:val="single" w:sz="12" w:space="0" w:color="auto"/>
              <w:right w:val="dashed" w:sz="4" w:space="0" w:color="auto"/>
            </w:tcBorders>
            <w:vAlign w:val="center"/>
            <w:hideMark/>
          </w:tcPr>
          <w:p w:rsidR="002E1133" w:rsidRPr="00923097" w:rsidRDefault="002E1133" w:rsidP="00070D2A">
            <w:pPr>
              <w:contextualSpacing/>
              <w:jc w:val="left"/>
              <w:rPr>
                <w:rFonts w:ascii="Arial" w:eastAsia="Times New Roman" w:hAnsi="Arial"/>
                <w:sz w:val="22"/>
                <w:szCs w:val="22"/>
              </w:rPr>
            </w:pPr>
          </w:p>
        </w:tc>
        <w:tc>
          <w:tcPr>
            <w:tcW w:w="0" w:type="auto"/>
            <w:vMerge/>
            <w:tcBorders>
              <w:top w:val="single" w:sz="4" w:space="0" w:color="auto"/>
              <w:left w:val="dashed" w:sz="4" w:space="0" w:color="auto"/>
              <w:bottom w:val="single" w:sz="12" w:space="0" w:color="auto"/>
              <w:right w:val="dashed" w:sz="4" w:space="0" w:color="auto"/>
            </w:tcBorders>
            <w:vAlign w:val="center"/>
            <w:hideMark/>
          </w:tcPr>
          <w:p w:rsidR="002E1133" w:rsidRPr="00923097" w:rsidRDefault="002E1133" w:rsidP="00070D2A">
            <w:pPr>
              <w:contextualSpacing/>
              <w:jc w:val="left"/>
              <w:rPr>
                <w:rFonts w:ascii="Arial" w:eastAsia="Times New Roman" w:hAnsi="Arial"/>
                <w:sz w:val="22"/>
                <w:szCs w:val="22"/>
              </w:rPr>
            </w:pPr>
          </w:p>
        </w:tc>
        <w:tc>
          <w:tcPr>
            <w:tcW w:w="0" w:type="auto"/>
            <w:vMerge/>
            <w:tcBorders>
              <w:top w:val="single" w:sz="4" w:space="0" w:color="auto"/>
              <w:left w:val="dashed" w:sz="4" w:space="0" w:color="auto"/>
              <w:bottom w:val="single" w:sz="12" w:space="0" w:color="auto"/>
              <w:right w:val="dashed" w:sz="4" w:space="0" w:color="auto"/>
            </w:tcBorders>
            <w:vAlign w:val="center"/>
            <w:hideMark/>
          </w:tcPr>
          <w:p w:rsidR="002E1133" w:rsidRPr="00923097" w:rsidRDefault="002E1133" w:rsidP="00070D2A">
            <w:pPr>
              <w:contextualSpacing/>
              <w:jc w:val="left"/>
              <w:rPr>
                <w:rFonts w:ascii="Arial" w:eastAsia="Times New Roman" w:hAnsi="Arial"/>
              </w:rPr>
            </w:pPr>
          </w:p>
        </w:tc>
        <w:tc>
          <w:tcPr>
            <w:tcW w:w="0" w:type="auto"/>
            <w:vMerge/>
            <w:tcBorders>
              <w:top w:val="single" w:sz="4" w:space="0" w:color="auto"/>
              <w:left w:val="dashed" w:sz="4" w:space="0" w:color="auto"/>
              <w:bottom w:val="single" w:sz="4" w:space="0" w:color="auto"/>
              <w:right w:val="dashed" w:sz="4" w:space="0" w:color="auto"/>
            </w:tcBorders>
            <w:vAlign w:val="center"/>
            <w:hideMark/>
          </w:tcPr>
          <w:p w:rsidR="002E1133" w:rsidRPr="00923097" w:rsidRDefault="002E1133" w:rsidP="00070D2A">
            <w:pPr>
              <w:contextualSpacing/>
              <w:jc w:val="left"/>
              <w:rPr>
                <w:rFonts w:ascii="Arial" w:eastAsia="Times New Roman" w:hAnsi="Arial"/>
              </w:rPr>
            </w:pPr>
          </w:p>
        </w:tc>
        <w:tc>
          <w:tcPr>
            <w:tcW w:w="0" w:type="auto"/>
            <w:vMerge/>
            <w:tcBorders>
              <w:top w:val="single" w:sz="4" w:space="0" w:color="auto"/>
              <w:left w:val="dashed" w:sz="4" w:space="0" w:color="auto"/>
              <w:bottom w:val="single" w:sz="4" w:space="0" w:color="auto"/>
              <w:right w:val="single" w:sz="12" w:space="0" w:color="auto"/>
            </w:tcBorders>
            <w:vAlign w:val="center"/>
            <w:hideMark/>
          </w:tcPr>
          <w:p w:rsidR="002E1133" w:rsidRPr="00923097" w:rsidRDefault="002E1133" w:rsidP="00070D2A">
            <w:pPr>
              <w:contextualSpacing/>
              <w:jc w:val="left"/>
              <w:rPr>
                <w:rFonts w:ascii="Arial" w:eastAsia="Times New Roman" w:hAnsi="Arial"/>
              </w:rPr>
            </w:pPr>
          </w:p>
        </w:tc>
        <w:tc>
          <w:tcPr>
            <w:tcW w:w="0" w:type="auto"/>
            <w:tcBorders>
              <w:top w:val="single" w:sz="12" w:space="0" w:color="auto"/>
              <w:left w:val="single" w:sz="12" w:space="0" w:color="auto"/>
              <w:bottom w:val="single" w:sz="12" w:space="0" w:color="auto"/>
              <w:right w:val="dashed" w:sz="4" w:space="0" w:color="auto"/>
            </w:tcBorders>
            <w:shd w:val="clear" w:color="auto" w:fill="92CDDC"/>
            <w:vAlign w:val="center"/>
            <w:hideMark/>
          </w:tcPr>
          <w:p w:rsidR="002E1133" w:rsidRPr="00923097" w:rsidRDefault="002E1133" w:rsidP="00070D2A">
            <w:pPr>
              <w:pStyle w:val="ECBodyText"/>
              <w:spacing w:before="0"/>
              <w:contextualSpacing/>
            </w:pPr>
            <w:r w:rsidRPr="00923097">
              <w:t>19157</w:t>
            </w:r>
          </w:p>
        </w:tc>
        <w:tc>
          <w:tcPr>
            <w:tcW w:w="0" w:type="auto"/>
            <w:tcBorders>
              <w:top w:val="single" w:sz="4" w:space="0" w:color="auto"/>
              <w:left w:val="dashed" w:sz="4" w:space="0" w:color="auto"/>
              <w:bottom w:val="single" w:sz="12" w:space="0" w:color="auto"/>
              <w:right w:val="dashed" w:sz="4" w:space="0" w:color="auto"/>
            </w:tcBorders>
            <w:shd w:val="thinDiagStripe" w:color="auto" w:fill="92CDDC"/>
            <w:vAlign w:val="center"/>
          </w:tcPr>
          <w:p w:rsidR="002E1133" w:rsidRPr="00923097" w:rsidRDefault="002E1133" w:rsidP="00070D2A">
            <w:pPr>
              <w:contextualSpacing/>
              <w:rPr>
                <w:rFonts w:ascii="Arial" w:eastAsia="Times New Roman" w:hAnsi="Arial"/>
              </w:rPr>
            </w:pPr>
          </w:p>
        </w:tc>
        <w:tc>
          <w:tcPr>
            <w:tcW w:w="0" w:type="auto"/>
            <w:tcBorders>
              <w:top w:val="single" w:sz="4" w:space="0" w:color="auto"/>
              <w:left w:val="dashed" w:sz="4" w:space="0" w:color="auto"/>
              <w:bottom w:val="single" w:sz="12" w:space="0" w:color="auto"/>
              <w:right w:val="dashed" w:sz="4" w:space="0" w:color="auto"/>
            </w:tcBorders>
            <w:shd w:val="thinDiagStripe" w:color="auto" w:fill="92CDDC"/>
            <w:vAlign w:val="center"/>
          </w:tcPr>
          <w:p w:rsidR="002E1133" w:rsidRPr="00923097" w:rsidRDefault="002E1133" w:rsidP="00070D2A">
            <w:pPr>
              <w:contextualSpacing/>
              <w:rPr>
                <w:rFonts w:ascii="Arial" w:eastAsia="Times New Roman" w:hAnsi="Arial"/>
              </w:rPr>
            </w:pPr>
          </w:p>
        </w:tc>
        <w:tc>
          <w:tcPr>
            <w:tcW w:w="0" w:type="auto"/>
            <w:tcBorders>
              <w:top w:val="single" w:sz="4" w:space="0" w:color="auto"/>
              <w:left w:val="dashed" w:sz="4" w:space="0" w:color="auto"/>
              <w:bottom w:val="single" w:sz="12" w:space="0" w:color="auto"/>
              <w:right w:val="single" w:sz="4" w:space="0" w:color="auto"/>
            </w:tcBorders>
            <w:shd w:val="thinDiagStripe" w:color="auto" w:fill="92CDDC"/>
            <w:vAlign w:val="center"/>
          </w:tcPr>
          <w:p w:rsidR="002E1133" w:rsidRPr="00923097" w:rsidRDefault="002E1133" w:rsidP="00070D2A">
            <w:pPr>
              <w:contextualSpacing/>
              <w:rPr>
                <w:rFonts w:ascii="Arial" w:eastAsia="Times New Roman" w:hAnsi="Arial"/>
              </w:rPr>
            </w:pPr>
          </w:p>
        </w:tc>
      </w:tr>
      <w:tr w:rsidR="002E1133" w:rsidRPr="00923097" w:rsidTr="00B66EAB">
        <w:trPr>
          <w:trHeight w:hRule="exact" w:val="340"/>
          <w:tblHeade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2E1133" w:rsidRPr="00923097" w:rsidRDefault="002E1133" w:rsidP="002E1133">
            <w:pPr>
              <w:pStyle w:val="ECBodyText"/>
              <w:spacing w:before="0"/>
              <w:contextualSpacing/>
              <w:jc w:val="right"/>
            </w:pPr>
            <w:r w:rsidRPr="00923097">
              <w:t>Imagery</w:t>
            </w:r>
          </w:p>
        </w:tc>
        <w:tc>
          <w:tcPr>
            <w:tcW w:w="0" w:type="auto"/>
            <w:tcBorders>
              <w:top w:val="single" w:sz="12" w:space="0" w:color="auto"/>
              <w:left w:val="double" w:sz="4" w:space="0" w:color="auto"/>
              <w:bottom w:val="single" w:sz="4" w:space="0" w:color="auto"/>
              <w:right w:val="dashed" w:sz="4" w:space="0" w:color="auto"/>
            </w:tcBorders>
            <w:vAlign w:val="center"/>
          </w:tcPr>
          <w:p w:rsidR="002E1133" w:rsidRPr="00923097" w:rsidRDefault="002E1133" w:rsidP="00070D2A">
            <w:pPr>
              <w:contextualSpacing/>
              <w:rPr>
                <w:rFonts w:ascii="Arial" w:eastAsia="Times New Roman" w:hAnsi="Arial"/>
              </w:rPr>
            </w:pPr>
          </w:p>
        </w:tc>
        <w:tc>
          <w:tcPr>
            <w:tcW w:w="0" w:type="auto"/>
            <w:tcBorders>
              <w:top w:val="single" w:sz="12" w:space="0" w:color="auto"/>
              <w:left w:val="dashed" w:sz="4" w:space="0" w:color="auto"/>
              <w:bottom w:val="single" w:sz="4" w:space="0" w:color="auto"/>
              <w:right w:val="dashed" w:sz="4" w:space="0" w:color="auto"/>
            </w:tcBorders>
            <w:vAlign w:val="center"/>
          </w:tcPr>
          <w:p w:rsidR="002E1133" w:rsidRPr="00923097" w:rsidRDefault="002E1133" w:rsidP="00070D2A">
            <w:pPr>
              <w:contextualSpacing/>
              <w:rPr>
                <w:rFonts w:ascii="Arial" w:eastAsia="Times New Roman" w:hAnsi="Arial"/>
              </w:rPr>
            </w:pPr>
          </w:p>
        </w:tc>
        <w:tc>
          <w:tcPr>
            <w:tcW w:w="0" w:type="auto"/>
            <w:tcBorders>
              <w:top w:val="single" w:sz="12" w:space="0" w:color="auto"/>
              <w:left w:val="dashed" w:sz="4" w:space="0" w:color="auto"/>
              <w:bottom w:val="single" w:sz="12" w:space="0" w:color="auto"/>
              <w:right w:val="single" w:sz="12" w:space="0" w:color="auto"/>
            </w:tcBorders>
            <w:vAlign w:val="center"/>
          </w:tcPr>
          <w:p w:rsidR="002E1133" w:rsidRPr="00923097" w:rsidRDefault="002E1133" w:rsidP="00070D2A">
            <w:pPr>
              <w:contextualSpacing/>
              <w:rPr>
                <w:rFonts w:ascii="Arial" w:eastAsia="Times New Roman" w:hAnsi="Arial"/>
              </w:rPr>
            </w:pPr>
          </w:p>
        </w:tc>
        <w:tc>
          <w:tcPr>
            <w:tcW w:w="0" w:type="auto"/>
            <w:tcBorders>
              <w:top w:val="single" w:sz="4" w:space="0" w:color="auto"/>
              <w:left w:val="single" w:sz="12" w:space="0" w:color="auto"/>
              <w:bottom w:val="single" w:sz="4" w:space="0" w:color="auto"/>
              <w:right w:val="dashed" w:sz="4" w:space="0" w:color="auto"/>
            </w:tcBorders>
            <w:shd w:val="clear" w:color="auto" w:fill="CCC0D9" w:themeFill="accent4" w:themeFillTint="66"/>
            <w:vAlign w:val="center"/>
            <w:hideMark/>
          </w:tcPr>
          <w:p w:rsidR="002E1133" w:rsidRPr="00923097" w:rsidRDefault="002E1133" w:rsidP="00070D2A">
            <w:pPr>
              <w:pStyle w:val="ECBodyText"/>
              <w:spacing w:before="0"/>
              <w:contextualSpacing/>
            </w:pPr>
            <w:r w:rsidRPr="00923097">
              <w:t>19115-2</w:t>
            </w:r>
          </w:p>
        </w:tc>
        <w:tc>
          <w:tcPr>
            <w:tcW w:w="0" w:type="auto"/>
            <w:tcBorders>
              <w:top w:val="single" w:sz="4" w:space="0" w:color="auto"/>
              <w:left w:val="dashed" w:sz="4" w:space="0" w:color="auto"/>
              <w:bottom w:val="single" w:sz="4" w:space="0" w:color="auto"/>
              <w:right w:val="dashed" w:sz="4" w:space="0" w:color="auto"/>
            </w:tcBorders>
            <w:shd w:val="clear" w:color="auto" w:fill="CCC0D9" w:themeFill="accent4" w:themeFillTint="66"/>
            <w:vAlign w:val="center"/>
          </w:tcPr>
          <w:p w:rsidR="002E1133" w:rsidRPr="00923097" w:rsidRDefault="002E1133" w:rsidP="00070D2A">
            <w:pPr>
              <w:contextualSpacing/>
              <w:rPr>
                <w:rFonts w:ascii="Arial" w:eastAsia="Times New Roman" w:hAnsi="Arial"/>
              </w:rPr>
            </w:pPr>
          </w:p>
        </w:tc>
        <w:tc>
          <w:tcPr>
            <w:tcW w:w="0" w:type="auto"/>
            <w:tcBorders>
              <w:top w:val="single" w:sz="12" w:space="0" w:color="auto"/>
              <w:left w:val="dashed" w:sz="4" w:space="0" w:color="auto"/>
              <w:bottom w:val="single" w:sz="4" w:space="0" w:color="auto"/>
              <w:right w:val="dashed" w:sz="4" w:space="0" w:color="auto"/>
            </w:tcBorders>
            <w:shd w:val="clear" w:color="auto" w:fill="CCC0D9" w:themeFill="accent4" w:themeFillTint="66"/>
            <w:vAlign w:val="center"/>
          </w:tcPr>
          <w:p w:rsidR="002E1133" w:rsidRPr="00923097" w:rsidRDefault="002E1133" w:rsidP="00070D2A">
            <w:pPr>
              <w:contextualSpacing/>
              <w:rPr>
                <w:rFonts w:ascii="Arial" w:eastAsia="Times New Roman" w:hAnsi="Arial"/>
              </w:rPr>
            </w:pPr>
          </w:p>
        </w:tc>
        <w:tc>
          <w:tcPr>
            <w:tcW w:w="0" w:type="auto"/>
            <w:tcBorders>
              <w:top w:val="single" w:sz="12" w:space="0" w:color="auto"/>
              <w:left w:val="dashed" w:sz="4" w:space="0" w:color="auto"/>
              <w:bottom w:val="single" w:sz="4" w:space="0" w:color="auto"/>
              <w:right w:val="dashed" w:sz="4" w:space="0" w:color="auto"/>
            </w:tcBorders>
            <w:shd w:val="clear" w:color="auto" w:fill="CCC0D9" w:themeFill="accent4" w:themeFillTint="66"/>
            <w:vAlign w:val="center"/>
          </w:tcPr>
          <w:p w:rsidR="002E1133" w:rsidRPr="00923097" w:rsidRDefault="002E1133" w:rsidP="00070D2A">
            <w:pPr>
              <w:contextualSpacing/>
              <w:rPr>
                <w:rFonts w:ascii="Arial" w:eastAsia="Times New Roman" w:hAnsi="Arial"/>
              </w:rPr>
            </w:pPr>
          </w:p>
        </w:tc>
        <w:tc>
          <w:tcPr>
            <w:tcW w:w="0" w:type="auto"/>
            <w:tcBorders>
              <w:top w:val="single" w:sz="12" w:space="0" w:color="auto"/>
              <w:left w:val="dashed" w:sz="4" w:space="0" w:color="auto"/>
              <w:bottom w:val="single" w:sz="4" w:space="0" w:color="auto"/>
              <w:right w:val="dashed" w:sz="4" w:space="0" w:color="auto"/>
            </w:tcBorders>
            <w:shd w:val="clear" w:color="auto" w:fill="CCC0D9" w:themeFill="accent4" w:themeFillTint="66"/>
            <w:vAlign w:val="center"/>
          </w:tcPr>
          <w:p w:rsidR="002E1133" w:rsidRPr="00923097" w:rsidRDefault="002E1133" w:rsidP="00070D2A">
            <w:pPr>
              <w:contextualSpacing/>
              <w:rPr>
                <w:rFonts w:ascii="Arial" w:eastAsia="Times New Roman" w:hAnsi="Arial"/>
              </w:rPr>
            </w:pPr>
          </w:p>
        </w:tc>
        <w:tc>
          <w:tcPr>
            <w:tcW w:w="0" w:type="auto"/>
            <w:tcBorders>
              <w:top w:val="single" w:sz="12" w:space="0" w:color="auto"/>
              <w:left w:val="dashed" w:sz="4" w:space="0" w:color="auto"/>
              <w:bottom w:val="single" w:sz="12" w:space="0" w:color="auto"/>
              <w:right w:val="single" w:sz="4" w:space="0" w:color="auto"/>
            </w:tcBorders>
            <w:shd w:val="clear" w:color="auto" w:fill="CCC0D9" w:themeFill="accent4" w:themeFillTint="66"/>
            <w:vAlign w:val="center"/>
          </w:tcPr>
          <w:p w:rsidR="002E1133" w:rsidRPr="00923097" w:rsidRDefault="002E1133" w:rsidP="00070D2A">
            <w:pPr>
              <w:contextualSpacing/>
              <w:rPr>
                <w:rFonts w:ascii="Arial" w:eastAsia="Times New Roman" w:hAnsi="Arial"/>
              </w:rPr>
            </w:pPr>
          </w:p>
        </w:tc>
      </w:tr>
      <w:tr w:rsidR="002E1133" w:rsidRPr="00923097" w:rsidTr="00B66EAB">
        <w:trPr>
          <w:trHeight w:hRule="exact" w:val="340"/>
          <w:tblHeade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2E1133" w:rsidRPr="00923097" w:rsidRDefault="002E1133" w:rsidP="002E1133">
            <w:pPr>
              <w:pStyle w:val="ECBodyText"/>
              <w:spacing w:before="0"/>
              <w:contextualSpacing/>
              <w:rPr>
                <w:b/>
              </w:rPr>
            </w:pPr>
            <w:r w:rsidRPr="00923097">
              <w:rPr>
                <w:b/>
              </w:rPr>
              <w:t>XSD Core</w:t>
            </w:r>
          </w:p>
        </w:tc>
        <w:tc>
          <w:tcPr>
            <w:tcW w:w="0" w:type="auto"/>
            <w:tcBorders>
              <w:top w:val="single" w:sz="4" w:space="0" w:color="auto"/>
              <w:left w:val="double" w:sz="4" w:space="0" w:color="auto"/>
              <w:bottom w:val="single" w:sz="4" w:space="0" w:color="auto"/>
              <w:right w:val="dashed" w:sz="4" w:space="0" w:color="auto"/>
            </w:tcBorders>
            <w:vAlign w:val="center"/>
          </w:tcPr>
          <w:p w:rsidR="002E1133" w:rsidRPr="00923097" w:rsidRDefault="002E1133" w:rsidP="00070D2A">
            <w:pPr>
              <w:contextualSpacing/>
              <w:rPr>
                <w:rFonts w:ascii="Arial" w:eastAsia="Times New Roman" w:hAnsi="Arial"/>
              </w:rPr>
            </w:pPr>
          </w:p>
        </w:tc>
        <w:tc>
          <w:tcPr>
            <w:tcW w:w="0" w:type="auto"/>
            <w:tcBorders>
              <w:top w:val="single" w:sz="4" w:space="0" w:color="auto"/>
              <w:left w:val="dashed" w:sz="4" w:space="0" w:color="auto"/>
              <w:bottom w:val="single" w:sz="4" w:space="0" w:color="auto"/>
              <w:right w:val="single" w:sz="12" w:space="0" w:color="auto"/>
            </w:tcBorders>
            <w:vAlign w:val="center"/>
          </w:tcPr>
          <w:p w:rsidR="002E1133" w:rsidRPr="00923097" w:rsidRDefault="002E1133" w:rsidP="00070D2A">
            <w:pPr>
              <w:contextualSpacing/>
              <w:rPr>
                <w:rFonts w:ascii="Arial" w:eastAsia="Times New Roman" w:hAnsi="Arial"/>
              </w:rPr>
            </w:pPr>
          </w:p>
        </w:tc>
        <w:tc>
          <w:tcPr>
            <w:tcW w:w="0" w:type="auto"/>
            <w:vMerge w:val="restart"/>
            <w:tcBorders>
              <w:top w:val="single" w:sz="12" w:space="0" w:color="auto"/>
              <w:left w:val="single" w:sz="12" w:space="0" w:color="auto"/>
              <w:bottom w:val="single" w:sz="12" w:space="0" w:color="auto"/>
              <w:right w:val="dashed" w:sz="4" w:space="0" w:color="auto"/>
            </w:tcBorders>
            <w:shd w:val="clear" w:color="auto" w:fill="FBD4B4" w:themeFill="accent6" w:themeFillTint="66"/>
            <w:vAlign w:val="center"/>
            <w:hideMark/>
          </w:tcPr>
          <w:p w:rsidR="002E1133" w:rsidRPr="00923097" w:rsidRDefault="002E1133" w:rsidP="00070D2A">
            <w:pPr>
              <w:pStyle w:val="ECBodyText"/>
              <w:spacing w:before="0"/>
              <w:contextualSpacing/>
            </w:pPr>
            <w:r w:rsidRPr="00923097">
              <w:t>19139</w:t>
            </w:r>
          </w:p>
        </w:tc>
        <w:tc>
          <w:tcPr>
            <w:tcW w:w="0" w:type="auto"/>
            <w:vMerge w:val="restart"/>
            <w:tcBorders>
              <w:top w:val="single" w:sz="4" w:space="0" w:color="auto"/>
              <w:left w:val="dashed" w:sz="4" w:space="0" w:color="auto"/>
              <w:right w:val="dashed" w:sz="4" w:space="0" w:color="auto"/>
            </w:tcBorders>
            <w:shd w:val="clear" w:color="auto" w:fill="FBD4B4" w:themeFill="accent6" w:themeFillTint="66"/>
            <w:vAlign w:val="center"/>
          </w:tcPr>
          <w:p w:rsidR="002E1133" w:rsidRPr="00923097" w:rsidRDefault="002E1133" w:rsidP="00070D2A">
            <w:pPr>
              <w:contextualSpacing/>
              <w:rPr>
                <w:rFonts w:ascii="Arial" w:eastAsia="Times New Roman" w:hAnsi="Arial"/>
              </w:rPr>
            </w:pPr>
          </w:p>
        </w:tc>
        <w:tc>
          <w:tcPr>
            <w:tcW w:w="0" w:type="auto"/>
            <w:vMerge w:val="restart"/>
            <w:tcBorders>
              <w:top w:val="single" w:sz="4" w:space="0" w:color="auto"/>
              <w:left w:val="dashed" w:sz="4" w:space="0" w:color="auto"/>
              <w:right w:val="dashed" w:sz="4" w:space="0" w:color="auto"/>
            </w:tcBorders>
            <w:shd w:val="clear" w:color="auto" w:fill="FBD4B4" w:themeFill="accent6" w:themeFillTint="66"/>
            <w:vAlign w:val="center"/>
          </w:tcPr>
          <w:p w:rsidR="002E1133" w:rsidRPr="00923097" w:rsidRDefault="002E1133" w:rsidP="00070D2A">
            <w:pPr>
              <w:contextualSpacing/>
              <w:rPr>
                <w:rFonts w:ascii="Arial" w:eastAsia="Times New Roman" w:hAnsi="Arial"/>
              </w:rPr>
            </w:pPr>
          </w:p>
        </w:tc>
        <w:tc>
          <w:tcPr>
            <w:tcW w:w="0" w:type="auto"/>
            <w:vMerge w:val="restart"/>
            <w:tcBorders>
              <w:top w:val="single" w:sz="4" w:space="0" w:color="auto"/>
              <w:left w:val="dashed" w:sz="4" w:space="0" w:color="auto"/>
              <w:right w:val="dashed" w:sz="4" w:space="0" w:color="auto"/>
            </w:tcBorders>
            <w:shd w:val="clear" w:color="auto" w:fill="FBD4B4" w:themeFill="accent6" w:themeFillTint="66"/>
            <w:vAlign w:val="center"/>
          </w:tcPr>
          <w:p w:rsidR="002E1133" w:rsidRPr="00923097" w:rsidRDefault="002E1133" w:rsidP="00070D2A">
            <w:pPr>
              <w:contextualSpacing/>
              <w:rPr>
                <w:rFonts w:ascii="Arial" w:eastAsia="Times New Roman" w:hAnsi="Arial"/>
              </w:rPr>
            </w:pPr>
          </w:p>
        </w:tc>
        <w:tc>
          <w:tcPr>
            <w:tcW w:w="0" w:type="auto"/>
            <w:vMerge w:val="restart"/>
            <w:tcBorders>
              <w:top w:val="single" w:sz="4" w:space="0" w:color="auto"/>
              <w:left w:val="dashed" w:sz="4" w:space="0" w:color="auto"/>
              <w:right w:val="dashed" w:sz="4" w:space="0" w:color="auto"/>
            </w:tcBorders>
            <w:shd w:val="clear" w:color="auto" w:fill="FBD4B4" w:themeFill="accent6" w:themeFillTint="66"/>
            <w:vAlign w:val="center"/>
          </w:tcPr>
          <w:p w:rsidR="002E1133" w:rsidRPr="00923097" w:rsidRDefault="002E1133" w:rsidP="00070D2A">
            <w:pPr>
              <w:contextualSpacing/>
              <w:rPr>
                <w:rFonts w:ascii="Arial" w:eastAsia="Times New Roman" w:hAnsi="Arial"/>
              </w:rPr>
            </w:pPr>
          </w:p>
        </w:tc>
        <w:tc>
          <w:tcPr>
            <w:tcW w:w="0" w:type="auto"/>
            <w:tcBorders>
              <w:top w:val="single" w:sz="4" w:space="0" w:color="auto"/>
              <w:left w:val="dashed" w:sz="4" w:space="0" w:color="auto"/>
              <w:bottom w:val="single" w:sz="12" w:space="0" w:color="auto"/>
              <w:right w:val="single" w:sz="12" w:space="0" w:color="auto"/>
            </w:tcBorders>
            <w:shd w:val="clear" w:color="auto" w:fill="FBD4B4" w:themeFill="accent6" w:themeFillTint="66"/>
            <w:vAlign w:val="center"/>
            <w:hideMark/>
          </w:tcPr>
          <w:p w:rsidR="002E1133" w:rsidRPr="00923097" w:rsidRDefault="002E1133" w:rsidP="00070D2A">
            <w:pPr>
              <w:pStyle w:val="ECBodyText"/>
              <w:spacing w:before="0"/>
              <w:contextualSpacing/>
            </w:pPr>
          </w:p>
        </w:tc>
        <w:tc>
          <w:tcPr>
            <w:tcW w:w="0" w:type="auto"/>
            <w:tcBorders>
              <w:top w:val="single" w:sz="12" w:space="0" w:color="auto"/>
              <w:left w:val="single" w:sz="12" w:space="0" w:color="auto"/>
              <w:bottom w:val="single" w:sz="4" w:space="0" w:color="auto"/>
              <w:right w:val="single" w:sz="4" w:space="0" w:color="auto"/>
            </w:tcBorders>
            <w:shd w:val="clear" w:color="auto" w:fill="92D050"/>
            <w:vAlign w:val="center"/>
          </w:tcPr>
          <w:p w:rsidR="002E1133" w:rsidRPr="00923097" w:rsidRDefault="002E1133" w:rsidP="00070D2A">
            <w:pPr>
              <w:pStyle w:val="ECBodyText"/>
              <w:spacing w:before="0"/>
              <w:contextualSpacing/>
              <w:rPr>
                <w:rFonts w:eastAsia="MS Mincho"/>
                <w:lang w:eastAsia="ja-JP"/>
              </w:rPr>
            </w:pPr>
            <w:r w:rsidRPr="00923097">
              <w:rPr>
                <w:rFonts w:eastAsia="MS Mincho" w:hint="eastAsia"/>
                <w:lang w:eastAsia="ja-JP"/>
              </w:rPr>
              <w:t>19115-3</w:t>
            </w:r>
          </w:p>
        </w:tc>
      </w:tr>
      <w:tr w:rsidR="002E1133" w:rsidRPr="00923097" w:rsidTr="006F2688">
        <w:trPr>
          <w:trHeight w:hRule="exact" w:val="340"/>
          <w:tblHeader/>
          <w:jc w:val="center"/>
        </w:trPr>
        <w:tc>
          <w:tcPr>
            <w:tcW w:w="0" w:type="auto"/>
            <w:tcBorders>
              <w:top w:val="single" w:sz="4" w:space="0" w:color="auto"/>
              <w:left w:val="single" w:sz="4" w:space="0" w:color="auto"/>
              <w:bottom w:val="single" w:sz="4" w:space="0" w:color="auto"/>
              <w:right w:val="double" w:sz="4" w:space="0" w:color="auto"/>
            </w:tcBorders>
            <w:vAlign w:val="center"/>
          </w:tcPr>
          <w:p w:rsidR="002E1133" w:rsidRPr="00923097" w:rsidRDefault="002E1133" w:rsidP="002E1133">
            <w:pPr>
              <w:pStyle w:val="ECBodyText"/>
              <w:spacing w:before="0"/>
              <w:contextualSpacing/>
              <w:jc w:val="right"/>
              <w:rPr>
                <w:rFonts w:eastAsia="MS Mincho"/>
                <w:lang w:eastAsia="ja-JP"/>
              </w:rPr>
            </w:pPr>
            <w:r w:rsidRPr="00923097">
              <w:rPr>
                <w:rFonts w:eastAsia="MS Mincho" w:hint="eastAsia"/>
                <w:lang w:eastAsia="ja-JP"/>
              </w:rPr>
              <w:t>Quality</w:t>
            </w:r>
          </w:p>
        </w:tc>
        <w:tc>
          <w:tcPr>
            <w:tcW w:w="0" w:type="auto"/>
            <w:tcBorders>
              <w:top w:val="single" w:sz="4" w:space="0" w:color="auto"/>
              <w:left w:val="double" w:sz="4" w:space="0" w:color="auto"/>
              <w:bottom w:val="single" w:sz="4" w:space="0" w:color="auto"/>
              <w:right w:val="dashed" w:sz="4" w:space="0" w:color="auto"/>
            </w:tcBorders>
            <w:vAlign w:val="center"/>
          </w:tcPr>
          <w:p w:rsidR="002E1133" w:rsidRPr="00923097" w:rsidRDefault="002E1133" w:rsidP="00070D2A">
            <w:pPr>
              <w:contextualSpacing/>
              <w:rPr>
                <w:rFonts w:ascii="Arial" w:eastAsia="Times New Roman" w:hAnsi="Arial"/>
              </w:rPr>
            </w:pPr>
          </w:p>
        </w:tc>
        <w:tc>
          <w:tcPr>
            <w:tcW w:w="0" w:type="auto"/>
            <w:tcBorders>
              <w:top w:val="single" w:sz="4" w:space="0" w:color="auto"/>
              <w:left w:val="dashed" w:sz="4" w:space="0" w:color="auto"/>
              <w:bottom w:val="single" w:sz="4" w:space="0" w:color="auto"/>
              <w:right w:val="single" w:sz="12" w:space="0" w:color="auto"/>
            </w:tcBorders>
            <w:vAlign w:val="center"/>
          </w:tcPr>
          <w:p w:rsidR="002E1133" w:rsidRPr="00923097" w:rsidRDefault="002E1133" w:rsidP="00070D2A">
            <w:pPr>
              <w:contextualSpacing/>
              <w:rPr>
                <w:rFonts w:ascii="Arial" w:eastAsia="Times New Roman" w:hAnsi="Arial"/>
              </w:rPr>
            </w:pPr>
          </w:p>
        </w:tc>
        <w:tc>
          <w:tcPr>
            <w:tcW w:w="0" w:type="auto"/>
            <w:vMerge/>
            <w:tcBorders>
              <w:left w:val="single" w:sz="12" w:space="0" w:color="auto"/>
              <w:bottom w:val="single" w:sz="12" w:space="0" w:color="auto"/>
              <w:right w:val="dashed" w:sz="4" w:space="0" w:color="auto"/>
            </w:tcBorders>
            <w:shd w:val="clear" w:color="auto" w:fill="FDE9D9" w:themeFill="accent6" w:themeFillTint="33"/>
            <w:vAlign w:val="center"/>
          </w:tcPr>
          <w:p w:rsidR="002E1133" w:rsidRPr="00923097" w:rsidRDefault="002E1133" w:rsidP="00070D2A">
            <w:pPr>
              <w:pStyle w:val="ECBodyText"/>
              <w:spacing w:before="0"/>
              <w:contextualSpacing/>
            </w:pPr>
          </w:p>
        </w:tc>
        <w:tc>
          <w:tcPr>
            <w:tcW w:w="0" w:type="auto"/>
            <w:vMerge/>
            <w:tcBorders>
              <w:left w:val="dashed" w:sz="4" w:space="0" w:color="auto"/>
              <w:bottom w:val="single" w:sz="12" w:space="0" w:color="auto"/>
              <w:right w:val="dashed" w:sz="4" w:space="0" w:color="auto"/>
            </w:tcBorders>
            <w:shd w:val="clear" w:color="auto" w:fill="FDE9D9" w:themeFill="accent6" w:themeFillTint="33"/>
            <w:vAlign w:val="center"/>
          </w:tcPr>
          <w:p w:rsidR="002E1133" w:rsidRPr="00923097" w:rsidRDefault="002E1133" w:rsidP="00070D2A">
            <w:pPr>
              <w:contextualSpacing/>
              <w:rPr>
                <w:rFonts w:ascii="Arial" w:eastAsia="Times New Roman" w:hAnsi="Arial"/>
              </w:rPr>
            </w:pPr>
          </w:p>
        </w:tc>
        <w:tc>
          <w:tcPr>
            <w:tcW w:w="0" w:type="auto"/>
            <w:vMerge/>
            <w:tcBorders>
              <w:left w:val="dashed" w:sz="4" w:space="0" w:color="auto"/>
              <w:bottom w:val="single" w:sz="4" w:space="0" w:color="auto"/>
              <w:right w:val="dashed" w:sz="4" w:space="0" w:color="auto"/>
            </w:tcBorders>
            <w:shd w:val="clear" w:color="auto" w:fill="FDE9D9" w:themeFill="accent6" w:themeFillTint="33"/>
            <w:vAlign w:val="center"/>
          </w:tcPr>
          <w:p w:rsidR="002E1133" w:rsidRPr="00923097" w:rsidRDefault="002E1133" w:rsidP="00070D2A">
            <w:pPr>
              <w:contextualSpacing/>
              <w:rPr>
                <w:rFonts w:ascii="Arial" w:eastAsia="Times New Roman" w:hAnsi="Arial"/>
              </w:rPr>
            </w:pPr>
          </w:p>
        </w:tc>
        <w:tc>
          <w:tcPr>
            <w:tcW w:w="0" w:type="auto"/>
            <w:vMerge/>
            <w:tcBorders>
              <w:left w:val="dashed" w:sz="4" w:space="0" w:color="auto"/>
              <w:bottom w:val="single" w:sz="4" w:space="0" w:color="auto"/>
              <w:right w:val="dashed" w:sz="4" w:space="0" w:color="auto"/>
            </w:tcBorders>
            <w:shd w:val="clear" w:color="auto" w:fill="FDE9D9" w:themeFill="accent6" w:themeFillTint="33"/>
            <w:vAlign w:val="center"/>
          </w:tcPr>
          <w:p w:rsidR="002E1133" w:rsidRPr="00923097" w:rsidRDefault="002E1133" w:rsidP="00070D2A">
            <w:pPr>
              <w:contextualSpacing/>
              <w:rPr>
                <w:rFonts w:ascii="Arial" w:eastAsia="Times New Roman" w:hAnsi="Arial"/>
              </w:rPr>
            </w:pPr>
          </w:p>
        </w:tc>
        <w:tc>
          <w:tcPr>
            <w:tcW w:w="0" w:type="auto"/>
            <w:vMerge/>
            <w:tcBorders>
              <w:left w:val="dashed" w:sz="4" w:space="0" w:color="auto"/>
              <w:bottom w:val="single" w:sz="4" w:space="0" w:color="auto"/>
              <w:right w:val="single" w:sz="12" w:space="0" w:color="auto"/>
            </w:tcBorders>
            <w:shd w:val="clear" w:color="auto" w:fill="FDE9D9" w:themeFill="accent6" w:themeFillTint="33"/>
            <w:vAlign w:val="center"/>
          </w:tcPr>
          <w:p w:rsidR="002E1133" w:rsidRPr="00923097" w:rsidRDefault="002E1133" w:rsidP="00070D2A">
            <w:pPr>
              <w:contextualSpacing/>
              <w:rPr>
                <w:rFonts w:ascii="Arial" w:eastAsia="Times New Roman" w:hAnsi="Arial"/>
              </w:rPr>
            </w:pPr>
          </w:p>
        </w:tc>
        <w:tc>
          <w:tcPr>
            <w:tcW w:w="0" w:type="auto"/>
            <w:tcBorders>
              <w:top w:val="single" w:sz="12" w:space="0" w:color="auto"/>
              <w:left w:val="single" w:sz="12" w:space="0" w:color="auto"/>
              <w:bottom w:val="single" w:sz="12" w:space="0" w:color="auto"/>
              <w:right w:val="dashed" w:sz="4" w:space="0" w:color="auto"/>
            </w:tcBorders>
            <w:shd w:val="clear" w:color="auto" w:fill="8DB3E2" w:themeFill="text2" w:themeFillTint="66"/>
            <w:vAlign w:val="center"/>
          </w:tcPr>
          <w:p w:rsidR="002E1133" w:rsidRPr="00923097" w:rsidRDefault="002E1133" w:rsidP="00070D2A">
            <w:pPr>
              <w:pStyle w:val="ECBodyText"/>
              <w:spacing w:before="0"/>
              <w:contextualSpacing/>
              <w:rPr>
                <w:rFonts w:eastAsia="MS Mincho"/>
                <w:lang w:eastAsia="ja-JP"/>
              </w:rPr>
            </w:pPr>
            <w:r w:rsidRPr="00923097">
              <w:rPr>
                <w:rFonts w:eastAsia="MS Mincho" w:hint="eastAsia"/>
                <w:lang w:eastAsia="ja-JP"/>
              </w:rPr>
              <w:t>19157-2</w:t>
            </w:r>
          </w:p>
        </w:tc>
        <w:tc>
          <w:tcPr>
            <w:tcW w:w="0" w:type="auto"/>
            <w:tcBorders>
              <w:top w:val="single" w:sz="4" w:space="0" w:color="auto"/>
              <w:left w:val="dashed" w:sz="4" w:space="0" w:color="auto"/>
              <w:bottom w:val="single" w:sz="12" w:space="0" w:color="auto"/>
              <w:right w:val="single" w:sz="4" w:space="0" w:color="auto"/>
            </w:tcBorders>
            <w:shd w:val="thinDiagStripe" w:color="auto" w:fill="8DB3E2" w:themeFill="text2" w:themeFillTint="66"/>
            <w:vAlign w:val="center"/>
          </w:tcPr>
          <w:p w:rsidR="002E1133" w:rsidRPr="00923097" w:rsidRDefault="002E1133" w:rsidP="00070D2A">
            <w:pPr>
              <w:pStyle w:val="ECBodyText"/>
              <w:spacing w:before="0"/>
              <w:contextualSpacing/>
              <w:rPr>
                <w:rFonts w:eastAsia="MS Mincho"/>
                <w:lang w:eastAsia="ja-JP"/>
              </w:rPr>
            </w:pPr>
          </w:p>
        </w:tc>
      </w:tr>
      <w:tr w:rsidR="002E1133" w:rsidRPr="00923097" w:rsidTr="00B66EAB">
        <w:trPr>
          <w:trHeight w:hRule="exact" w:val="340"/>
          <w:tblHeader/>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2E1133" w:rsidRPr="00923097" w:rsidRDefault="002E1133" w:rsidP="002E1133">
            <w:pPr>
              <w:pStyle w:val="ECBodyText"/>
              <w:spacing w:before="0"/>
              <w:contextualSpacing/>
              <w:jc w:val="right"/>
            </w:pPr>
            <w:r w:rsidRPr="00923097">
              <w:t>Imagery</w:t>
            </w:r>
          </w:p>
        </w:tc>
        <w:tc>
          <w:tcPr>
            <w:tcW w:w="0" w:type="auto"/>
            <w:tcBorders>
              <w:top w:val="single" w:sz="4" w:space="0" w:color="auto"/>
              <w:left w:val="double" w:sz="4" w:space="0" w:color="auto"/>
              <w:bottom w:val="single" w:sz="4" w:space="0" w:color="auto"/>
              <w:right w:val="dashed" w:sz="4" w:space="0" w:color="auto"/>
            </w:tcBorders>
            <w:vAlign w:val="center"/>
          </w:tcPr>
          <w:p w:rsidR="002E1133" w:rsidRPr="00923097" w:rsidRDefault="002E1133" w:rsidP="00070D2A">
            <w:pPr>
              <w:contextualSpacing/>
              <w:rPr>
                <w:rFonts w:ascii="Arial" w:eastAsia="Times New Roman" w:hAnsi="Arial"/>
              </w:rPr>
            </w:pPr>
          </w:p>
        </w:tc>
        <w:tc>
          <w:tcPr>
            <w:tcW w:w="0" w:type="auto"/>
            <w:tcBorders>
              <w:top w:val="single" w:sz="4" w:space="0" w:color="auto"/>
              <w:left w:val="dashed" w:sz="4" w:space="0" w:color="auto"/>
              <w:bottom w:val="single" w:sz="4" w:space="0" w:color="auto"/>
              <w:right w:val="dashed" w:sz="4" w:space="0" w:color="auto"/>
            </w:tcBorders>
            <w:vAlign w:val="center"/>
          </w:tcPr>
          <w:p w:rsidR="002E1133" w:rsidRPr="00923097" w:rsidRDefault="002E1133" w:rsidP="00070D2A">
            <w:pPr>
              <w:contextualSpacing/>
              <w:rPr>
                <w:rFonts w:ascii="Arial" w:eastAsia="Times New Roman" w:hAnsi="Arial"/>
              </w:rPr>
            </w:pPr>
          </w:p>
        </w:tc>
        <w:tc>
          <w:tcPr>
            <w:tcW w:w="0" w:type="auto"/>
            <w:tcBorders>
              <w:top w:val="single" w:sz="12" w:space="0" w:color="auto"/>
              <w:left w:val="dashed" w:sz="4" w:space="0" w:color="auto"/>
              <w:bottom w:val="single" w:sz="4" w:space="0" w:color="auto"/>
              <w:right w:val="dashed" w:sz="4" w:space="0" w:color="auto"/>
            </w:tcBorders>
            <w:vAlign w:val="center"/>
          </w:tcPr>
          <w:p w:rsidR="002E1133" w:rsidRPr="00923097" w:rsidRDefault="002E1133" w:rsidP="00070D2A">
            <w:pPr>
              <w:contextualSpacing/>
              <w:rPr>
                <w:rFonts w:ascii="Arial" w:eastAsia="Times New Roman" w:hAnsi="Arial"/>
              </w:rPr>
            </w:pPr>
          </w:p>
        </w:tc>
        <w:tc>
          <w:tcPr>
            <w:tcW w:w="0" w:type="auto"/>
            <w:tcBorders>
              <w:top w:val="single" w:sz="12" w:space="0" w:color="auto"/>
              <w:left w:val="dashed" w:sz="4" w:space="0" w:color="auto"/>
              <w:bottom w:val="single" w:sz="4" w:space="0" w:color="auto"/>
              <w:right w:val="single" w:sz="12" w:space="0" w:color="auto"/>
            </w:tcBorders>
            <w:vAlign w:val="center"/>
          </w:tcPr>
          <w:p w:rsidR="002E1133" w:rsidRPr="00923097" w:rsidRDefault="002E1133" w:rsidP="00070D2A">
            <w:pPr>
              <w:contextualSpacing/>
              <w:rPr>
                <w:rFonts w:ascii="Arial" w:eastAsia="Times New Roman" w:hAnsi="Arial"/>
              </w:rPr>
            </w:pPr>
          </w:p>
        </w:tc>
        <w:tc>
          <w:tcPr>
            <w:tcW w:w="0" w:type="auto"/>
            <w:tcBorders>
              <w:top w:val="single" w:sz="4" w:space="0" w:color="auto"/>
              <w:left w:val="single" w:sz="12" w:space="0" w:color="auto"/>
              <w:bottom w:val="single" w:sz="4" w:space="0" w:color="auto"/>
              <w:right w:val="dashed" w:sz="4" w:space="0" w:color="auto"/>
            </w:tcBorders>
            <w:shd w:val="clear" w:color="auto" w:fill="CCC0D9" w:themeFill="accent4" w:themeFillTint="66"/>
            <w:vAlign w:val="center"/>
            <w:hideMark/>
          </w:tcPr>
          <w:p w:rsidR="002E1133" w:rsidRPr="00923097" w:rsidRDefault="002E1133" w:rsidP="00070D2A">
            <w:pPr>
              <w:pStyle w:val="ECBodyText"/>
              <w:spacing w:before="0"/>
              <w:contextualSpacing/>
            </w:pPr>
            <w:r w:rsidRPr="00923097">
              <w:t>19139-2</w:t>
            </w:r>
          </w:p>
        </w:tc>
        <w:tc>
          <w:tcPr>
            <w:tcW w:w="0" w:type="auto"/>
            <w:tcBorders>
              <w:top w:val="single" w:sz="4" w:space="0" w:color="auto"/>
              <w:left w:val="dashed" w:sz="4" w:space="0" w:color="auto"/>
              <w:bottom w:val="single" w:sz="4" w:space="0" w:color="auto"/>
              <w:right w:val="dashed" w:sz="4" w:space="0" w:color="auto"/>
            </w:tcBorders>
            <w:shd w:val="clear" w:color="auto" w:fill="CCC0D9" w:themeFill="accent4" w:themeFillTint="66"/>
            <w:vAlign w:val="center"/>
          </w:tcPr>
          <w:p w:rsidR="002E1133" w:rsidRPr="00923097" w:rsidRDefault="002E1133" w:rsidP="00070D2A">
            <w:pPr>
              <w:contextualSpacing/>
              <w:rPr>
                <w:rFonts w:ascii="Arial" w:eastAsia="Times New Roman" w:hAnsi="Arial"/>
              </w:rPr>
            </w:pPr>
          </w:p>
        </w:tc>
        <w:tc>
          <w:tcPr>
            <w:tcW w:w="0" w:type="auto"/>
            <w:tcBorders>
              <w:top w:val="single" w:sz="4" w:space="0" w:color="auto"/>
              <w:left w:val="dashed" w:sz="4" w:space="0" w:color="auto"/>
              <w:bottom w:val="single" w:sz="4" w:space="0" w:color="auto"/>
              <w:right w:val="dashed" w:sz="4" w:space="0" w:color="auto"/>
            </w:tcBorders>
            <w:shd w:val="clear" w:color="auto" w:fill="CCC0D9" w:themeFill="accent4" w:themeFillTint="66"/>
            <w:vAlign w:val="center"/>
          </w:tcPr>
          <w:p w:rsidR="002E1133" w:rsidRPr="00923097" w:rsidRDefault="002E1133" w:rsidP="00070D2A">
            <w:pPr>
              <w:contextualSpacing/>
              <w:rPr>
                <w:rFonts w:ascii="Arial" w:eastAsia="Times New Roman" w:hAnsi="Arial"/>
              </w:rPr>
            </w:pPr>
          </w:p>
        </w:tc>
        <w:tc>
          <w:tcPr>
            <w:tcW w:w="0" w:type="auto"/>
            <w:tcBorders>
              <w:top w:val="single" w:sz="12" w:space="0" w:color="auto"/>
              <w:left w:val="dashed" w:sz="4" w:space="0" w:color="auto"/>
              <w:bottom w:val="single" w:sz="4" w:space="0" w:color="auto"/>
              <w:right w:val="dashed" w:sz="4" w:space="0" w:color="auto"/>
            </w:tcBorders>
            <w:shd w:val="clear" w:color="auto" w:fill="CCC0D9" w:themeFill="accent4" w:themeFillTint="66"/>
            <w:vAlign w:val="center"/>
          </w:tcPr>
          <w:p w:rsidR="002E1133" w:rsidRPr="00923097" w:rsidRDefault="002E1133" w:rsidP="00070D2A">
            <w:pPr>
              <w:pStyle w:val="ECBodyText"/>
              <w:spacing w:before="0"/>
              <w:contextualSpacing/>
            </w:pPr>
          </w:p>
        </w:tc>
        <w:tc>
          <w:tcPr>
            <w:tcW w:w="0" w:type="auto"/>
            <w:tcBorders>
              <w:top w:val="single" w:sz="12" w:space="0" w:color="auto"/>
              <w:left w:val="dashed" w:sz="4" w:space="0" w:color="auto"/>
              <w:bottom w:val="single" w:sz="4" w:space="0" w:color="auto"/>
              <w:right w:val="single" w:sz="4" w:space="0" w:color="auto"/>
            </w:tcBorders>
            <w:shd w:val="clear" w:color="auto" w:fill="CCC0D9" w:themeFill="accent4" w:themeFillTint="66"/>
            <w:vAlign w:val="center"/>
          </w:tcPr>
          <w:p w:rsidR="002E1133" w:rsidRPr="00923097" w:rsidRDefault="002E1133" w:rsidP="00070D2A">
            <w:pPr>
              <w:pStyle w:val="ECBodyText"/>
              <w:spacing w:before="0"/>
              <w:contextualSpacing/>
            </w:pPr>
          </w:p>
        </w:tc>
      </w:tr>
    </w:tbl>
    <w:p w:rsidR="00B06B68" w:rsidRPr="00923097" w:rsidRDefault="00B06B68" w:rsidP="00B06B68">
      <w:pPr>
        <w:pStyle w:val="BodyText"/>
        <w:rPr>
          <w:rFonts w:eastAsia="MS Mincho"/>
          <w:lang w:eastAsia="ja-JP"/>
        </w:rPr>
      </w:pPr>
    </w:p>
    <w:p w:rsidR="00DB77F7" w:rsidRPr="00923097" w:rsidRDefault="00DB77F7" w:rsidP="00DB77F7">
      <w:pPr>
        <w:pStyle w:val="BodyTextNumbered"/>
      </w:pPr>
      <w:r w:rsidRPr="00923097">
        <w:t>The Version 1.3 of WMO Core Metadata Profile (WCMP) is based on the ISO standard set of geographical metadata available around 2011</w:t>
      </w:r>
      <w:r w:rsidR="006F2688" w:rsidRPr="00923097">
        <w:rPr>
          <w:rFonts w:eastAsia="MS Mincho" w:hint="eastAsia"/>
          <w:lang w:eastAsia="ja-JP"/>
        </w:rPr>
        <w:t xml:space="preserve"> (hereafter referred as first-generation </w:t>
      </w:r>
      <w:r w:rsidR="0087675F" w:rsidRPr="00923097">
        <w:rPr>
          <w:rFonts w:eastAsia="MS Mincho" w:hint="eastAsia"/>
          <w:lang w:eastAsia="ja-JP"/>
        </w:rPr>
        <w:t xml:space="preserve">or 1G </w:t>
      </w:r>
      <w:r w:rsidR="006F2688" w:rsidRPr="00923097">
        <w:rPr>
          <w:rFonts w:eastAsia="MS Mincho" w:hint="eastAsia"/>
          <w:lang w:eastAsia="ja-JP"/>
        </w:rPr>
        <w:t>standards)</w:t>
      </w:r>
      <w:r w:rsidRPr="00923097">
        <w:t>. That was the core UML model (ISO 19115:2003), its correcti</w:t>
      </w:r>
      <w:r w:rsidR="007139B3" w:rsidRPr="00923097">
        <w:t>on (ISO 19115:2003/Cor. 1:2006</w:t>
      </w:r>
      <w:r w:rsidRPr="00923097">
        <w:t>), and the XML Schema implementation (ISO/TS 19139:2007).  Later ISO 19115 became multipart, and ISO 19115-2:2009 was created for extensions for imagery and grid data, but that was currently not used in WCMP, primarily due to its release schedule.</w:t>
      </w:r>
    </w:p>
    <w:p w:rsidR="00DB77F7" w:rsidRPr="00923097" w:rsidRDefault="00070D2A" w:rsidP="00DB77F7">
      <w:pPr>
        <w:pStyle w:val="BodyTextNumbered"/>
      </w:pPr>
      <w:r w:rsidRPr="00923097">
        <w:lastRenderedPageBreak/>
        <w:t xml:space="preserve">ISO TC211 </w:t>
      </w:r>
      <w:r w:rsidRPr="00923097">
        <w:rPr>
          <w:rFonts w:eastAsia="MS Mincho" w:hint="eastAsia"/>
          <w:lang w:eastAsia="ja-JP"/>
        </w:rPr>
        <w:t>has been</w:t>
      </w:r>
      <w:r w:rsidR="00DB77F7" w:rsidRPr="00923097">
        <w:t xml:space="preserve"> developing the second</w:t>
      </w:r>
      <w:r w:rsidR="007139B3" w:rsidRPr="00923097">
        <w:rPr>
          <w:rFonts w:eastAsia="MS Mincho" w:hint="eastAsia"/>
          <w:lang w:eastAsia="ja-JP"/>
        </w:rPr>
        <w:t>-generation</w:t>
      </w:r>
      <w:r w:rsidR="00DB77F7" w:rsidRPr="00923097">
        <w:t xml:space="preserve"> </w:t>
      </w:r>
      <w:r w:rsidR="0087675F" w:rsidRPr="00923097">
        <w:rPr>
          <w:rFonts w:eastAsia="MS Mincho" w:hint="eastAsia"/>
          <w:lang w:eastAsia="ja-JP"/>
        </w:rPr>
        <w:t xml:space="preserve">(2G) </w:t>
      </w:r>
      <w:r w:rsidR="00DB77F7" w:rsidRPr="00923097">
        <w:t>editions of these standards.  The data quality package of ISO 19115 (classes with name starting with DQ_) was separated as ISO 19157:2013.  ISO 19115-1:2014 was approved in January, and</w:t>
      </w:r>
      <w:r w:rsidRPr="00923097">
        <w:t xml:space="preserve"> theoretically replaced the </w:t>
      </w:r>
      <w:r w:rsidRPr="00923097">
        <w:rPr>
          <w:rFonts w:eastAsia="MS Mincho" w:hint="eastAsia"/>
          <w:lang w:eastAsia="ja-JP"/>
        </w:rPr>
        <w:t>former</w:t>
      </w:r>
      <w:r w:rsidR="00DB77F7" w:rsidRPr="00923097">
        <w:t xml:space="preserve"> </w:t>
      </w:r>
      <w:r w:rsidRPr="00923097">
        <w:rPr>
          <w:rFonts w:eastAsia="MS Mincho" w:hint="eastAsia"/>
          <w:lang w:eastAsia="ja-JP"/>
        </w:rPr>
        <w:t>edition</w:t>
      </w:r>
      <w:r w:rsidR="00DB77F7" w:rsidRPr="00923097">
        <w:t xml:space="preserve">.  The project to develop their XML Schema implementation is named ISO 19115-3, and </w:t>
      </w:r>
      <w:r w:rsidR="00DB77F7" w:rsidRPr="00923097">
        <w:rPr>
          <w:rFonts w:eastAsia="MS Mincho" w:hint="eastAsia"/>
          <w:lang w:eastAsia="ja-JP"/>
        </w:rPr>
        <w:t>wa</w:t>
      </w:r>
      <w:r w:rsidR="00DB77F7" w:rsidRPr="00923097">
        <w:t xml:space="preserve">s expected to be finalized by </w:t>
      </w:r>
      <w:r w:rsidR="00DB77F7" w:rsidRPr="00923097">
        <w:rPr>
          <w:rFonts w:eastAsia="MS Mincho" w:hint="eastAsia"/>
          <w:lang w:eastAsia="ja-JP"/>
        </w:rPr>
        <w:t xml:space="preserve">2015 </w:t>
      </w:r>
      <w:r w:rsidRPr="00923097">
        <w:rPr>
          <w:rFonts w:eastAsia="MS Mincho" w:hint="eastAsia"/>
          <w:lang w:eastAsia="ja-JP"/>
        </w:rPr>
        <w:t>at the time of the</w:t>
      </w:r>
      <w:r w:rsidR="00DB77F7" w:rsidRPr="00923097">
        <w:rPr>
          <w:rFonts w:eastAsia="MS Mincho" w:hint="eastAsia"/>
          <w:lang w:eastAsia="ja-JP"/>
        </w:rPr>
        <w:t xml:space="preserve"> IPET-MDRD-1 </w:t>
      </w:r>
      <w:r w:rsidRPr="00923097">
        <w:rPr>
          <w:rFonts w:eastAsia="MS Mincho" w:hint="eastAsia"/>
          <w:lang w:eastAsia="ja-JP"/>
        </w:rPr>
        <w:t>meeting</w:t>
      </w:r>
      <w:r w:rsidR="00DB77F7" w:rsidRPr="00923097">
        <w:rPr>
          <w:rFonts w:eastAsia="MS Mincho" w:hint="eastAsia"/>
          <w:lang w:eastAsia="ja-JP"/>
        </w:rPr>
        <w:t>.  As of April 2016, the project is still in stage 30.99 (CD approved as DIS)</w:t>
      </w:r>
      <w:r w:rsidR="00DB77F7" w:rsidRPr="00923097">
        <w:t>.</w:t>
      </w:r>
    </w:p>
    <w:p w:rsidR="006B716A" w:rsidRPr="00923097" w:rsidRDefault="006B716A" w:rsidP="00DB77F7">
      <w:pPr>
        <w:pStyle w:val="BodyTextNumbered"/>
      </w:pPr>
      <w:r w:rsidRPr="00923097">
        <w:rPr>
          <w:rFonts w:eastAsia="MS Mincho" w:hint="eastAsia"/>
          <w:lang w:eastAsia="ja-JP"/>
        </w:rPr>
        <w:t>IPET-MDRD has been considering the implications and possible strategy regarding ISO updates.  Early results are found in the final report of IPET-MDRD-1 (Annex I).</w:t>
      </w:r>
    </w:p>
    <w:p w:rsidR="00712ED1" w:rsidRPr="00923097" w:rsidRDefault="00070D2A" w:rsidP="00DB77F7">
      <w:pPr>
        <w:pStyle w:val="BodyTextNumbered"/>
      </w:pPr>
      <w:r w:rsidRPr="00923097">
        <w:rPr>
          <w:rFonts w:eastAsia="MS Mincho" w:hint="eastAsia"/>
          <w:lang w:eastAsia="ja-JP"/>
        </w:rPr>
        <w:t xml:space="preserve">There are three aspects of adopting the </w:t>
      </w:r>
      <w:r w:rsidR="00751BD7" w:rsidRPr="00923097">
        <w:rPr>
          <w:rFonts w:eastAsia="MS Mincho" w:hint="eastAsia"/>
          <w:lang w:eastAsia="ja-JP"/>
        </w:rPr>
        <w:t>newer</w:t>
      </w:r>
      <w:r w:rsidR="006F2688" w:rsidRPr="00923097">
        <w:rPr>
          <w:rFonts w:eastAsia="MS Mincho" w:hint="eastAsia"/>
          <w:lang w:eastAsia="ja-JP"/>
        </w:rPr>
        <w:t xml:space="preserve"> standards</w:t>
      </w:r>
      <w:r w:rsidR="00751BD7" w:rsidRPr="00923097">
        <w:rPr>
          <w:rFonts w:eastAsia="MS Mincho" w:hint="eastAsia"/>
          <w:lang w:eastAsia="ja-JP"/>
        </w:rPr>
        <w:t xml:space="preserve"> than in current Manual on WIS</w:t>
      </w:r>
      <w:r w:rsidR="006F2688" w:rsidRPr="00923097">
        <w:rPr>
          <w:rFonts w:eastAsia="MS Mincho" w:hint="eastAsia"/>
          <w:lang w:eastAsia="ja-JP"/>
        </w:rPr>
        <w:t>:</w:t>
      </w:r>
    </w:p>
    <w:p w:rsidR="006F2688" w:rsidRPr="00923097" w:rsidRDefault="006F2688" w:rsidP="006F2688">
      <w:pPr>
        <w:pStyle w:val="BodyTextNumbered"/>
        <w:numPr>
          <w:ilvl w:val="1"/>
          <w:numId w:val="6"/>
        </w:numPr>
      </w:pPr>
      <w:r w:rsidRPr="00923097">
        <w:rPr>
          <w:rFonts w:eastAsia="MS Mincho" w:hint="eastAsia"/>
          <w:lang w:eastAsia="ja-JP"/>
        </w:rPr>
        <w:t xml:space="preserve">Elements in </w:t>
      </w:r>
      <w:r w:rsidR="0087675F" w:rsidRPr="00923097">
        <w:rPr>
          <w:rFonts w:eastAsia="MS Mincho" w:hint="eastAsia"/>
          <w:lang w:eastAsia="ja-JP"/>
        </w:rPr>
        <w:t>the 1G standards are refined structure in 2G standards.  That brings richer expression and clarity of meaning</w:t>
      </w:r>
      <w:r w:rsidR="00E2388D" w:rsidRPr="00923097">
        <w:rPr>
          <w:rFonts w:eastAsia="MS Mincho" w:hint="eastAsia"/>
          <w:lang w:eastAsia="ja-JP"/>
        </w:rPr>
        <w:t xml:space="preserve"> at the sacrifice of compatibility</w:t>
      </w:r>
      <w:r w:rsidR="0087675F" w:rsidRPr="00923097">
        <w:rPr>
          <w:rFonts w:eastAsia="MS Mincho" w:hint="eastAsia"/>
          <w:lang w:eastAsia="ja-JP"/>
        </w:rPr>
        <w:t>.</w:t>
      </w:r>
      <w:r w:rsidR="00E2388D" w:rsidRPr="00923097">
        <w:rPr>
          <w:rFonts w:eastAsia="MS Mincho" w:hint="eastAsia"/>
          <w:lang w:eastAsia="ja-JP"/>
        </w:rPr>
        <w:t xml:space="preserve">  The WIS community must have migration plan of two editions or must make sure all WIS centres can handle two editions at the same time.</w:t>
      </w:r>
    </w:p>
    <w:p w:rsidR="00E2388D" w:rsidRPr="00923097" w:rsidRDefault="00751BD7" w:rsidP="006F2688">
      <w:pPr>
        <w:pStyle w:val="BodyTextNumbered"/>
        <w:numPr>
          <w:ilvl w:val="1"/>
          <w:numId w:val="6"/>
        </w:numPr>
      </w:pPr>
      <w:r w:rsidRPr="00923097">
        <w:rPr>
          <w:rFonts w:eastAsia="MS Mincho" w:hint="eastAsia"/>
          <w:lang w:eastAsia="ja-JP"/>
        </w:rPr>
        <w:t xml:space="preserve">Extensions 19115-2 and 19139-2 enable descriptions of additional metadata elements for imagery and gridded data, such as measuring equipment or data processing.  </w:t>
      </w:r>
      <w:r w:rsidR="00E95C9F" w:rsidRPr="00923097">
        <w:rPr>
          <w:rFonts w:eastAsia="MS Mincho" w:hint="eastAsia"/>
          <w:lang w:eastAsia="ja-JP"/>
        </w:rPr>
        <w:t>Right now there are only 1G standards on the horizon, but that means we don</w:t>
      </w:r>
      <w:r w:rsidR="00E95C9F" w:rsidRPr="00923097">
        <w:rPr>
          <w:rFonts w:eastAsia="MS Mincho"/>
          <w:lang w:eastAsia="ja-JP"/>
        </w:rPr>
        <w:t>’</w:t>
      </w:r>
      <w:r w:rsidR="00E95C9F" w:rsidRPr="00923097">
        <w:rPr>
          <w:rFonts w:eastAsia="MS Mincho" w:hint="eastAsia"/>
          <w:lang w:eastAsia="ja-JP"/>
        </w:rPr>
        <w:t xml:space="preserve">t have to worry about the migration plan.  </w:t>
      </w:r>
      <w:r w:rsidR="00E95C9F" w:rsidRPr="00923097">
        <w:rPr>
          <w:rFonts w:eastAsia="MS Mincho"/>
          <w:lang w:eastAsia="ja-JP"/>
        </w:rPr>
        <w:t>The</w:t>
      </w:r>
      <w:r w:rsidR="00E95C9F" w:rsidRPr="00923097">
        <w:rPr>
          <w:rFonts w:eastAsia="MS Mincho" w:hint="eastAsia"/>
          <w:lang w:eastAsia="ja-JP"/>
        </w:rPr>
        <w:t xml:space="preserve"> WIS community can start using these features when we confirmed all the WIS centres can handle the extensions.</w:t>
      </w:r>
    </w:p>
    <w:p w:rsidR="00E95C9F" w:rsidRPr="00923097" w:rsidRDefault="00E95C9F" w:rsidP="006F2688">
      <w:pPr>
        <w:pStyle w:val="BodyTextNumbered"/>
        <w:numPr>
          <w:ilvl w:val="1"/>
          <w:numId w:val="6"/>
        </w:numPr>
      </w:pPr>
      <w:r w:rsidRPr="00923097">
        <w:rPr>
          <w:rFonts w:eastAsia="MS Mincho" w:hint="eastAsia"/>
          <w:lang w:eastAsia="ja-JP"/>
        </w:rPr>
        <w:t xml:space="preserve">Many </w:t>
      </w:r>
      <w:proofErr w:type="spellStart"/>
      <w:r w:rsidRPr="00923097">
        <w:rPr>
          <w:rFonts w:eastAsia="MS Mincho" w:hint="eastAsia"/>
          <w:lang w:eastAsia="ja-JP"/>
        </w:rPr>
        <w:t>codelists</w:t>
      </w:r>
      <w:proofErr w:type="spellEnd"/>
      <w:r w:rsidRPr="00923097">
        <w:rPr>
          <w:rFonts w:eastAsia="MS Mincho" w:hint="eastAsia"/>
          <w:lang w:eastAsia="ja-JP"/>
        </w:rPr>
        <w:t xml:space="preserve"> in the 1G </w:t>
      </w:r>
      <w:proofErr w:type="spellStart"/>
      <w:r w:rsidRPr="00923097">
        <w:rPr>
          <w:rFonts w:eastAsia="MS Mincho" w:hint="eastAsia"/>
          <w:lang w:eastAsia="ja-JP"/>
        </w:rPr>
        <w:t>stanradrds</w:t>
      </w:r>
      <w:proofErr w:type="spellEnd"/>
      <w:r w:rsidRPr="00923097">
        <w:rPr>
          <w:rFonts w:eastAsia="MS Mincho" w:hint="eastAsia"/>
          <w:lang w:eastAsia="ja-JP"/>
        </w:rPr>
        <w:t xml:space="preserve"> are extended in the </w:t>
      </w:r>
      <w:r w:rsidRPr="00923097">
        <w:rPr>
          <w:rFonts w:eastAsia="MS Mincho"/>
          <w:lang w:eastAsia="ja-JP"/>
        </w:rPr>
        <w:t>2G standards</w:t>
      </w:r>
      <w:r w:rsidRPr="00923097">
        <w:rPr>
          <w:rFonts w:eastAsia="MS Mincho" w:hint="eastAsia"/>
          <w:lang w:eastAsia="ja-JP"/>
        </w:rPr>
        <w:t>.   Most of the new entries make sense even in 1G structure of metadata elements.  There is little concern on compatibility, since the codelist</w:t>
      </w:r>
      <w:r w:rsidR="002A23A9" w:rsidRPr="00923097">
        <w:rPr>
          <w:rFonts w:eastAsia="MS Mincho" w:hint="eastAsia"/>
          <w:lang w:eastAsia="ja-JP"/>
        </w:rPr>
        <w:t>s are</w:t>
      </w:r>
      <w:r w:rsidRPr="00923097">
        <w:rPr>
          <w:rFonts w:eastAsia="MS Mincho" w:hint="eastAsia"/>
          <w:lang w:eastAsia="ja-JP"/>
        </w:rPr>
        <w:t xml:space="preserve"> not a part of XML schema definition (XSD)</w:t>
      </w:r>
      <w:r w:rsidR="002A23A9" w:rsidRPr="00923097">
        <w:rPr>
          <w:rFonts w:eastAsia="MS Mincho" w:hint="eastAsia"/>
          <w:lang w:eastAsia="ja-JP"/>
        </w:rPr>
        <w:t xml:space="preserve"> files</w:t>
      </w:r>
      <w:r w:rsidRPr="00923097">
        <w:rPr>
          <w:rFonts w:eastAsia="MS Mincho" w:hint="eastAsia"/>
          <w:lang w:eastAsia="ja-JP"/>
        </w:rPr>
        <w:t>.</w:t>
      </w:r>
    </w:p>
    <w:p w:rsidR="002A23A9" w:rsidRPr="00923097" w:rsidRDefault="006B716A" w:rsidP="006F2688">
      <w:pPr>
        <w:pStyle w:val="BodyTextNumbered"/>
      </w:pPr>
      <w:r w:rsidRPr="00923097">
        <w:rPr>
          <w:rFonts w:eastAsia="MS Mincho" w:hint="eastAsia"/>
          <w:lang w:eastAsia="ja-JP"/>
        </w:rPr>
        <w:t>WIS is not an isolated system</w:t>
      </w:r>
      <w:r w:rsidR="002A23A9" w:rsidRPr="00923097">
        <w:rPr>
          <w:rFonts w:eastAsia="MS Mincho" w:hint="eastAsia"/>
          <w:lang w:eastAsia="ja-JP"/>
        </w:rPr>
        <w:t xml:space="preserve">: many GISCs </w:t>
      </w:r>
      <w:r w:rsidRPr="00923097">
        <w:rPr>
          <w:rFonts w:eastAsia="MS Mincho" w:hint="eastAsia"/>
          <w:lang w:eastAsia="ja-JP"/>
        </w:rPr>
        <w:t>are required to comply with INSPIRE.  So far there is no known timeframe known to the WIS community to update INSPIRE regulations to comply with 2G standards.</w:t>
      </w:r>
    </w:p>
    <w:p w:rsidR="006B716A" w:rsidRPr="00923097" w:rsidRDefault="002A23A9" w:rsidP="006B716A">
      <w:pPr>
        <w:pStyle w:val="BodyTextNumbered"/>
      </w:pPr>
      <w:r w:rsidRPr="00923097">
        <w:rPr>
          <w:rFonts w:eastAsia="MS Mincho" w:hint="eastAsia"/>
          <w:lang w:eastAsia="ja-JP"/>
        </w:rPr>
        <w:t xml:space="preserve">The </w:t>
      </w:r>
      <w:proofErr w:type="spellStart"/>
      <w:r w:rsidR="006B716A" w:rsidRPr="00923097">
        <w:rPr>
          <w:rFonts w:eastAsia="MS Mincho" w:hint="eastAsia"/>
          <w:lang w:eastAsia="ja-JP"/>
        </w:rPr>
        <w:t>sub</w:t>
      </w:r>
      <w:r w:rsidRPr="00923097">
        <w:rPr>
          <w:rFonts w:eastAsia="MS Mincho" w:hint="eastAsia"/>
          <w:lang w:eastAsia="ja-JP"/>
        </w:rPr>
        <w:t>meeting</w:t>
      </w:r>
      <w:proofErr w:type="spellEnd"/>
      <w:r w:rsidRPr="00923097">
        <w:rPr>
          <w:rFonts w:eastAsia="MS Mincho" w:hint="eastAsia"/>
          <w:lang w:eastAsia="ja-JP"/>
        </w:rPr>
        <w:t xml:space="preserve"> IPET-MDRD-3 considered </w:t>
      </w:r>
      <w:r w:rsidR="006B716A" w:rsidRPr="00923097">
        <w:rPr>
          <w:rFonts w:eastAsia="MS Mincho" w:hint="eastAsia"/>
          <w:lang w:eastAsia="ja-JP"/>
        </w:rPr>
        <w:t>above situations</w:t>
      </w:r>
      <w:r w:rsidR="005A2953" w:rsidRPr="00923097">
        <w:rPr>
          <w:rFonts w:eastAsia="MS Mincho" w:hint="eastAsia"/>
          <w:lang w:eastAsia="ja-JP"/>
        </w:rPr>
        <w:t xml:space="preserve"> and agreed</w:t>
      </w:r>
      <w:r w:rsidR="006B716A" w:rsidRPr="00923097">
        <w:rPr>
          <w:rFonts w:eastAsia="MS Mincho" w:hint="eastAsia"/>
          <w:lang w:eastAsia="ja-JP"/>
        </w:rPr>
        <w:t xml:space="preserve"> (Annex II):</w:t>
      </w:r>
    </w:p>
    <w:p w:rsidR="006B716A" w:rsidRPr="00923097" w:rsidRDefault="00033AAB" w:rsidP="006B716A">
      <w:pPr>
        <w:pStyle w:val="BodyTextNumbered"/>
        <w:numPr>
          <w:ilvl w:val="1"/>
          <w:numId w:val="6"/>
        </w:numPr>
      </w:pPr>
      <w:r w:rsidRPr="00923097">
        <w:rPr>
          <w:rFonts w:eastAsia="MS Mincho" w:hint="eastAsia"/>
          <w:lang w:eastAsia="ja-JP"/>
        </w:rPr>
        <w:t>It will</w:t>
      </w:r>
      <w:r w:rsidR="005A2953" w:rsidRPr="00923097">
        <w:rPr>
          <w:rFonts w:eastAsia="MS Mincho" w:hint="eastAsia"/>
          <w:lang w:eastAsia="ja-JP"/>
        </w:rPr>
        <w:t xml:space="preserve"> </w:t>
      </w:r>
      <w:r w:rsidR="006B716A" w:rsidRPr="00923097">
        <w:rPr>
          <w:rFonts w:eastAsia="MS Mincho" w:hint="eastAsia"/>
          <w:lang w:eastAsia="ja-JP"/>
        </w:rPr>
        <w:t xml:space="preserve">continue </w:t>
      </w:r>
      <w:r w:rsidRPr="00923097">
        <w:rPr>
          <w:rFonts w:eastAsia="MS Mincho" w:hint="eastAsia"/>
          <w:lang w:eastAsia="ja-JP"/>
        </w:rPr>
        <w:t>study</w:t>
      </w:r>
      <w:r w:rsidR="006B716A" w:rsidRPr="00923097">
        <w:rPr>
          <w:rFonts w:eastAsia="MS Mincho" w:hint="eastAsia"/>
          <w:lang w:eastAsia="ja-JP"/>
        </w:rPr>
        <w:t xml:space="preserve"> of 2G standards and its acceptance worldwide</w:t>
      </w:r>
      <w:r w:rsidR="005A2953" w:rsidRPr="00923097">
        <w:rPr>
          <w:rFonts w:eastAsia="MS Mincho" w:hint="eastAsia"/>
          <w:lang w:eastAsia="ja-JP"/>
        </w:rPr>
        <w:t>;</w:t>
      </w:r>
    </w:p>
    <w:p w:rsidR="006B716A" w:rsidRPr="00923097" w:rsidRDefault="00033AAB" w:rsidP="00033AAB">
      <w:pPr>
        <w:pStyle w:val="BodyTextNumbered"/>
        <w:numPr>
          <w:ilvl w:val="1"/>
          <w:numId w:val="6"/>
        </w:numPr>
      </w:pPr>
      <w:r w:rsidRPr="00923097">
        <w:rPr>
          <w:rFonts w:eastAsia="MS Mincho"/>
          <w:lang w:eastAsia="ja-JP"/>
        </w:rPr>
        <w:t xml:space="preserve">While the study was being performed, </w:t>
      </w:r>
      <w:r w:rsidRPr="00923097">
        <w:rPr>
          <w:rFonts w:eastAsia="MS Mincho" w:hint="eastAsia"/>
          <w:lang w:eastAsia="ja-JP"/>
        </w:rPr>
        <w:t>it will</w:t>
      </w:r>
      <w:r w:rsidRPr="00923097">
        <w:rPr>
          <w:rFonts w:eastAsia="MS Mincho"/>
          <w:lang w:eastAsia="ja-JP"/>
        </w:rPr>
        <w:t xml:space="preserve"> concentrate its development activities on improving guidance and search</w:t>
      </w:r>
      <w:r w:rsidR="005A2953" w:rsidRPr="00923097">
        <w:rPr>
          <w:rFonts w:eastAsia="MS Mincho" w:hint="eastAsia"/>
          <w:lang w:eastAsia="ja-JP"/>
        </w:rPr>
        <w:t>; and</w:t>
      </w:r>
    </w:p>
    <w:p w:rsidR="005A2953" w:rsidRPr="00923097" w:rsidRDefault="005A2953" w:rsidP="006B716A">
      <w:pPr>
        <w:pStyle w:val="BodyTextNumbered"/>
        <w:numPr>
          <w:ilvl w:val="1"/>
          <w:numId w:val="6"/>
        </w:numPr>
      </w:pPr>
      <w:r w:rsidRPr="00923097">
        <w:rPr>
          <w:rFonts w:eastAsia="MS Mincho" w:hint="eastAsia"/>
          <w:lang w:eastAsia="ja-JP"/>
        </w:rPr>
        <w:t xml:space="preserve">The extended </w:t>
      </w:r>
      <w:proofErr w:type="spellStart"/>
      <w:r w:rsidRPr="00923097">
        <w:rPr>
          <w:rFonts w:eastAsia="MS Mincho" w:hint="eastAsia"/>
          <w:lang w:eastAsia="ja-JP"/>
        </w:rPr>
        <w:t>codelists</w:t>
      </w:r>
      <w:proofErr w:type="spellEnd"/>
      <w:r w:rsidRPr="00923097">
        <w:rPr>
          <w:rFonts w:eastAsia="MS Mincho" w:hint="eastAsia"/>
          <w:lang w:eastAsia="ja-JP"/>
        </w:rPr>
        <w:t xml:space="preserve"> in the 2G standards i.e. ISO 19115-1 can be used with </w:t>
      </w:r>
      <w:r w:rsidR="001130AE" w:rsidRPr="00923097">
        <w:rPr>
          <w:rFonts w:eastAsia="MS Mincho" w:hint="eastAsia"/>
          <w:lang w:eastAsia="ja-JP"/>
        </w:rPr>
        <w:t>future versions 1.</w:t>
      </w:r>
      <w:r w:rsidR="001130AE" w:rsidRPr="00923097">
        <w:rPr>
          <w:rFonts w:eastAsia="MS Mincho" w:hint="eastAsia"/>
          <w:i/>
          <w:lang w:eastAsia="ja-JP"/>
        </w:rPr>
        <w:t>n</w:t>
      </w:r>
      <w:r w:rsidR="001130AE" w:rsidRPr="00923097">
        <w:rPr>
          <w:rFonts w:eastAsia="MS Mincho" w:hint="eastAsia"/>
          <w:lang w:eastAsia="ja-JP"/>
        </w:rPr>
        <w:t xml:space="preserve"> of WMO Core Metadata Profile</w:t>
      </w:r>
      <w:r w:rsidRPr="00923097">
        <w:rPr>
          <w:rFonts w:eastAsia="MS Mincho" w:hint="eastAsia"/>
          <w:lang w:eastAsia="ja-JP"/>
        </w:rPr>
        <w:t>.</w:t>
      </w:r>
    </w:p>
    <w:p w:rsidR="000770DE" w:rsidRPr="00923097" w:rsidRDefault="000770DE" w:rsidP="00176DEF">
      <w:pPr>
        <w:jc w:val="center"/>
      </w:pPr>
      <w:r w:rsidRPr="00923097">
        <w:sym w:font="Wingdings" w:char="F020"/>
      </w:r>
      <w:r w:rsidR="00176DEF" w:rsidRPr="00923097">
        <w:rPr>
          <w:rFonts w:ascii="Arial Unicode MS" w:eastAsia="Arial Unicode MS" w:hAnsi="Arial Unicode MS" w:cs="Arial Unicode MS" w:hint="eastAsia"/>
          <w:sz w:val="36"/>
          <w:szCs w:val="36"/>
        </w:rPr>
        <w:t>⁂</w:t>
      </w:r>
    </w:p>
    <w:p w:rsidR="00B06B68" w:rsidRPr="00923097" w:rsidRDefault="00B06B68" w:rsidP="000770DE">
      <w:pPr>
        <w:pStyle w:val="Heading2"/>
        <w:sectPr w:rsidR="00B06B68" w:rsidRPr="00923097" w:rsidSect="0020095E">
          <w:headerReference w:type="default" r:id="rId10"/>
          <w:pgSz w:w="11907" w:h="16840" w:code="9"/>
          <w:pgMar w:top="1134" w:right="1134" w:bottom="1134" w:left="1134" w:header="1134" w:footer="1134" w:gutter="0"/>
          <w:cols w:space="720"/>
          <w:titlePg/>
          <w:docGrid w:linePitch="299"/>
        </w:sectPr>
      </w:pPr>
    </w:p>
    <w:p w:rsidR="000770DE" w:rsidRPr="00923097" w:rsidRDefault="002A23A9" w:rsidP="000770DE">
      <w:pPr>
        <w:pStyle w:val="Heading2"/>
      </w:pPr>
      <w:r w:rsidRPr="00923097">
        <w:rPr>
          <w:rFonts w:eastAsia="MS Mincho" w:hint="eastAsia"/>
          <w:lang w:eastAsia="ja-JP"/>
        </w:rPr>
        <w:lastRenderedPageBreak/>
        <w:t xml:space="preserve">Appendix I - </w:t>
      </w:r>
      <w:r w:rsidR="000770DE" w:rsidRPr="00923097">
        <w:rPr>
          <w:rFonts w:hint="eastAsia"/>
        </w:rPr>
        <w:t>Excerpt</w:t>
      </w:r>
      <w:r w:rsidR="00176DEF" w:rsidRPr="00923097">
        <w:rPr>
          <w:rFonts w:eastAsia="MS Mincho" w:hint="eastAsia"/>
          <w:lang w:eastAsia="ja-JP"/>
        </w:rPr>
        <w:t>s</w:t>
      </w:r>
      <w:r w:rsidR="000770DE" w:rsidRPr="00923097">
        <w:rPr>
          <w:rFonts w:hint="eastAsia"/>
        </w:rPr>
        <w:t xml:space="preserve"> from Final Report of IPET-MDRD-1 (Washington, 2014)</w:t>
      </w:r>
    </w:p>
    <w:p w:rsidR="000770DE" w:rsidRPr="00923097" w:rsidRDefault="000770DE" w:rsidP="000770DE">
      <w:pPr>
        <w:pStyle w:val="Heading3"/>
      </w:pPr>
      <w:r w:rsidRPr="00923097">
        <w:t>2.4.</w:t>
      </w:r>
      <w:r w:rsidRPr="00923097">
        <w:tab/>
        <w:t>Overview of anticipated changes within ISO 19115-1 and ISO 19115-3 relevant to WIS DAR metadata</w:t>
      </w:r>
    </w:p>
    <w:p w:rsidR="000770DE" w:rsidRPr="00923097" w:rsidRDefault="000770DE" w:rsidP="000770DE">
      <w:pPr>
        <w:pStyle w:val="BodyTextNumbered"/>
        <w:numPr>
          <w:ilvl w:val="0"/>
          <w:numId w:val="12"/>
        </w:numPr>
        <w:spacing w:before="0"/>
      </w:pPr>
      <w:r w:rsidRPr="00923097">
        <w:t xml:space="preserve">Mr Toyoda reported his analysis of the new ISO standards for metadata, namely ISO 19115-1:2014, 19157:2013 and draft ISO 19115-3 (Document D10 of the meeting).  The new standard will be an independent one rather than extension to the current standard, which the WMO Core Metadata Profile version 1.3 is based on. Metadata records developed </w:t>
      </w:r>
      <w:r w:rsidRPr="00923097">
        <w:lastRenderedPageBreak/>
        <w:t>in ISO 19115-1 will not be backward compatible with ISO 19115, but the ISO team will provide a utility to convert XML records from 19139 to 19115-3 conformant records.</w:t>
      </w:r>
    </w:p>
    <w:p w:rsidR="000770DE" w:rsidRPr="00923097" w:rsidRDefault="000770DE" w:rsidP="000770DE">
      <w:pPr>
        <w:pStyle w:val="Action"/>
        <w:numPr>
          <w:ilvl w:val="0"/>
          <w:numId w:val="13"/>
        </w:numPr>
        <w:tabs>
          <w:tab w:val="clear" w:pos="431"/>
        </w:tabs>
        <w:spacing w:before="0"/>
        <w:outlineLvl w:val="0"/>
      </w:pPr>
      <w:bookmarkStart w:id="2" w:name="_Toc388521705"/>
      <w:r w:rsidRPr="00923097">
        <w:t>Dr Toyoda with check whether XML encoding 19139-2 will be incorporated in the anticipated ISO 19115-3.</w:t>
      </w:r>
      <w:bookmarkEnd w:id="2"/>
    </w:p>
    <w:p w:rsidR="000770DE" w:rsidRPr="00923097" w:rsidRDefault="000770DE" w:rsidP="000770DE">
      <w:pPr>
        <w:pStyle w:val="BodyTextNumbered"/>
        <w:spacing w:before="0"/>
      </w:pPr>
      <w:r w:rsidRPr="00923097">
        <w:t>The Meeting noted there will be changes both in the UML model and in XML encoding. Development works of WCMP 2.0 will include at least:</w:t>
      </w:r>
    </w:p>
    <w:p w:rsidR="000770DE" w:rsidRPr="00923097" w:rsidRDefault="000770DE" w:rsidP="000770DE">
      <w:pPr>
        <w:pStyle w:val="BodyTextBullet"/>
        <w:spacing w:before="0"/>
      </w:pPr>
      <w:r w:rsidRPr="00923097">
        <w:t>Instruction on indexing for SRU search</w:t>
      </w:r>
    </w:p>
    <w:p w:rsidR="000770DE" w:rsidRPr="00923097" w:rsidRDefault="000770DE" w:rsidP="000770DE">
      <w:pPr>
        <w:pStyle w:val="BodyTextBullet"/>
        <w:spacing w:before="0"/>
      </w:pPr>
      <w:r w:rsidRPr="00923097">
        <w:t>Regulations for stable synchronization</w:t>
      </w:r>
    </w:p>
    <w:p w:rsidR="000770DE" w:rsidRPr="00923097" w:rsidRDefault="000770DE" w:rsidP="000770DE">
      <w:pPr>
        <w:pStyle w:val="BodyTextBullet"/>
        <w:spacing w:before="0"/>
      </w:pPr>
      <w:r w:rsidRPr="00923097">
        <w:t>Best practices on uses of new structure</w:t>
      </w:r>
    </w:p>
    <w:p w:rsidR="000770DE" w:rsidRPr="00923097" w:rsidRDefault="000770DE" w:rsidP="000770DE">
      <w:pPr>
        <w:pStyle w:val="Action"/>
        <w:tabs>
          <w:tab w:val="clear" w:pos="431"/>
        </w:tabs>
        <w:spacing w:before="0"/>
        <w:outlineLvl w:val="0"/>
      </w:pPr>
      <w:bookmarkStart w:id="3" w:name="_Ref387331290"/>
      <w:bookmarkStart w:id="4" w:name="_Toc388521706"/>
      <w:r w:rsidRPr="00923097">
        <w:t>Chair IPET-MDRD will brief ICT-ISS on the implications of ISO 19115-1 for the infrastructure of the WIS.</w:t>
      </w:r>
      <w:bookmarkEnd w:id="3"/>
      <w:bookmarkEnd w:id="4"/>
    </w:p>
    <w:p w:rsidR="000770DE" w:rsidRPr="00923097" w:rsidRDefault="000770DE" w:rsidP="000770DE">
      <w:pPr>
        <w:pStyle w:val="BodyTextNumbered"/>
        <w:spacing w:before="0"/>
      </w:pPr>
      <w:r w:rsidRPr="00923097">
        <w:t>The analysis of impacts on implementations will be shared with ET-WISC to raise awareness about the forthcoming changes of WCMP.</w:t>
      </w:r>
    </w:p>
    <w:p w:rsidR="000770DE" w:rsidRPr="00923097" w:rsidRDefault="000770DE" w:rsidP="000770DE">
      <w:pPr>
        <w:pStyle w:val="Decision"/>
        <w:numPr>
          <w:ilvl w:val="0"/>
          <w:numId w:val="14"/>
        </w:numPr>
      </w:pPr>
      <w:bookmarkStart w:id="5" w:name="_Toc388521789"/>
      <w:r w:rsidRPr="00923097">
        <w:t>IPET-MDRD recommended that migrating to ISO 19115-1:2014 early will enable the WMO Core Metadata Profile to move onto a similar update cycle to ISO 19115-1 and thus reduce future complications. ISO 19115-1 resolves many of the implementation issues experienced by WMO and other communities.</w:t>
      </w:r>
      <w:bookmarkEnd w:id="5"/>
    </w:p>
    <w:p w:rsidR="000770DE" w:rsidRPr="00923097" w:rsidRDefault="000770DE" w:rsidP="000770DE">
      <w:pPr>
        <w:pStyle w:val="Heading3"/>
      </w:pPr>
      <w:r w:rsidRPr="00923097">
        <w:t>2.5.</w:t>
      </w:r>
      <w:r w:rsidRPr="00923097">
        <w:tab/>
        <w:t xml:space="preserve">Review of requirements to be addressed by WMO Core Metadata Profile version 2 </w:t>
      </w:r>
    </w:p>
    <w:p w:rsidR="000770DE" w:rsidRPr="00923097" w:rsidRDefault="000770DE" w:rsidP="000770DE">
      <w:pPr>
        <w:pStyle w:val="BodyTextNumbered"/>
        <w:spacing w:before="0"/>
      </w:pPr>
      <w:r w:rsidRPr="00923097">
        <w:t>The proposed major update of the WMO Core Metadata Profile (version 2.0) is intended to include migration to ISO 19115-1, use of the new XML encoding ISO 19115-3 and alignment of concerns from other WMO Programmes (in particular, harmonisation with the metadata profile from JCOMM; “Marine Community Profile”). However, the delivery timescales of the ISO 19115 revision are delayed in comparison to IPET-</w:t>
      </w:r>
      <w:r w:rsidR="00751BD7" w:rsidRPr="00923097">
        <w:t>MDRD’s</w:t>
      </w:r>
      <w:r w:rsidRPr="00923097">
        <w:t xml:space="preserve"> initial expectations (formal “International Standard” approval for ISO 19115-1 was published in March 2014 and the GML representation [ISO 19115-3] is scheduled for May-2015). </w:t>
      </w:r>
    </w:p>
    <w:p w:rsidR="000770DE" w:rsidRPr="00923097" w:rsidRDefault="000770DE" w:rsidP="000770DE">
      <w:pPr>
        <w:pStyle w:val="Decision"/>
        <w:tabs>
          <w:tab w:val="clear" w:pos="431"/>
          <w:tab w:val="clear" w:pos="1134"/>
        </w:tabs>
        <w:spacing w:before="0" w:after="120"/>
        <w:outlineLvl w:val="0"/>
      </w:pPr>
      <w:bookmarkStart w:id="6" w:name="_Toc388521790"/>
      <w:r w:rsidRPr="00923097">
        <w:t>IPET-MDRD decided that delivery of WMO Core Metadata Profile version 2.0 will be deferred to the period 2015-2016 following publication of ISO 19115-3, and submitted to CBS for endorsement as a major change (version 2.0 will not be backward compatible, although IPET-MDRD anticipates being able to map / transform from previous versions).</w:t>
      </w:r>
      <w:bookmarkEnd w:id="6"/>
    </w:p>
    <w:p w:rsidR="00176DEF" w:rsidRPr="00923097" w:rsidRDefault="000770DE" w:rsidP="00176DEF">
      <w:pPr>
        <w:pStyle w:val="BodyTextNumbered"/>
        <w:spacing w:before="0"/>
      </w:pPr>
      <w:r w:rsidRPr="00923097">
        <w:t>The Bureau of Meteorology has already started to explore with GEONETWORK how that tool will be developed to be compliant with ISO 19115-1. Other underpinning tools will also need to be able to handle ISO 19115-1 before WMO can adopt the standard.</w:t>
      </w:r>
    </w:p>
    <w:p w:rsidR="00176DEF" w:rsidRPr="00923097" w:rsidRDefault="00176DEF" w:rsidP="00176DEF">
      <w:pPr>
        <w:pStyle w:val="Heading3"/>
      </w:pPr>
      <w:r w:rsidRPr="00923097">
        <w:t>2.6.</w:t>
      </w:r>
      <w:r w:rsidRPr="00923097">
        <w:tab/>
        <w:t>Activity plan for developing WMO Core Metadata Profile version 2</w:t>
      </w:r>
    </w:p>
    <w:p w:rsidR="00176DEF" w:rsidRPr="00923097" w:rsidRDefault="00176DEF" w:rsidP="00176DEF">
      <w:pPr>
        <w:pStyle w:val="BodyTextNumbered"/>
        <w:numPr>
          <w:ilvl w:val="0"/>
          <w:numId w:val="15"/>
        </w:numPr>
        <w:spacing w:before="0"/>
      </w:pPr>
      <w:r w:rsidRPr="00923097">
        <w:t>ISO 19139-2 has already been approved, so that IPET-MDRD could implement a change to WCMP to allow ISO 19115-2 to be permitted in the WCMP before ISO 19115-1 can be implemented. ISO 19115-2, in addition to describing imagery, provides needed descriptions of provenance that are not possible in ISO 19115.</w:t>
      </w:r>
    </w:p>
    <w:p w:rsidR="000770DE" w:rsidRPr="00923097" w:rsidRDefault="00176DEF" w:rsidP="00176DEF">
      <w:pPr>
        <w:jc w:val="center"/>
        <w:rPr>
          <w:rFonts w:eastAsia="MS Mincho"/>
          <w:lang w:eastAsia="ja-JP"/>
        </w:rPr>
      </w:pPr>
      <w:r w:rsidRPr="00923097">
        <w:rPr>
          <w:rFonts w:ascii="Arial Unicode MS" w:eastAsia="Arial Unicode MS" w:hAnsi="Arial Unicode MS" w:cs="Arial Unicode MS" w:hint="eastAsia"/>
          <w:sz w:val="36"/>
          <w:szCs w:val="36"/>
        </w:rPr>
        <w:t>⁂</w:t>
      </w:r>
    </w:p>
    <w:p w:rsidR="0005412D" w:rsidRPr="00923097" w:rsidRDefault="002A23A9" w:rsidP="000770DE">
      <w:pPr>
        <w:pStyle w:val="Heading2"/>
      </w:pPr>
      <w:r w:rsidRPr="00923097">
        <w:rPr>
          <w:rFonts w:eastAsia="MS Mincho" w:hint="eastAsia"/>
          <w:lang w:eastAsia="ja-JP"/>
        </w:rPr>
        <w:lastRenderedPageBreak/>
        <w:t xml:space="preserve">Appendix II - </w:t>
      </w:r>
      <w:r w:rsidR="001C4B8B" w:rsidRPr="00923097">
        <w:rPr>
          <w:rFonts w:hint="eastAsia"/>
        </w:rPr>
        <w:t>Exc</w:t>
      </w:r>
      <w:r w:rsidR="009144B4" w:rsidRPr="00923097">
        <w:rPr>
          <w:rFonts w:hint="eastAsia"/>
        </w:rPr>
        <w:t>erpt</w:t>
      </w:r>
      <w:r w:rsidR="001C4B8B" w:rsidRPr="00923097">
        <w:rPr>
          <w:rFonts w:hint="eastAsia"/>
        </w:rPr>
        <w:t xml:space="preserve"> from </w:t>
      </w:r>
      <w:r w:rsidR="0005412D" w:rsidRPr="00923097">
        <w:rPr>
          <w:rFonts w:hint="eastAsia"/>
        </w:rPr>
        <w:t>Final Report of IPET-MDRD-3</w:t>
      </w:r>
      <w:r w:rsidR="000770DE" w:rsidRPr="00923097">
        <w:rPr>
          <w:rFonts w:hint="eastAsia"/>
        </w:rPr>
        <w:t xml:space="preserve"> (Geneva, 2015)</w:t>
      </w:r>
    </w:p>
    <w:p w:rsidR="0005412D" w:rsidRPr="00923097" w:rsidRDefault="0005412D" w:rsidP="000770DE">
      <w:pPr>
        <w:pStyle w:val="Heading3"/>
        <w:rPr>
          <w:rFonts w:eastAsia="MS Mincho"/>
          <w:lang w:eastAsia="ja-JP"/>
        </w:rPr>
      </w:pPr>
      <w:r w:rsidRPr="00923097">
        <w:t>6.1</w:t>
      </w:r>
      <w:r w:rsidRPr="00923097">
        <w:tab/>
        <w:t>Use of ISO 19115-1 and 19115-2, including the new XML schemas</w:t>
      </w:r>
    </w:p>
    <w:p w:rsidR="0005412D" w:rsidRPr="00923097" w:rsidRDefault="0005412D" w:rsidP="00A422D2">
      <w:pPr>
        <w:pStyle w:val="BodyTextNumbered"/>
        <w:numPr>
          <w:ilvl w:val="0"/>
          <w:numId w:val="9"/>
        </w:numPr>
        <w:spacing w:before="0"/>
      </w:pPr>
      <w:r w:rsidRPr="00923097">
        <w:t>Ms Roberts expected that ISO 19115-3 would be agreed at the ISO TC211 meeting in December 2015 as being ready to go to formal committee vote.</w:t>
      </w:r>
    </w:p>
    <w:p w:rsidR="0005412D" w:rsidRPr="00923097" w:rsidRDefault="0005412D" w:rsidP="00A422D2">
      <w:pPr>
        <w:pStyle w:val="BodyTextNumbered"/>
        <w:numPr>
          <w:ilvl w:val="0"/>
          <w:numId w:val="7"/>
        </w:numPr>
        <w:spacing w:before="0"/>
        <w:ind w:left="360"/>
      </w:pPr>
      <w:r w:rsidRPr="00923097">
        <w:t>19115-1:2014 superseded 19115. Some parts of 19115 were proposed for removal as they were covered by other standards in the series. 19115-2:2009, labelled imagery, described instruments. 19115-3 would be the XML representation of 19115-1, 19115-2 and of other components of the standard that supported those two standards.</w:t>
      </w:r>
    </w:p>
    <w:p w:rsidR="0005412D" w:rsidRPr="00923097" w:rsidRDefault="0005412D" w:rsidP="00A422D2">
      <w:pPr>
        <w:pStyle w:val="BodyTextNumbered"/>
        <w:numPr>
          <w:ilvl w:val="0"/>
          <w:numId w:val="7"/>
        </w:numPr>
        <w:spacing w:before="0"/>
        <w:ind w:left="360"/>
      </w:pPr>
      <w:r w:rsidRPr="00923097">
        <w:t>IPET-MDRD noted the existence of DCAT as a metadata standard, and the GEODCAT variant on that, but decided to continue to base the WMO Core Metadata Profile on the 191xx series, and move to ISO 19115-3. The ISO team had developed automated conversion from ISO 19139 to the ISO 19115-3 format, simplifying the transition. Moving to DCAT would require software development by the GISCs, and as a more generalized standard it would be less specific to WMO’s needs.</w:t>
      </w:r>
    </w:p>
    <w:p w:rsidR="0005412D" w:rsidRPr="00923097" w:rsidRDefault="0005412D" w:rsidP="00A422D2">
      <w:pPr>
        <w:pStyle w:val="BodyTextNumbered"/>
        <w:numPr>
          <w:ilvl w:val="0"/>
          <w:numId w:val="7"/>
        </w:numPr>
        <w:spacing w:before="0"/>
        <w:ind w:left="360"/>
      </w:pPr>
      <w:r w:rsidRPr="00923097">
        <w:t>IPET-MDRD was not aware of any plans within Europe to migrate INSPIRE to ISO 19115-1, but the requirement on GISCs to support three versions of the WMO metadata standard would mean that those organizations having to comply with INSPIRE could continue to use ISO 19139 representation of their metadata.</w:t>
      </w:r>
    </w:p>
    <w:p w:rsidR="0005412D" w:rsidRPr="00923097" w:rsidRDefault="0005412D" w:rsidP="00A422D2">
      <w:pPr>
        <w:pStyle w:val="BodyTextNumbered"/>
        <w:numPr>
          <w:ilvl w:val="0"/>
          <w:numId w:val="7"/>
        </w:numPr>
        <w:spacing w:before="0"/>
        <w:ind w:left="360"/>
      </w:pPr>
      <w:r w:rsidRPr="00923097">
        <w:t>ISO 19115-1 resolved issues that had been identified when using ISO 19115 and allowed richer description of services. ISO 19115-3 was more modular than ISO 19139, permitting more efficient processing, and included the features from ISO 19115-2 (which would make it simpler for organizations using 19115-2 to incorporate their records in the WIS catalogue). However, WIGOS metadata records would also provide the detailed acquisition information that 19115-2 was intended to describe.</w:t>
      </w:r>
    </w:p>
    <w:p w:rsidR="0005412D" w:rsidRPr="00923097" w:rsidRDefault="0005412D" w:rsidP="00A422D2">
      <w:pPr>
        <w:pStyle w:val="BodyTextNumbered"/>
        <w:numPr>
          <w:ilvl w:val="0"/>
          <w:numId w:val="7"/>
        </w:numPr>
        <w:spacing w:before="0"/>
        <w:ind w:left="360"/>
      </w:pPr>
      <w:r w:rsidRPr="00923097">
        <w:t xml:space="preserve">Key differences between ISO 19115 and ISO 19115-1 were considered based on the document at: </w:t>
      </w:r>
      <w:hyperlink r:id="rId11" w:history="1">
        <w:r w:rsidRPr="00923097">
          <w:rPr>
            <w:rStyle w:val="Hyperlink"/>
          </w:rPr>
          <w:t>http://inspire.ec.europa.eu/events/conferences/inspire_2014/pdfs/18.06_6_16.00_Francois_Prunayre.pdf</w:t>
        </w:r>
      </w:hyperlink>
      <w:r w:rsidRPr="00923097">
        <w:t>) and Annex G to the ISO 19115-1 standard. ISO 19115-1 extensions to existing code lists could be adopted for WIS Discovery Metadata.</w:t>
      </w:r>
    </w:p>
    <w:p w:rsidR="0005412D" w:rsidRPr="00923097" w:rsidRDefault="0005412D" w:rsidP="00A422D2">
      <w:pPr>
        <w:pStyle w:val="BodyTextNumbered"/>
        <w:numPr>
          <w:ilvl w:val="0"/>
          <w:numId w:val="7"/>
        </w:numPr>
        <w:spacing w:before="0"/>
        <w:ind w:left="360"/>
      </w:pPr>
      <w:r w:rsidRPr="00923097">
        <w:t xml:space="preserve">Mr Wang explained how ISO 19115-3 would resolve issues being experienced by CMA. Different URLs (that could use extended character sets) could point to resources with different languages within a multi-lingual metadata document. Additional options in the dateInfo attribute would allow more information about the history of a metadata record. ISO 19115-3 also made it possible to describe the relationship between metadata records. CMA would be using 19115-3 for its local system. </w:t>
      </w:r>
    </w:p>
    <w:p w:rsidR="0005412D" w:rsidRPr="00923097" w:rsidRDefault="0005412D" w:rsidP="00A422D2">
      <w:pPr>
        <w:pStyle w:val="BodyTextNumbered"/>
        <w:numPr>
          <w:ilvl w:val="0"/>
          <w:numId w:val="7"/>
        </w:numPr>
        <w:spacing w:before="0"/>
        <w:ind w:left="360"/>
      </w:pPr>
      <w:r w:rsidRPr="00923097">
        <w:t>IPET-MDRD noted that ISO 19115-3 provided incremental improvements on 19115. However, it was not aware of any pressing need to take advantage of those improvements, but it was aware that ISO 19115-2 was being used to describe data acquisition platforms. IPET-MDRD was also aware that there were strong requirements for additional guidance on preparing and managing metadata, and for improving search.</w:t>
      </w:r>
    </w:p>
    <w:p w:rsidR="0005412D" w:rsidRPr="00923097" w:rsidRDefault="0005412D" w:rsidP="00A422D2">
      <w:pPr>
        <w:pStyle w:val="BodyTextNumbered"/>
        <w:numPr>
          <w:ilvl w:val="0"/>
          <w:numId w:val="7"/>
        </w:numPr>
        <w:spacing w:before="0"/>
        <w:ind w:left="360"/>
      </w:pPr>
      <w:r w:rsidRPr="00923097">
        <w:t>IPET-MDRD debated whether a version of the WMO Core Metadata Profile expressed in 19115-3 should be postponed until CBS Ext.(2018) so that the WMO standard could be based on community best practice. This would mean creating the proposals for version 2.0 in early 2017. A decision to prepare the proposals would be based on the criteria: was there adequate community guidance available to guide the development of the standard and were there requirements on the WIS Core Metadata Profile that could not be met by ISO 19139?</w:t>
      </w:r>
    </w:p>
    <w:p w:rsidR="0005412D" w:rsidRPr="00923097" w:rsidRDefault="0005412D" w:rsidP="00A422D2">
      <w:pPr>
        <w:pStyle w:val="Decision"/>
        <w:numPr>
          <w:ilvl w:val="0"/>
          <w:numId w:val="10"/>
        </w:numPr>
        <w:tabs>
          <w:tab w:val="center" w:pos="4513"/>
        </w:tabs>
        <w:suppressAutoHyphens/>
        <w:spacing w:before="0" w:after="120"/>
      </w:pPr>
      <w:bookmarkStart w:id="7" w:name="_Toc440446415"/>
      <w:r w:rsidRPr="00923097">
        <w:t>IPET-MDRD agreed to use the ISO 19115-1 extended code lists in future versions 1.n WMO Core Profile.</w:t>
      </w:r>
      <w:bookmarkEnd w:id="7"/>
    </w:p>
    <w:p w:rsidR="0005412D" w:rsidRPr="00923097" w:rsidRDefault="0005412D" w:rsidP="00A422D2">
      <w:pPr>
        <w:pStyle w:val="BodyTextNumbered"/>
        <w:numPr>
          <w:ilvl w:val="0"/>
          <w:numId w:val="7"/>
        </w:numPr>
        <w:spacing w:before="0"/>
        <w:ind w:left="360"/>
      </w:pPr>
      <w:r w:rsidRPr="00923097">
        <w:lastRenderedPageBreak/>
        <w:t xml:space="preserve">Before it could specify a profile of ISO 19115-3, IPET-MDRD would need to explore the implications for metadata harvesting, editing and search. </w:t>
      </w:r>
    </w:p>
    <w:p w:rsidR="0005412D" w:rsidRPr="00923097" w:rsidRDefault="0005412D" w:rsidP="00A422D2">
      <w:pPr>
        <w:pStyle w:val="BodyTextNumbered"/>
        <w:numPr>
          <w:ilvl w:val="0"/>
          <w:numId w:val="7"/>
        </w:numPr>
        <w:spacing w:before="0"/>
        <w:ind w:left="360"/>
      </w:pPr>
      <w:r w:rsidRPr="00923097">
        <w:t>IPET-MDRD considered inclusion of 19115-2 in the WMO profile would be valuable. There were two approaches to achieving this: adopt 19139-2 or adopt 19115-3.</w:t>
      </w:r>
    </w:p>
    <w:p w:rsidR="0005412D" w:rsidRPr="00923097" w:rsidRDefault="0005412D" w:rsidP="00A422D2">
      <w:pPr>
        <w:pStyle w:val="BodyTextNumbered"/>
        <w:numPr>
          <w:ilvl w:val="0"/>
          <w:numId w:val="7"/>
        </w:numPr>
        <w:spacing w:before="0"/>
        <w:ind w:left="360"/>
      </w:pPr>
      <w:r w:rsidRPr="00923097">
        <w:t>If the cost of adopting 19139-2 were comparable to the cost of adopting 19115-3 it would be preferable to move directly to 19115-3. However, some of the fields in 19115 that formed part of the WMO Core Profile were represented in more detail by 19115-3, making the migration of data more complex than adopting 19139-2. The implementation time scale for 19115-3 would be several years to allow the GISCs all to support the standard before metadata records were included in the WIS metadata catalogue, providing time to develop supporting guidance.</w:t>
      </w:r>
    </w:p>
    <w:p w:rsidR="0005412D" w:rsidRPr="00923097" w:rsidRDefault="0005412D" w:rsidP="00A422D2">
      <w:pPr>
        <w:pStyle w:val="BodyTextNumbered"/>
        <w:numPr>
          <w:ilvl w:val="0"/>
          <w:numId w:val="7"/>
        </w:numPr>
        <w:spacing w:before="0"/>
        <w:ind w:left="360"/>
      </w:pPr>
      <w:r w:rsidRPr="00923097">
        <w:t>Before committing to a timeline for developing a profile based on 19115-3 it would be necessary to assess the impacts of the move, including the resources required to develop the guidance, modify the GISC and other software, harvesting,  and for users to amend metadata records.</w:t>
      </w:r>
    </w:p>
    <w:p w:rsidR="0005412D" w:rsidRPr="00923097" w:rsidRDefault="0005412D" w:rsidP="00A422D2">
      <w:pPr>
        <w:pStyle w:val="BodyTextNumbered"/>
        <w:numPr>
          <w:ilvl w:val="0"/>
          <w:numId w:val="7"/>
        </w:numPr>
        <w:spacing w:before="0"/>
        <w:ind w:left="360"/>
      </w:pPr>
      <w:r w:rsidRPr="00923097">
        <w:t>IPET-MDRD felt that it had insufficient information to judge the relative costs and benefits of moves to include 19139-2 or to migrate to 19115-3 would have similar costs and benefits.</w:t>
      </w:r>
    </w:p>
    <w:p w:rsidR="0005412D" w:rsidRPr="00923097" w:rsidRDefault="0005412D" w:rsidP="00A422D2">
      <w:pPr>
        <w:pStyle w:val="Action"/>
        <w:numPr>
          <w:ilvl w:val="0"/>
          <w:numId w:val="11"/>
        </w:numPr>
        <w:tabs>
          <w:tab w:val="left" w:pos="1080"/>
        </w:tabs>
      </w:pPr>
      <w:bookmarkStart w:id="8" w:name="_Toc440446379"/>
      <w:r w:rsidRPr="00923097">
        <w:t>Ms Roberts would prepare an analysis of impacts of moving to 19115-3 in comparison with including 19139-2. This would include asking the GISCs to assess the resources and time needed to implement the changes.</w:t>
      </w:r>
      <w:bookmarkEnd w:id="8"/>
    </w:p>
    <w:p w:rsidR="0005412D" w:rsidRPr="00923097" w:rsidRDefault="0005412D" w:rsidP="0005412D">
      <w:pPr>
        <w:pStyle w:val="Action"/>
        <w:tabs>
          <w:tab w:val="left" w:pos="1080"/>
        </w:tabs>
      </w:pPr>
      <w:bookmarkStart w:id="9" w:name="_Toc440446380"/>
      <w:r w:rsidRPr="00923097">
        <w:t>IPET-MDRD would provide a summary of the functionality available in 19115-3 and survey Technical Commissions on the benefits they would derive from using that functionality.</w:t>
      </w:r>
      <w:bookmarkEnd w:id="9"/>
    </w:p>
    <w:p w:rsidR="0005412D" w:rsidRPr="00923097" w:rsidRDefault="0005412D" w:rsidP="0005412D">
      <w:pPr>
        <w:pStyle w:val="Action"/>
        <w:tabs>
          <w:tab w:val="left" w:pos="1080"/>
        </w:tabs>
      </w:pPr>
      <w:bookmarkStart w:id="10" w:name="_Toc440446381"/>
      <w:r w:rsidRPr="00923097">
        <w:t>Authors of guidance material for the version 1.3 should assess whether the guidance would be simpler, or the provision of information easier, in the 19115-3 standard.</w:t>
      </w:r>
      <w:bookmarkEnd w:id="10"/>
    </w:p>
    <w:p w:rsidR="0005412D" w:rsidRPr="00923097" w:rsidRDefault="0005412D" w:rsidP="0005412D">
      <w:pPr>
        <w:pStyle w:val="Decision"/>
        <w:tabs>
          <w:tab w:val="center" w:pos="4513"/>
        </w:tabs>
        <w:suppressAutoHyphens/>
        <w:spacing w:before="0" w:after="120"/>
      </w:pPr>
      <w:bookmarkStart w:id="11" w:name="_Toc440446416"/>
      <w:r w:rsidRPr="00923097">
        <w:t>While the study was being performed, IPET-MDRD would concentrate its development activities on improving guidance and search.</w:t>
      </w:r>
      <w:bookmarkEnd w:id="11"/>
    </w:p>
    <w:p w:rsidR="0005412D" w:rsidRPr="00923097" w:rsidRDefault="0005412D" w:rsidP="00A422D2">
      <w:pPr>
        <w:pStyle w:val="BodyTextNumbered"/>
        <w:numPr>
          <w:ilvl w:val="0"/>
          <w:numId w:val="7"/>
        </w:numPr>
        <w:spacing w:before="0"/>
        <w:ind w:left="360"/>
        <w:rPr>
          <w:lang w:eastAsia="ja-JP"/>
        </w:rPr>
      </w:pPr>
      <w:r w:rsidRPr="00923097">
        <w:rPr>
          <w:lang w:eastAsia="ja-JP"/>
        </w:rPr>
        <w:t>IPET-MDRD considered that it should not be an early adopter of ISO 19115-3 because developing metadata standards was not a core activity of WMO. Before moving to ISO 19115-3, IPET-MDRD wished to see best practice developed by other communities in order to decide how to proceed.</w:t>
      </w:r>
    </w:p>
    <w:p w:rsidR="0005412D" w:rsidRPr="00923097" w:rsidRDefault="0005412D" w:rsidP="00A422D2">
      <w:pPr>
        <w:pStyle w:val="BodyTextNumbered"/>
        <w:numPr>
          <w:ilvl w:val="0"/>
          <w:numId w:val="7"/>
        </w:numPr>
        <w:spacing w:before="0"/>
        <w:ind w:left="360"/>
        <w:rPr>
          <w:lang w:eastAsia="ja-JP"/>
        </w:rPr>
      </w:pPr>
      <w:r w:rsidRPr="00923097">
        <w:rPr>
          <w:lang w:eastAsia="ja-JP"/>
        </w:rPr>
        <w:t xml:space="preserve">The assessment of features of ISO 19115-3 would be limited to those aspects required to implement a Core Profile comparable to 1.3, and the guidance required to enable Members to implement that within the new standard. </w:t>
      </w:r>
    </w:p>
    <w:p w:rsidR="0005412D" w:rsidRPr="00923097" w:rsidRDefault="0005412D" w:rsidP="0005412D">
      <w:pPr>
        <w:pStyle w:val="Action"/>
        <w:tabs>
          <w:tab w:val="left" w:pos="1080"/>
        </w:tabs>
      </w:pPr>
      <w:bookmarkStart w:id="12" w:name="_Toc440446382"/>
      <w:bookmarkStart w:id="13" w:name="_Toc435109862"/>
      <w:r w:rsidRPr="00923097">
        <w:t>IPET-MDRD needed to consider how to represent the time aspects of data streams to avoid the implication that data are available back to the time the data stream started.</w:t>
      </w:r>
      <w:bookmarkEnd w:id="12"/>
      <w:bookmarkEnd w:id="13"/>
    </w:p>
    <w:p w:rsidR="0005412D" w:rsidRPr="00923097" w:rsidRDefault="0005412D" w:rsidP="0005412D">
      <w:pPr>
        <w:pStyle w:val="Action"/>
        <w:tabs>
          <w:tab w:val="left" w:pos="1080"/>
        </w:tabs>
      </w:pPr>
      <w:bookmarkStart w:id="14" w:name="_Toc440446383"/>
      <w:r w:rsidRPr="00923097">
        <w:t>Dr Toyoda would ask TT-GISC to inform IPET-MDRD which elements of the WMO Core Profile were used by the GISCs for managing the WIS and that were accessed directly from their GISC interfaces. He would also ask whether information was needed by the GISCs that was missing from the standard. This would allow a mapping from ISO 19115-3 to be proposed to the GISCs ahead of finalizing the approach to adopting ISO 19115-3.</w:t>
      </w:r>
      <w:bookmarkEnd w:id="14"/>
    </w:p>
    <w:p w:rsidR="0005412D" w:rsidRPr="00923097" w:rsidRDefault="0005412D" w:rsidP="00A422D2">
      <w:pPr>
        <w:pStyle w:val="BodyTextNumbered"/>
        <w:numPr>
          <w:ilvl w:val="0"/>
          <w:numId w:val="7"/>
        </w:numPr>
        <w:spacing w:before="0"/>
        <w:ind w:left="360"/>
      </w:pPr>
      <w:r w:rsidRPr="00923097">
        <w:t>Mr Tandy suggested that IPET-MDRD members should be encouraged to assess implementation of ISO 19115-3 for use in their local centres, and based on that experience to inform IPET-MDRD of those aspects of that standard that proved to be of benefit and that were likely to have a wider application and appropriate for inclusion in a global standard to be developed by WMO.</w:t>
      </w:r>
    </w:p>
    <w:p w:rsidR="0005412D" w:rsidRPr="00923097" w:rsidRDefault="0005412D" w:rsidP="0005412D">
      <w:pPr>
        <w:pStyle w:val="Action"/>
        <w:tabs>
          <w:tab w:val="left" w:pos="1080"/>
        </w:tabs>
      </w:pPr>
      <w:bookmarkStart w:id="15" w:name="_Toc440446384"/>
      <w:r w:rsidRPr="00923097">
        <w:lastRenderedPageBreak/>
        <w:t>The secretariat would ask Focal Points to tell IPET-MDRD of their needs for developing the discovery metadata standard when the First Fast Track of 2016 was issued. If any of the responses were more appropriate for the WIGOS metadata, the secretariat would pass these on to TT-WMD.</w:t>
      </w:r>
      <w:bookmarkEnd w:id="15"/>
    </w:p>
    <w:p w:rsidR="0005412D" w:rsidRPr="00923097" w:rsidRDefault="0005412D" w:rsidP="00A422D2">
      <w:pPr>
        <w:pStyle w:val="BodyTextNumbered"/>
        <w:numPr>
          <w:ilvl w:val="0"/>
          <w:numId w:val="7"/>
        </w:numPr>
        <w:spacing w:before="0"/>
        <w:ind w:left="360"/>
        <w:rPr>
          <w:lang w:eastAsia="ja-JP"/>
        </w:rPr>
      </w:pPr>
      <w:r w:rsidRPr="00923097">
        <w:rPr>
          <w:lang w:eastAsia="ja-JP"/>
        </w:rPr>
        <w:t>An extension to the metadata standard might be needed to describe a data stream from which only a short period of data were available at a given time (for example, the previous 24h).</w:t>
      </w:r>
    </w:p>
    <w:p w:rsidR="00A14FA1" w:rsidRPr="00923097" w:rsidRDefault="0005412D" w:rsidP="00A422D2">
      <w:pPr>
        <w:pStyle w:val="BodyTextNumbered"/>
        <w:numPr>
          <w:ilvl w:val="0"/>
          <w:numId w:val="7"/>
        </w:numPr>
        <w:tabs>
          <w:tab w:val="clear" w:pos="1134"/>
        </w:tabs>
        <w:spacing w:before="0"/>
        <w:ind w:left="360"/>
      </w:pPr>
      <w:r w:rsidRPr="00923097">
        <w:t xml:space="preserve"> IPET-MDRD decided that the WIS Discovery Metadata would need to move from the ISO 19115/19139 standard at some stage, driven by the ability to meet the requirements of Members and the availability of toolsets, and informed by global best practice. IPET-MDRD had not determined when that transition would be needed.</w:t>
      </w:r>
    </w:p>
    <w:p w:rsidR="00E179C5" w:rsidRPr="00923097" w:rsidRDefault="00E179C5" w:rsidP="00E179C5">
      <w:pPr>
        <w:pStyle w:val="Heading2"/>
        <w:rPr>
          <w:rFonts w:eastAsia="MS Mincho"/>
          <w:lang w:eastAsia="ja-JP"/>
        </w:rPr>
      </w:pPr>
      <w:r w:rsidRPr="00923097">
        <w:rPr>
          <w:rFonts w:eastAsia="MS Mincho" w:hint="eastAsia"/>
          <w:lang w:eastAsia="ja-JP"/>
        </w:rPr>
        <w:t xml:space="preserve">Appendix III </w:t>
      </w:r>
      <w:r w:rsidRPr="00923097">
        <w:rPr>
          <w:rFonts w:eastAsia="MS Mincho"/>
          <w:lang w:eastAsia="ja-JP"/>
        </w:rPr>
        <w:t>–</w:t>
      </w:r>
      <w:r w:rsidRPr="00923097">
        <w:rPr>
          <w:rFonts w:eastAsia="MS Mincho" w:hint="eastAsia"/>
          <w:lang w:eastAsia="ja-JP"/>
        </w:rPr>
        <w:t xml:space="preserve"> Changes in ISO 19115-1:2014 (submitted as IPET-MDRD-1/D10)</w:t>
      </w:r>
    </w:p>
    <w:p w:rsidR="00E179C5" w:rsidRPr="00923097" w:rsidRDefault="00E179C5" w:rsidP="00E179C5">
      <w:pPr>
        <w:pStyle w:val="Heading3"/>
      </w:pPr>
      <w:r w:rsidRPr="00923097">
        <w:t>Key compatibility considerations of ISO 19115-1:2014</w:t>
      </w:r>
    </w:p>
    <w:p w:rsidR="00E179C5" w:rsidRPr="00923097" w:rsidRDefault="00E179C5" w:rsidP="00E179C5">
      <w:pPr>
        <w:pStyle w:val="BodyTextNumbered"/>
        <w:numPr>
          <w:ilvl w:val="0"/>
          <w:numId w:val="16"/>
        </w:numPr>
      </w:pPr>
      <w:r w:rsidRPr="00923097">
        <w:t>The 2014 standard is fully independent from the 2003 standard.  This is not an extension to previous one.  Compatibility is achieved through transformation service.</w:t>
      </w:r>
    </w:p>
    <w:p w:rsidR="00E179C5" w:rsidRPr="00923097" w:rsidRDefault="00E179C5" w:rsidP="00E179C5">
      <w:pPr>
        <w:pStyle w:val="BodyTextNumbered"/>
      </w:pPr>
      <w:r w:rsidRPr="00923097">
        <w:t>The 2003 standard UML will remain available, and the data discovery system supporting the 2014 standard need to be able to recognize the 2003 standard as well.</w:t>
      </w:r>
    </w:p>
    <w:p w:rsidR="00E179C5" w:rsidRPr="00923097" w:rsidRDefault="00E179C5" w:rsidP="00E179C5">
      <w:pPr>
        <w:pStyle w:val="BodyTextNumbered"/>
      </w:pPr>
      <w:r w:rsidRPr="00923097">
        <w:t>For ease of transformations:</w:t>
      </w:r>
    </w:p>
    <w:p w:rsidR="00E179C5" w:rsidRPr="00923097" w:rsidRDefault="00E179C5" w:rsidP="0039563F">
      <w:pPr>
        <w:pStyle w:val="BodyTextBullet"/>
        <w:spacing w:before="0"/>
      </w:pPr>
      <w:r w:rsidRPr="00923097">
        <w:rPr>
          <w:rFonts w:eastAsia="MS Mincho"/>
          <w:lang w:eastAsia="ja-JP"/>
        </w:rPr>
        <w:t>No mandatory element is added</w:t>
      </w:r>
    </w:p>
    <w:p w:rsidR="00E179C5" w:rsidRPr="00923097" w:rsidRDefault="00E179C5" w:rsidP="0039563F">
      <w:pPr>
        <w:pStyle w:val="BodyTextBullet"/>
        <w:spacing w:before="0"/>
      </w:pPr>
      <w:r w:rsidRPr="00923097">
        <w:rPr>
          <w:rFonts w:eastAsia="MS Mincho"/>
          <w:lang w:eastAsia="ja-JP"/>
        </w:rPr>
        <w:t xml:space="preserve">Metadata element names are not reused for other concepts; however the same concept (for example </w:t>
      </w:r>
      <w:proofErr w:type="spellStart"/>
      <w:r w:rsidRPr="00923097">
        <w:rPr>
          <w:rFonts w:eastAsia="MS Mincho"/>
          <w:lang w:eastAsia="ja-JP"/>
        </w:rPr>
        <w:t>MD_Metadata</w:t>
      </w:r>
      <w:proofErr w:type="spellEnd"/>
      <w:r w:rsidRPr="00923097">
        <w:rPr>
          <w:rFonts w:eastAsia="MS Mincho"/>
          <w:lang w:eastAsia="ja-JP"/>
        </w:rPr>
        <w:t>) may have different data type as long as the definition remains the same</w:t>
      </w:r>
    </w:p>
    <w:p w:rsidR="00E179C5" w:rsidRPr="00923097" w:rsidRDefault="00E179C5" w:rsidP="00E179C5">
      <w:pPr>
        <w:pStyle w:val="BodyTextNumbered"/>
      </w:pPr>
      <w:r w:rsidRPr="00923097">
        <w:rPr>
          <w:rFonts w:eastAsia="MS Mincho"/>
          <w:lang w:eastAsia="ja-JP"/>
        </w:rPr>
        <w:t>Major changes:</w:t>
      </w:r>
    </w:p>
    <w:p w:rsidR="00E179C5" w:rsidRPr="00923097" w:rsidRDefault="00E179C5" w:rsidP="0039563F">
      <w:pPr>
        <w:pStyle w:val="BodyTextBullet"/>
        <w:spacing w:before="0"/>
      </w:pPr>
      <w:r w:rsidRPr="00923097">
        <w:rPr>
          <w:rFonts w:eastAsia="MS Mincho"/>
          <w:lang w:eastAsia="ja-JP"/>
        </w:rPr>
        <w:t>The concept of “Core Metadata” was removed</w:t>
      </w:r>
    </w:p>
    <w:p w:rsidR="00E179C5" w:rsidRPr="00923097" w:rsidRDefault="00E179C5" w:rsidP="0039563F">
      <w:pPr>
        <w:pStyle w:val="BodyTextBullet"/>
        <w:spacing w:before="0"/>
      </w:pPr>
      <w:r w:rsidRPr="00923097">
        <w:rPr>
          <w:rFonts w:eastAsia="MS Mincho"/>
          <w:lang w:eastAsia="ja-JP"/>
        </w:rPr>
        <w:t>Metadata for services (ISO 19119:2005/</w:t>
      </w:r>
      <w:proofErr w:type="spellStart"/>
      <w:r w:rsidRPr="00923097">
        <w:rPr>
          <w:rFonts w:eastAsia="MS Mincho"/>
          <w:lang w:eastAsia="ja-JP"/>
        </w:rPr>
        <w:t>Amd</w:t>
      </w:r>
      <w:proofErr w:type="spellEnd"/>
      <w:r w:rsidRPr="00923097">
        <w:rPr>
          <w:rFonts w:eastAsia="MS Mincho"/>
          <w:lang w:eastAsia="ja-JP"/>
        </w:rPr>
        <w:t xml:space="preserve"> 1:2008) was formally added</w:t>
      </w:r>
    </w:p>
    <w:p w:rsidR="00E179C5" w:rsidRPr="00923097" w:rsidRDefault="00E179C5" w:rsidP="0039563F">
      <w:pPr>
        <w:pStyle w:val="BodyTextBullet"/>
        <w:spacing w:before="0"/>
      </w:pPr>
      <w:r w:rsidRPr="00923097">
        <w:rPr>
          <w:rFonts w:eastAsia="MS Mincho"/>
          <w:lang w:eastAsia="ja-JP"/>
        </w:rPr>
        <w:t>Data Quality was moved to ISO 19157</w:t>
      </w:r>
    </w:p>
    <w:p w:rsidR="00E179C5" w:rsidRPr="00923097" w:rsidRDefault="00E179C5" w:rsidP="0039563F">
      <w:pPr>
        <w:pStyle w:val="BodyTextBullet"/>
        <w:spacing w:before="0"/>
      </w:pPr>
      <w:r w:rsidRPr="00923097">
        <w:rPr>
          <w:rFonts w:eastAsia="MS Mincho"/>
          <w:lang w:eastAsia="ja-JP"/>
        </w:rPr>
        <w:t xml:space="preserve">Many </w:t>
      </w:r>
      <w:proofErr w:type="spellStart"/>
      <w:r w:rsidRPr="00923097">
        <w:rPr>
          <w:rFonts w:eastAsia="MS Mincho"/>
          <w:lang w:eastAsia="ja-JP"/>
        </w:rPr>
        <w:t>codelists</w:t>
      </w:r>
      <w:proofErr w:type="spellEnd"/>
      <w:r w:rsidRPr="00923097">
        <w:rPr>
          <w:rFonts w:eastAsia="MS Mincho"/>
          <w:lang w:eastAsia="ja-JP"/>
        </w:rPr>
        <w:t xml:space="preserve"> were extended</w:t>
      </w:r>
    </w:p>
    <w:p w:rsidR="00E179C5" w:rsidRPr="00923097" w:rsidRDefault="00E179C5" w:rsidP="0039563F">
      <w:pPr>
        <w:pStyle w:val="BodyTextBullet"/>
        <w:spacing w:before="0"/>
      </w:pPr>
      <w:r w:rsidRPr="00923097">
        <w:rPr>
          <w:rFonts w:eastAsia="MS Mincho"/>
          <w:lang w:eastAsia="ja-JP"/>
        </w:rPr>
        <w:t xml:space="preserve">“Short name” and “domain code” were removed from the data dictionary and </w:t>
      </w:r>
      <w:proofErr w:type="spellStart"/>
      <w:r w:rsidRPr="00923097">
        <w:rPr>
          <w:rFonts w:eastAsia="MS Mincho"/>
          <w:lang w:eastAsia="ja-JP"/>
        </w:rPr>
        <w:t>codelist</w:t>
      </w:r>
      <w:proofErr w:type="spellEnd"/>
      <w:r w:rsidRPr="00923097">
        <w:rPr>
          <w:rFonts w:eastAsia="MS Mincho"/>
          <w:lang w:eastAsia="ja-JP"/>
        </w:rPr>
        <w:t xml:space="preserve"> respectively</w:t>
      </w:r>
    </w:p>
    <w:p w:rsidR="00E179C5" w:rsidRPr="00923097" w:rsidRDefault="00E179C5" w:rsidP="00E179C5">
      <w:pPr>
        <w:pStyle w:val="Heading3"/>
      </w:pPr>
      <w:r w:rsidRPr="00923097">
        <w:t>Notable changes in UML model (ISO 19115-1:2014)</w:t>
      </w:r>
    </w:p>
    <w:p w:rsidR="00E179C5" w:rsidRPr="00923097" w:rsidRDefault="00E179C5" w:rsidP="00E179C5">
      <w:pPr>
        <w:pStyle w:val="BodyTextNumbered"/>
      </w:pPr>
      <w:proofErr w:type="spellStart"/>
      <w:r w:rsidRPr="00923097">
        <w:t>MD_Metadata.fileIdentifier</w:t>
      </w:r>
      <w:proofErr w:type="spellEnd"/>
      <w:r w:rsidRPr="00923097">
        <w:t xml:space="preserve"> replaced by </w:t>
      </w:r>
      <w:proofErr w:type="spellStart"/>
      <w:r w:rsidRPr="00923097">
        <w:t>MD_Metadata.metadataIdentifier</w:t>
      </w:r>
      <w:proofErr w:type="spellEnd"/>
      <w:r w:rsidRPr="00923097">
        <w:t>/</w:t>
      </w:r>
      <w:proofErr w:type="spellStart"/>
      <w:r w:rsidRPr="00923097">
        <w:t>MD_Identifier</w:t>
      </w:r>
      <w:proofErr w:type="spellEnd"/>
      <w:r w:rsidRPr="00923097">
        <w:t>/code</w:t>
      </w:r>
    </w:p>
    <w:p w:rsidR="00E179C5" w:rsidRPr="00923097" w:rsidRDefault="00E179C5" w:rsidP="0039563F">
      <w:pPr>
        <w:pStyle w:val="BodyTextBullet"/>
        <w:spacing w:before="0"/>
      </w:pPr>
      <w:r w:rsidRPr="00923097">
        <w:rPr>
          <w:rFonts w:eastAsia="MS Mincho"/>
          <w:lang w:eastAsia="ja-JP"/>
        </w:rPr>
        <w:t xml:space="preserve">[Regulation] ISO says this is improvement as </w:t>
      </w:r>
      <w:proofErr w:type="spellStart"/>
      <w:r w:rsidRPr="00923097">
        <w:rPr>
          <w:rFonts w:eastAsia="MS Mincho"/>
          <w:lang w:eastAsia="ja-JP"/>
        </w:rPr>
        <w:t>MD_Identifier</w:t>
      </w:r>
      <w:proofErr w:type="spellEnd"/>
      <w:r w:rsidRPr="00923097">
        <w:rPr>
          <w:rFonts w:eastAsia="MS Mincho"/>
          <w:lang w:eastAsia="ja-JP"/>
        </w:rPr>
        <w:t xml:space="preserve"> may contain optional attributes such as </w:t>
      </w:r>
      <w:proofErr w:type="spellStart"/>
      <w:r w:rsidRPr="00923097">
        <w:rPr>
          <w:rFonts w:eastAsia="MS Mincho"/>
          <w:lang w:eastAsia="ja-JP"/>
        </w:rPr>
        <w:t>codeSpace</w:t>
      </w:r>
      <w:proofErr w:type="spellEnd"/>
      <w:r w:rsidRPr="00923097">
        <w:rPr>
          <w:rFonts w:eastAsia="MS Mincho"/>
          <w:lang w:eastAsia="ja-JP"/>
        </w:rPr>
        <w:t xml:space="preserve"> to define the namespace of code. Typical intended situation would be (1) there are multiple community catalogues each use very simple metadata identifier (for example ABC12345) and (2) a comprehensive catalogue is developed later to harvest all of them.  This seems worth considering in WIS to expand and strengthen the network (topic for Agenda Item 2.5).</w:t>
      </w:r>
    </w:p>
    <w:p w:rsidR="00E179C5" w:rsidRPr="00923097" w:rsidRDefault="00E179C5" w:rsidP="0039563F">
      <w:pPr>
        <w:pStyle w:val="BodyTextBullet"/>
        <w:spacing w:before="0"/>
      </w:pPr>
      <w:r w:rsidRPr="00923097">
        <w:rPr>
          <w:rFonts w:eastAsia="MS Mincho"/>
          <w:lang w:eastAsia="ja-JP"/>
        </w:rPr>
        <w:t xml:space="preserve"> [Lifted Alert] Unlike the warning in IPET-MDI-1, the </w:t>
      </w:r>
      <w:proofErr w:type="spellStart"/>
      <w:r w:rsidRPr="00923097">
        <w:rPr>
          <w:rFonts w:eastAsia="MS Mincho"/>
          <w:lang w:eastAsia="ja-JP"/>
        </w:rPr>
        <w:t>metadataIdentifier</w:t>
      </w:r>
      <w:proofErr w:type="spellEnd"/>
      <w:r w:rsidRPr="00923097">
        <w:rPr>
          <w:rFonts w:eastAsia="MS Mincho"/>
          <w:lang w:eastAsia="ja-JP"/>
        </w:rPr>
        <w:t xml:space="preserve"> remained non-repeatable [0..1]. That is good news for software developer, as that eliminates the need for additional rules of interpretation.</w:t>
      </w:r>
    </w:p>
    <w:p w:rsidR="00E179C5" w:rsidRPr="00923097" w:rsidRDefault="00E179C5" w:rsidP="00E179C5">
      <w:pPr>
        <w:pStyle w:val="BodyTextNumbered"/>
      </w:pPr>
      <w:r w:rsidRPr="00923097">
        <w:lastRenderedPageBreak/>
        <w:t xml:space="preserve">Attribute pairs named language and </w:t>
      </w:r>
      <w:proofErr w:type="spellStart"/>
      <w:r w:rsidRPr="00923097">
        <w:t>characterSet</w:t>
      </w:r>
      <w:proofErr w:type="spellEnd"/>
      <w:r w:rsidRPr="00923097">
        <w:t xml:space="preserve"> replaced by </w:t>
      </w:r>
      <w:proofErr w:type="spellStart"/>
      <w:r w:rsidRPr="00923097">
        <w:t>defaultLocale</w:t>
      </w:r>
      <w:proofErr w:type="spellEnd"/>
      <w:r w:rsidRPr="00923097">
        <w:t xml:space="preserve"> (type </w:t>
      </w:r>
      <w:proofErr w:type="spellStart"/>
      <w:r w:rsidRPr="00923097">
        <w:t>PT_Locale</w:t>
      </w:r>
      <w:proofErr w:type="spellEnd"/>
      <w:r w:rsidRPr="00923097">
        <w:t xml:space="preserve">) in </w:t>
      </w:r>
      <w:proofErr w:type="spellStart"/>
      <w:r w:rsidRPr="00923097">
        <w:t>MD_Metadata</w:t>
      </w:r>
      <w:proofErr w:type="spellEnd"/>
      <w:r w:rsidRPr="00923097">
        <w:t xml:space="preserve"> and </w:t>
      </w:r>
      <w:proofErr w:type="spellStart"/>
      <w:r w:rsidRPr="00923097">
        <w:t>MD_DataIdentification</w:t>
      </w:r>
      <w:proofErr w:type="spellEnd"/>
    </w:p>
    <w:p w:rsidR="00E179C5" w:rsidRPr="00923097" w:rsidRDefault="00E179C5" w:rsidP="00E179C5">
      <w:pPr>
        <w:pStyle w:val="BodyTextNumbered"/>
      </w:pPr>
      <w:proofErr w:type="spellStart"/>
      <w:r w:rsidRPr="00923097">
        <w:t>MD_Metadata.hierarchyName</w:t>
      </w:r>
      <w:proofErr w:type="spellEnd"/>
      <w:r w:rsidRPr="00923097">
        <w:t xml:space="preserve"> and .</w:t>
      </w:r>
      <w:proofErr w:type="spellStart"/>
      <w:r w:rsidRPr="00923097">
        <w:t>hierarchyLevelName</w:t>
      </w:r>
      <w:proofErr w:type="spellEnd"/>
      <w:r w:rsidRPr="00923097">
        <w:t xml:space="preserve"> replaced by </w:t>
      </w:r>
      <w:proofErr w:type="spellStart"/>
      <w:r w:rsidRPr="00923097">
        <w:t>MD_Metadata.metadataScope</w:t>
      </w:r>
      <w:proofErr w:type="spellEnd"/>
      <w:r w:rsidRPr="00923097">
        <w:t xml:space="preserve"> (type </w:t>
      </w:r>
      <w:proofErr w:type="spellStart"/>
      <w:r w:rsidRPr="00923097">
        <w:t>MD_MetadataScope</w:t>
      </w:r>
      <w:proofErr w:type="spellEnd"/>
      <w:r w:rsidRPr="00923097">
        <w:t>)</w:t>
      </w:r>
    </w:p>
    <w:p w:rsidR="00E179C5" w:rsidRPr="00923097" w:rsidRDefault="00E179C5" w:rsidP="0039563F">
      <w:pPr>
        <w:pStyle w:val="BodyTextBullet"/>
        <w:spacing w:before="0"/>
      </w:pPr>
      <w:r w:rsidRPr="00923097">
        <w:rPr>
          <w:rFonts w:eastAsia="MS Mincho"/>
          <w:lang w:eastAsia="ja-JP"/>
        </w:rPr>
        <w:t xml:space="preserve"> [User Profile] some metadata contributors are using these fields to describe keywords for hierarchical classification of the dataset. It could be worth drawing attention although that is not a part of WMO Core Profile.</w:t>
      </w:r>
    </w:p>
    <w:p w:rsidR="00E179C5" w:rsidRPr="00923097" w:rsidRDefault="00E179C5" w:rsidP="00E179C5">
      <w:pPr>
        <w:pStyle w:val="BodyTextNumbered"/>
      </w:pPr>
      <w:r w:rsidRPr="00923097">
        <w:t xml:space="preserve">Data type </w:t>
      </w:r>
      <w:proofErr w:type="spellStart"/>
      <w:r w:rsidRPr="00923097">
        <w:t>CI_ResponsibleParty</w:t>
      </w:r>
      <w:proofErr w:type="spellEnd"/>
      <w:r w:rsidRPr="00923097">
        <w:t xml:space="preserve"> changed to type </w:t>
      </w:r>
      <w:proofErr w:type="spellStart"/>
      <w:r w:rsidRPr="00923097">
        <w:t>CI_Responsibility</w:t>
      </w:r>
      <w:proofErr w:type="spellEnd"/>
      <w:r w:rsidRPr="00923097">
        <w:t xml:space="preserve"> such as in </w:t>
      </w:r>
      <w:proofErr w:type="spellStart"/>
      <w:r w:rsidRPr="00923097">
        <w:t>MD_Metadata.contact</w:t>
      </w:r>
      <w:proofErr w:type="spellEnd"/>
      <w:r w:rsidRPr="00923097">
        <w:t xml:space="preserve">, </w:t>
      </w:r>
      <w:proofErr w:type="spellStart"/>
      <w:r w:rsidRPr="00923097">
        <w:t>MD_DataIdentification.pointOfContact</w:t>
      </w:r>
      <w:proofErr w:type="spellEnd"/>
      <w:r w:rsidRPr="00923097">
        <w:t xml:space="preserve">, or </w:t>
      </w:r>
      <w:proofErr w:type="spellStart"/>
      <w:r w:rsidRPr="00923097">
        <w:t>CI_Citation.citedResponsibleParty</w:t>
      </w:r>
      <w:proofErr w:type="spellEnd"/>
      <w:r w:rsidRPr="00923097">
        <w:t xml:space="preserve"> </w:t>
      </w:r>
    </w:p>
    <w:p w:rsidR="00E179C5" w:rsidRPr="00923097" w:rsidRDefault="00E179C5" w:rsidP="0039563F">
      <w:pPr>
        <w:pStyle w:val="BodyTextBullet"/>
        <w:spacing w:before="0"/>
      </w:pPr>
      <w:r w:rsidRPr="00923097">
        <w:rPr>
          <w:rFonts w:eastAsia="MS Mincho"/>
          <w:lang w:eastAsia="ja-JP"/>
        </w:rPr>
        <w:t xml:space="preserve"> [SRU] the search index “author” is created from </w:t>
      </w:r>
      <w:proofErr w:type="spellStart"/>
      <w:r w:rsidRPr="00923097">
        <w:rPr>
          <w:rFonts w:eastAsia="MS Mincho"/>
          <w:lang w:eastAsia="ja-JP"/>
        </w:rPr>
        <w:t>MD_Metadata.contact</w:t>
      </w:r>
      <w:proofErr w:type="spellEnd"/>
      <w:r w:rsidRPr="00923097">
        <w:rPr>
          <w:rFonts w:eastAsia="MS Mincho"/>
          <w:lang w:eastAsia="ja-JP"/>
        </w:rPr>
        <w:t xml:space="preserve">. If the search engine depends on the substructure inside </w:t>
      </w:r>
      <w:proofErr w:type="spellStart"/>
      <w:r w:rsidRPr="00923097">
        <w:rPr>
          <w:rFonts w:eastAsia="MS Mincho"/>
          <w:lang w:eastAsia="ja-JP"/>
        </w:rPr>
        <w:t>CI_ResponsibleParty</w:t>
      </w:r>
      <w:proofErr w:type="spellEnd"/>
      <w:r w:rsidRPr="00923097">
        <w:rPr>
          <w:rFonts w:eastAsia="MS Mincho"/>
          <w:lang w:eastAsia="ja-JP"/>
        </w:rPr>
        <w:t>, that has to be amended to work correctly.</w:t>
      </w:r>
    </w:p>
    <w:p w:rsidR="00E179C5" w:rsidRPr="00923097" w:rsidRDefault="00E179C5" w:rsidP="00E179C5">
      <w:pPr>
        <w:pStyle w:val="BodyTextNumbered"/>
      </w:pPr>
      <w:proofErr w:type="spellStart"/>
      <w:r w:rsidRPr="00923097">
        <w:t>MD_Metadata.dateStamp</w:t>
      </w:r>
      <w:proofErr w:type="spellEnd"/>
      <w:r w:rsidRPr="00923097">
        <w:t xml:space="preserve"> [0..1] (type </w:t>
      </w:r>
      <w:proofErr w:type="spellStart"/>
      <w:r w:rsidRPr="00923097">
        <w:t>DateTime</w:t>
      </w:r>
      <w:proofErr w:type="spellEnd"/>
      <w:r w:rsidRPr="00923097">
        <w:t xml:space="preserve">) replaced by </w:t>
      </w:r>
      <w:proofErr w:type="spellStart"/>
      <w:r w:rsidRPr="00923097">
        <w:t>MD_Metadata.dateInfo</w:t>
      </w:r>
      <w:proofErr w:type="spellEnd"/>
      <w:r w:rsidRPr="00923097">
        <w:t xml:space="preserve"> [0..*] (type </w:t>
      </w:r>
      <w:proofErr w:type="spellStart"/>
      <w:r w:rsidRPr="00923097">
        <w:t>CI_Date</w:t>
      </w:r>
      <w:proofErr w:type="spellEnd"/>
      <w:r w:rsidRPr="00923097">
        <w:t>)</w:t>
      </w:r>
    </w:p>
    <w:p w:rsidR="00E179C5" w:rsidRPr="00923097" w:rsidRDefault="00E179C5" w:rsidP="0039563F">
      <w:pPr>
        <w:pStyle w:val="BodyTextBullet"/>
        <w:spacing w:before="0"/>
      </w:pPr>
      <w:r w:rsidRPr="00923097">
        <w:rPr>
          <w:rFonts w:eastAsia="MS Mincho"/>
          <w:lang w:eastAsia="ja-JP"/>
        </w:rPr>
        <w:t>ISO says that is to accommodate multiple types of dates of metadata (ex. Publication and modification).</w:t>
      </w:r>
    </w:p>
    <w:p w:rsidR="00E179C5" w:rsidRPr="00923097" w:rsidRDefault="00E179C5" w:rsidP="0039563F">
      <w:pPr>
        <w:pStyle w:val="BodyTextBullet"/>
        <w:spacing w:before="0"/>
      </w:pPr>
      <w:r w:rsidRPr="00923097">
        <w:rPr>
          <w:rFonts w:eastAsia="MS Mincho"/>
          <w:lang w:eastAsia="ja-JP"/>
        </w:rPr>
        <w:t xml:space="preserve"> [Synchronisation] The WIS catalogues can no longer compare two metadata records of the same identifier by </w:t>
      </w:r>
      <w:proofErr w:type="spellStart"/>
      <w:r w:rsidRPr="00923097">
        <w:rPr>
          <w:rFonts w:eastAsia="MS Mincho"/>
          <w:lang w:eastAsia="ja-JP"/>
        </w:rPr>
        <w:t>dateStamp</w:t>
      </w:r>
      <w:proofErr w:type="spellEnd"/>
      <w:r w:rsidRPr="00923097">
        <w:rPr>
          <w:rFonts w:eastAsia="MS Mincho"/>
          <w:lang w:eastAsia="ja-JP"/>
        </w:rPr>
        <w:t xml:space="preserve"> as described in WCMP. Although there is no known WIS centre that actually relies on this feature, the implementer community (namely ET-WISC/TT-GISC) has to be informed.</w:t>
      </w:r>
    </w:p>
    <w:p w:rsidR="00E179C5" w:rsidRPr="00923097" w:rsidRDefault="00E179C5" w:rsidP="00E179C5">
      <w:pPr>
        <w:pStyle w:val="BodyTextNumbered"/>
      </w:pPr>
      <w:proofErr w:type="spellStart"/>
      <w:r w:rsidRPr="00923097">
        <w:t>MD_Metadata.metadataStandardName</w:t>
      </w:r>
      <w:proofErr w:type="spellEnd"/>
      <w:r w:rsidRPr="00923097">
        <w:t xml:space="preserve"> and .</w:t>
      </w:r>
      <w:proofErr w:type="spellStart"/>
      <w:r w:rsidRPr="00923097">
        <w:t>metadataStandardVersion</w:t>
      </w:r>
      <w:proofErr w:type="spellEnd"/>
      <w:r w:rsidRPr="00923097">
        <w:t xml:space="preserve"> are replaced by </w:t>
      </w:r>
      <w:proofErr w:type="spellStart"/>
      <w:r w:rsidRPr="00923097">
        <w:t>MD_Metadata.metadataStandard</w:t>
      </w:r>
      <w:proofErr w:type="spellEnd"/>
      <w:r w:rsidRPr="00923097">
        <w:t xml:space="preserve"> (type </w:t>
      </w:r>
      <w:proofErr w:type="spellStart"/>
      <w:r w:rsidRPr="00923097">
        <w:t>CI_Citation</w:t>
      </w:r>
      <w:proofErr w:type="spellEnd"/>
      <w:r w:rsidRPr="00923097">
        <w:t>)</w:t>
      </w:r>
    </w:p>
    <w:p w:rsidR="00E179C5" w:rsidRPr="00923097" w:rsidRDefault="00E179C5" w:rsidP="00E179C5">
      <w:pPr>
        <w:pStyle w:val="BodyTextNumbered"/>
      </w:pPr>
      <w:proofErr w:type="spellStart"/>
      <w:r w:rsidRPr="00923097">
        <w:rPr>
          <w:rFonts w:eastAsia="MS Mincho"/>
          <w:lang w:eastAsia="ja-JP"/>
        </w:rPr>
        <w:t>MD_Metadata.metadataProfile</w:t>
      </w:r>
      <w:proofErr w:type="spellEnd"/>
      <w:r w:rsidRPr="00923097">
        <w:rPr>
          <w:rFonts w:eastAsia="MS Mincho"/>
          <w:lang w:eastAsia="ja-JP"/>
        </w:rPr>
        <w:t xml:space="preserve"> [0..*] (type </w:t>
      </w:r>
      <w:proofErr w:type="spellStart"/>
      <w:r w:rsidRPr="00923097">
        <w:rPr>
          <w:rFonts w:eastAsia="MS Mincho"/>
          <w:lang w:eastAsia="ja-JP"/>
        </w:rPr>
        <w:t>CI_Citation</w:t>
      </w:r>
      <w:proofErr w:type="spellEnd"/>
      <w:r w:rsidRPr="00923097">
        <w:rPr>
          <w:rFonts w:eastAsia="MS Mincho"/>
          <w:lang w:eastAsia="ja-JP"/>
        </w:rPr>
        <w:t>) added</w:t>
      </w:r>
    </w:p>
    <w:p w:rsidR="00E179C5" w:rsidRPr="00923097" w:rsidRDefault="00E179C5" w:rsidP="0039563F">
      <w:pPr>
        <w:pStyle w:val="BodyTextBullet"/>
        <w:spacing w:before="0"/>
      </w:pPr>
      <w:r w:rsidRPr="00923097">
        <w:rPr>
          <w:rFonts w:eastAsia="MS Mincho"/>
          <w:lang w:eastAsia="ja-JP"/>
        </w:rPr>
        <w:t xml:space="preserve"> [Best Practice] Current WCMP suggests these fields may be used to indicate compliance to WCMP. New best practice should be presented.</w:t>
      </w:r>
    </w:p>
    <w:p w:rsidR="00E179C5" w:rsidRPr="00923097" w:rsidRDefault="00E179C5" w:rsidP="00E179C5">
      <w:pPr>
        <w:pStyle w:val="BodyTextNumbered"/>
      </w:pPr>
      <w:proofErr w:type="spellStart"/>
      <w:r w:rsidRPr="00923097">
        <w:t>MD_Metadata.datasetURI</w:t>
      </w:r>
      <w:proofErr w:type="spellEnd"/>
      <w:r w:rsidRPr="00923097">
        <w:t xml:space="preserve"> removed</w:t>
      </w:r>
    </w:p>
    <w:p w:rsidR="00E179C5" w:rsidRPr="00923097" w:rsidRDefault="00E179C5" w:rsidP="0039563F">
      <w:pPr>
        <w:pStyle w:val="BodyTextBullet"/>
        <w:spacing w:before="0"/>
      </w:pPr>
      <w:r w:rsidRPr="00923097">
        <w:rPr>
          <w:rFonts w:eastAsia="MS Mincho"/>
          <w:lang w:eastAsia="ja-JP"/>
        </w:rPr>
        <w:t>ISO says this one is mapped to citation/*/citedResponsibleParty/*/party/*/contactInfo/*/onlineResource</w:t>
      </w:r>
    </w:p>
    <w:p w:rsidR="00E179C5" w:rsidRPr="00923097" w:rsidRDefault="00E179C5" w:rsidP="00E179C5">
      <w:pPr>
        <w:pStyle w:val="BodyTextNumbered"/>
      </w:pPr>
      <w:proofErr w:type="spellStart"/>
      <w:r w:rsidRPr="00923097">
        <w:t>MD_Metadata.locale</w:t>
      </w:r>
      <w:proofErr w:type="spellEnd"/>
      <w:r w:rsidRPr="00923097">
        <w:t xml:space="preserve"> replaced by </w:t>
      </w:r>
      <w:proofErr w:type="spellStart"/>
      <w:r w:rsidRPr="00923097">
        <w:t>MD_Metadata.otherLocale</w:t>
      </w:r>
      <w:proofErr w:type="spellEnd"/>
      <w:r w:rsidRPr="00923097">
        <w:t xml:space="preserve"> (type </w:t>
      </w:r>
      <w:proofErr w:type="spellStart"/>
      <w:r w:rsidRPr="00923097">
        <w:t>PT_Locale</w:t>
      </w:r>
      <w:proofErr w:type="spellEnd"/>
      <w:r w:rsidRPr="00923097">
        <w:t>)</w:t>
      </w:r>
    </w:p>
    <w:p w:rsidR="00E179C5" w:rsidRPr="00923097" w:rsidRDefault="00E179C5" w:rsidP="0039563F">
      <w:pPr>
        <w:pStyle w:val="BodyTextBullet"/>
        <w:spacing w:before="0"/>
      </w:pPr>
      <w:r w:rsidRPr="00923097">
        <w:rPr>
          <w:rFonts w:eastAsia="MS Mincho"/>
          <w:lang w:eastAsia="ja-JP"/>
        </w:rPr>
        <w:t xml:space="preserve"> [Best Practice] new best practice for multilingual metadata should be presented.</w:t>
      </w:r>
    </w:p>
    <w:p w:rsidR="0039563F" w:rsidRPr="00923097" w:rsidRDefault="00E179C5" w:rsidP="0039563F">
      <w:pPr>
        <w:pStyle w:val="BodyTextNumbered"/>
      </w:pPr>
      <w:proofErr w:type="spellStart"/>
      <w:r w:rsidRPr="00923097">
        <w:t>MD_Metadata.distributionInfo</w:t>
      </w:r>
      <w:proofErr w:type="spellEnd"/>
      <w:r w:rsidRPr="00923097">
        <w:t xml:space="preserve"> [0..1] became repeatable [0..*]</w:t>
      </w:r>
    </w:p>
    <w:p w:rsidR="00E179C5" w:rsidRPr="00923097" w:rsidRDefault="00E179C5" w:rsidP="0039563F">
      <w:pPr>
        <w:pStyle w:val="BodyTextNumbered"/>
      </w:pPr>
      <w:r w:rsidRPr="00923097">
        <w:t xml:space="preserve">MD_Format.name, .version, and .specification replaced by </w:t>
      </w:r>
      <w:proofErr w:type="spellStart"/>
      <w:r w:rsidRPr="00923097">
        <w:t>MD_Format.formatSpecificationCitation</w:t>
      </w:r>
      <w:proofErr w:type="spellEnd"/>
      <w:r w:rsidRPr="00923097">
        <w:t xml:space="preserve"> (type </w:t>
      </w:r>
      <w:proofErr w:type="spellStart"/>
      <w:r w:rsidRPr="00923097">
        <w:t>CI_Citation</w:t>
      </w:r>
      <w:proofErr w:type="spellEnd"/>
      <w:r w:rsidRPr="00923097">
        <w:t>)</w:t>
      </w:r>
    </w:p>
    <w:p w:rsidR="0039563F" w:rsidRPr="00923097" w:rsidRDefault="00E179C5" w:rsidP="0039563F">
      <w:pPr>
        <w:pStyle w:val="BodyTextBullet"/>
        <w:spacing w:before="0"/>
      </w:pPr>
      <w:r w:rsidRPr="00923097">
        <w:rPr>
          <w:rFonts w:eastAsia="MS Mincho"/>
          <w:lang w:eastAsia="ja-JP"/>
        </w:rPr>
        <w:t xml:space="preserve">TT-ApMD-2 recommended that all distribution information should be described under </w:t>
      </w:r>
      <w:proofErr w:type="spellStart"/>
      <w:r w:rsidRPr="00923097">
        <w:rPr>
          <w:rFonts w:eastAsia="MS Mincho"/>
          <w:lang w:eastAsia="ja-JP"/>
        </w:rPr>
        <w:t>MD_Distribution.distributor</w:t>
      </w:r>
      <w:proofErr w:type="spellEnd"/>
      <w:r w:rsidRPr="00923097">
        <w:rPr>
          <w:rFonts w:eastAsia="MS Mincho"/>
          <w:lang w:eastAsia="ja-JP"/>
        </w:rPr>
        <w:t xml:space="preserve"> to clarify the responsible party, but now that can also be achieved by repeating </w:t>
      </w:r>
      <w:proofErr w:type="spellStart"/>
      <w:r w:rsidRPr="00923097">
        <w:rPr>
          <w:rFonts w:eastAsia="MS Mincho"/>
          <w:lang w:eastAsia="ja-JP"/>
        </w:rPr>
        <w:t>distributionInfo</w:t>
      </w:r>
      <w:proofErr w:type="spellEnd"/>
      <w:r w:rsidRPr="00923097">
        <w:rPr>
          <w:rFonts w:eastAsia="MS Mincho"/>
          <w:lang w:eastAsia="ja-JP"/>
        </w:rPr>
        <w:t>.</w:t>
      </w:r>
    </w:p>
    <w:p w:rsidR="0039563F" w:rsidRPr="00923097" w:rsidRDefault="00E179C5" w:rsidP="0039563F">
      <w:pPr>
        <w:pStyle w:val="BodyTextBullet"/>
        <w:spacing w:before="0"/>
      </w:pPr>
      <w:r w:rsidRPr="00923097">
        <w:rPr>
          <w:rFonts w:eastAsia="MS Mincho"/>
          <w:lang w:eastAsia="ja-JP"/>
        </w:rPr>
        <w:t xml:space="preserve">[SRU] Current Manual on WIS associates the index “format” to </w:t>
      </w:r>
      <w:proofErr w:type="spellStart"/>
      <w:r w:rsidRPr="00923097">
        <w:rPr>
          <w:rFonts w:eastAsia="MS Mincho"/>
          <w:lang w:eastAsia="ja-JP"/>
        </w:rPr>
        <w:t>distributionFormat</w:t>
      </w:r>
      <w:proofErr w:type="spellEnd"/>
      <w:r w:rsidRPr="00923097">
        <w:rPr>
          <w:rFonts w:eastAsia="MS Mincho"/>
          <w:lang w:eastAsia="ja-JP"/>
        </w:rPr>
        <w:t>/*/name. That is not consistent with TT-ApMD-2 recommendation.  There must be some harmonization.</w:t>
      </w:r>
    </w:p>
    <w:p w:rsidR="0039563F" w:rsidRPr="00923097" w:rsidRDefault="00E179C5" w:rsidP="00E179C5">
      <w:pPr>
        <w:pStyle w:val="BodyTextNumbered"/>
      </w:pPr>
      <w:proofErr w:type="spellStart"/>
      <w:r w:rsidRPr="00923097">
        <w:t>DQ_DataQuality.lineage</w:t>
      </w:r>
      <w:proofErr w:type="spellEnd"/>
      <w:r w:rsidRPr="00923097">
        <w:t xml:space="preserve"> moved to </w:t>
      </w:r>
      <w:proofErr w:type="spellStart"/>
      <w:r w:rsidRPr="00923097">
        <w:t>MD_Metadata.resourceLineage</w:t>
      </w:r>
      <w:proofErr w:type="spellEnd"/>
      <w:r w:rsidRPr="00923097">
        <w:t xml:space="preserve"> (type </w:t>
      </w:r>
      <w:proofErr w:type="spellStart"/>
      <w:r w:rsidRPr="00923097">
        <w:t>LI_Lineage</w:t>
      </w:r>
      <w:proofErr w:type="spellEnd"/>
      <w:r w:rsidRPr="00923097">
        <w:t>)</w:t>
      </w:r>
    </w:p>
    <w:p w:rsidR="0039563F" w:rsidRPr="00923097" w:rsidRDefault="0039563F" w:rsidP="0039563F">
      <w:pPr>
        <w:pStyle w:val="BodyTextBullet"/>
        <w:spacing w:before="0"/>
      </w:pPr>
      <w:r w:rsidRPr="00923097">
        <w:rPr>
          <w:rFonts w:eastAsia="MS Mincho"/>
          <w:lang w:eastAsia="ja-JP"/>
        </w:rPr>
        <w:lastRenderedPageBreak/>
        <w:t xml:space="preserve"> </w:t>
      </w:r>
      <w:r w:rsidR="00E179C5" w:rsidRPr="00923097">
        <w:rPr>
          <w:rFonts w:eastAsia="MS Mincho"/>
          <w:lang w:eastAsia="ja-JP"/>
        </w:rPr>
        <w:t>[User Profile] Lineage can be described without data quality information. Some external profiles (such as INSPIRE IR) mandate the lineage statement.</w:t>
      </w:r>
    </w:p>
    <w:p w:rsidR="0039563F" w:rsidRPr="00923097" w:rsidRDefault="00E179C5" w:rsidP="0039563F">
      <w:pPr>
        <w:pStyle w:val="BodyTextBullet"/>
        <w:spacing w:before="0"/>
      </w:pPr>
      <w:r w:rsidRPr="00923097">
        <w:rPr>
          <w:rFonts w:eastAsia="MS Mincho"/>
          <w:lang w:eastAsia="ja-JP"/>
        </w:rPr>
        <w:t xml:space="preserve">ISO 19157 re-definition of </w:t>
      </w:r>
      <w:proofErr w:type="spellStart"/>
      <w:r w:rsidRPr="00923097">
        <w:rPr>
          <w:rFonts w:eastAsia="MS Mincho"/>
          <w:lang w:eastAsia="ja-JP"/>
        </w:rPr>
        <w:t>DQ_DataQuality</w:t>
      </w:r>
      <w:proofErr w:type="spellEnd"/>
      <w:r w:rsidRPr="00923097">
        <w:rPr>
          <w:rFonts w:eastAsia="MS Mincho"/>
          <w:lang w:eastAsia="ja-JP"/>
        </w:rPr>
        <w:t>:</w:t>
      </w:r>
    </w:p>
    <w:p w:rsidR="0039563F" w:rsidRPr="00923097" w:rsidRDefault="00E179C5" w:rsidP="0039563F">
      <w:pPr>
        <w:pStyle w:val="BodyTextBullet"/>
        <w:spacing w:before="0"/>
      </w:pPr>
      <w:proofErr w:type="spellStart"/>
      <w:r w:rsidRPr="00923097">
        <w:t>DQ_Element</w:t>
      </w:r>
      <w:proofErr w:type="spellEnd"/>
      <w:r w:rsidRPr="00923097">
        <w:t xml:space="preserve"> reorganized. For example, </w:t>
      </w:r>
      <w:proofErr w:type="spellStart"/>
      <w:r w:rsidRPr="00923097">
        <w:t>nameOfMeasure</w:t>
      </w:r>
      <w:proofErr w:type="spellEnd"/>
      <w:r w:rsidRPr="00923097">
        <w:t xml:space="preserve">, </w:t>
      </w:r>
      <w:proofErr w:type="spellStart"/>
      <w:r w:rsidRPr="00923097">
        <w:t>measureIdentification</w:t>
      </w:r>
      <w:proofErr w:type="spellEnd"/>
      <w:r w:rsidRPr="00923097">
        <w:t xml:space="preserve">, and </w:t>
      </w:r>
      <w:proofErr w:type="spellStart"/>
      <w:r w:rsidRPr="00923097">
        <w:t>measureDescription</w:t>
      </w:r>
      <w:proofErr w:type="spellEnd"/>
      <w:r w:rsidRPr="00923097">
        <w:t xml:space="preserve"> are replaced by measure (type </w:t>
      </w:r>
      <w:proofErr w:type="spellStart"/>
      <w:r w:rsidRPr="00923097">
        <w:t>DQ_MeasureReference</w:t>
      </w:r>
      <w:proofErr w:type="spellEnd"/>
      <w:r w:rsidRPr="00923097">
        <w:t>)</w:t>
      </w:r>
    </w:p>
    <w:p w:rsidR="0039563F" w:rsidRPr="00923097" w:rsidRDefault="00E179C5" w:rsidP="0039563F">
      <w:pPr>
        <w:pStyle w:val="BodyTextBullet"/>
        <w:spacing w:before="0"/>
      </w:pPr>
      <w:r w:rsidRPr="00923097">
        <w:rPr>
          <w:rFonts w:eastAsia="MS Mincho"/>
          <w:lang w:eastAsia="ja-JP"/>
        </w:rPr>
        <w:t xml:space="preserve">Subclasses of </w:t>
      </w:r>
      <w:proofErr w:type="spellStart"/>
      <w:r w:rsidRPr="00923097">
        <w:rPr>
          <w:rFonts w:eastAsia="MS Mincho"/>
          <w:lang w:eastAsia="ja-JP"/>
        </w:rPr>
        <w:t>DQ_Elements</w:t>
      </w:r>
      <w:proofErr w:type="spellEnd"/>
      <w:r w:rsidRPr="00923097">
        <w:rPr>
          <w:rFonts w:eastAsia="MS Mincho"/>
          <w:lang w:eastAsia="ja-JP"/>
        </w:rPr>
        <w:t xml:space="preserve"> are added, such as </w:t>
      </w:r>
      <w:proofErr w:type="spellStart"/>
      <w:r w:rsidRPr="00923097">
        <w:rPr>
          <w:rFonts w:eastAsia="MS Mincho"/>
          <w:lang w:eastAsia="ja-JP"/>
        </w:rPr>
        <w:t>DQ_UsabilityElement</w:t>
      </w:r>
      <w:proofErr w:type="spellEnd"/>
      <w:r w:rsidRPr="00923097">
        <w:rPr>
          <w:rFonts w:eastAsia="MS Mincho"/>
          <w:lang w:eastAsia="ja-JP"/>
        </w:rPr>
        <w:t xml:space="preserve">, </w:t>
      </w:r>
      <w:proofErr w:type="spellStart"/>
      <w:r w:rsidRPr="00923097">
        <w:rPr>
          <w:rFonts w:eastAsia="MS Mincho"/>
          <w:lang w:eastAsia="ja-JP"/>
        </w:rPr>
        <w:t>DQ_Confidence</w:t>
      </w:r>
      <w:proofErr w:type="spellEnd"/>
      <w:r w:rsidRPr="00923097">
        <w:rPr>
          <w:rFonts w:eastAsia="MS Mincho"/>
          <w:lang w:eastAsia="ja-JP"/>
        </w:rPr>
        <w:t xml:space="preserve"> or </w:t>
      </w:r>
      <w:proofErr w:type="spellStart"/>
      <w:r w:rsidRPr="00923097">
        <w:rPr>
          <w:rFonts w:eastAsia="MS Mincho"/>
          <w:lang w:eastAsia="ja-JP"/>
        </w:rPr>
        <w:t>DQ_Representativity</w:t>
      </w:r>
      <w:proofErr w:type="spellEnd"/>
      <w:r w:rsidRPr="00923097">
        <w:rPr>
          <w:rFonts w:eastAsia="MS Mincho"/>
          <w:lang w:eastAsia="ja-JP"/>
        </w:rPr>
        <w:t>.</w:t>
      </w:r>
    </w:p>
    <w:p w:rsidR="0039563F" w:rsidRPr="00923097" w:rsidRDefault="00E179C5" w:rsidP="00E179C5">
      <w:pPr>
        <w:pStyle w:val="BodyTextNumbered"/>
      </w:pPr>
      <w:proofErr w:type="spellStart"/>
      <w:r w:rsidRPr="00923097">
        <w:t>LI_Lineage.additionalDocumentation</w:t>
      </w:r>
      <w:proofErr w:type="spellEnd"/>
      <w:r w:rsidRPr="00923097">
        <w:t xml:space="preserve"> and .</w:t>
      </w:r>
      <w:proofErr w:type="spellStart"/>
      <w:r w:rsidRPr="00923097">
        <w:t>sourceMetadata</w:t>
      </w:r>
      <w:proofErr w:type="spellEnd"/>
      <w:r w:rsidRPr="00923097">
        <w:t xml:space="preserve"> added</w:t>
      </w:r>
    </w:p>
    <w:p w:rsidR="0039563F" w:rsidRPr="00923097" w:rsidRDefault="0039563F" w:rsidP="0039563F">
      <w:pPr>
        <w:pStyle w:val="BodyTextBullet"/>
        <w:spacing w:before="0"/>
      </w:pPr>
      <w:r w:rsidRPr="00923097">
        <w:rPr>
          <w:rFonts w:eastAsia="MS Mincho"/>
          <w:lang w:eastAsia="ja-JP"/>
        </w:rPr>
        <w:t xml:space="preserve"> </w:t>
      </w:r>
      <w:r w:rsidR="00E179C5" w:rsidRPr="00923097">
        <w:rPr>
          <w:rFonts w:eastAsia="MS Mincho"/>
          <w:lang w:eastAsia="ja-JP"/>
        </w:rPr>
        <w:t xml:space="preserve">[User Profile] the </w:t>
      </w:r>
      <w:proofErr w:type="spellStart"/>
      <w:r w:rsidR="00E179C5" w:rsidRPr="00923097">
        <w:rPr>
          <w:rFonts w:eastAsia="MS Mincho"/>
          <w:lang w:eastAsia="ja-JP"/>
        </w:rPr>
        <w:t>sourceMetadata</w:t>
      </w:r>
      <w:proofErr w:type="spellEnd"/>
      <w:r w:rsidR="00E179C5" w:rsidRPr="00923097">
        <w:rPr>
          <w:rFonts w:eastAsia="MS Mincho"/>
          <w:lang w:eastAsia="ja-JP"/>
        </w:rPr>
        <w:t xml:space="preserve"> element will be used in the context of Data Citation. There can be demand that WIS can handle this information in the future.</w:t>
      </w:r>
    </w:p>
    <w:p w:rsidR="0039563F" w:rsidRPr="00923097" w:rsidRDefault="00E179C5" w:rsidP="00E179C5">
      <w:pPr>
        <w:pStyle w:val="BodyTextNumbered"/>
      </w:pPr>
      <w:proofErr w:type="spellStart"/>
      <w:r w:rsidRPr="00923097">
        <w:t>MD_Identification.processingLevel</w:t>
      </w:r>
      <w:proofErr w:type="spellEnd"/>
      <w:r w:rsidRPr="00923097">
        <w:t xml:space="preserve"> (type </w:t>
      </w:r>
      <w:proofErr w:type="spellStart"/>
      <w:r w:rsidRPr="00923097">
        <w:t>MD_Identifier</w:t>
      </w:r>
      <w:proofErr w:type="spellEnd"/>
      <w:r w:rsidRPr="00923097">
        <w:t>) added</w:t>
      </w:r>
    </w:p>
    <w:p w:rsidR="0039563F" w:rsidRPr="00923097" w:rsidRDefault="0039563F" w:rsidP="0039563F">
      <w:pPr>
        <w:pStyle w:val="BodyTextBullet"/>
        <w:spacing w:before="0"/>
      </w:pPr>
      <w:r w:rsidRPr="00923097">
        <w:rPr>
          <w:rFonts w:eastAsia="MS Mincho"/>
          <w:lang w:eastAsia="ja-JP"/>
        </w:rPr>
        <w:t xml:space="preserve"> </w:t>
      </w:r>
      <w:r w:rsidR="00E179C5" w:rsidRPr="00923097">
        <w:rPr>
          <w:rFonts w:eastAsia="MS Mincho"/>
          <w:lang w:eastAsia="ja-JP"/>
        </w:rPr>
        <w:t>[User Profile] Some external profiles, especially remote sensing ones are likely to mandate this element.</w:t>
      </w:r>
    </w:p>
    <w:p w:rsidR="0039563F" w:rsidRPr="00923097" w:rsidRDefault="00E179C5" w:rsidP="00E179C5">
      <w:pPr>
        <w:pStyle w:val="BodyTextNumbered"/>
      </w:pPr>
      <w:proofErr w:type="spellStart"/>
      <w:r w:rsidRPr="00923097">
        <w:t>MD_Identification.temporalResolution</w:t>
      </w:r>
      <w:proofErr w:type="spellEnd"/>
      <w:r w:rsidRPr="00923097">
        <w:t xml:space="preserve"> (type </w:t>
      </w:r>
      <w:proofErr w:type="spellStart"/>
      <w:r w:rsidRPr="00923097">
        <w:t>TM_Duration</w:t>
      </w:r>
      <w:proofErr w:type="spellEnd"/>
      <w:r w:rsidRPr="00923097">
        <w:t>) added</w:t>
      </w:r>
    </w:p>
    <w:p w:rsidR="0039563F" w:rsidRPr="00923097" w:rsidRDefault="0039563F" w:rsidP="0039563F">
      <w:pPr>
        <w:pStyle w:val="BodyTextBullet"/>
        <w:spacing w:before="0"/>
      </w:pPr>
      <w:r w:rsidRPr="00923097">
        <w:rPr>
          <w:rFonts w:eastAsia="MS Mincho"/>
          <w:lang w:eastAsia="ja-JP"/>
        </w:rPr>
        <w:t xml:space="preserve"> </w:t>
      </w:r>
      <w:r w:rsidR="00E179C5" w:rsidRPr="00923097">
        <w:rPr>
          <w:rFonts w:eastAsia="MS Mincho"/>
          <w:lang w:eastAsia="ja-JP"/>
        </w:rPr>
        <w:t>[User Profile] Some user community in and around WIS are likely to be interested in this element.</w:t>
      </w:r>
    </w:p>
    <w:p w:rsidR="0039563F" w:rsidRPr="00923097" w:rsidRDefault="00E179C5" w:rsidP="00E179C5">
      <w:pPr>
        <w:pStyle w:val="BodyTextNumbered"/>
      </w:pPr>
      <w:proofErr w:type="spellStart"/>
      <w:r w:rsidRPr="00923097">
        <w:t>MD_Keywords.keywordClass</w:t>
      </w:r>
      <w:proofErr w:type="spellEnd"/>
      <w:r w:rsidRPr="00923097">
        <w:t xml:space="preserve"> (type </w:t>
      </w:r>
      <w:proofErr w:type="spellStart"/>
      <w:r w:rsidRPr="00923097">
        <w:t>MD_KeywordClass</w:t>
      </w:r>
      <w:proofErr w:type="spellEnd"/>
      <w:r w:rsidRPr="00923097">
        <w:t>) added</w:t>
      </w:r>
    </w:p>
    <w:p w:rsidR="0039563F" w:rsidRPr="00923097" w:rsidRDefault="0039563F" w:rsidP="0039563F">
      <w:pPr>
        <w:pStyle w:val="BodyTextBullet"/>
        <w:spacing w:before="0"/>
      </w:pPr>
      <w:r w:rsidRPr="00923097">
        <w:rPr>
          <w:rFonts w:eastAsia="MS Mincho"/>
          <w:lang w:eastAsia="ja-JP"/>
        </w:rPr>
        <w:t xml:space="preserve"> </w:t>
      </w:r>
      <w:r w:rsidR="00E179C5" w:rsidRPr="00923097">
        <w:rPr>
          <w:rFonts w:eastAsia="MS Mincho"/>
          <w:lang w:eastAsia="ja-JP"/>
        </w:rPr>
        <w:t>[Best Practice] ISO says this new element allows unambiguous specification of keywords from ontologies. Study of practical use and best practice are expected.</w:t>
      </w:r>
    </w:p>
    <w:p w:rsidR="0039563F" w:rsidRPr="00923097" w:rsidRDefault="00E179C5" w:rsidP="00E179C5">
      <w:pPr>
        <w:pStyle w:val="BodyTextNumbered"/>
      </w:pPr>
      <w:proofErr w:type="spellStart"/>
      <w:r w:rsidRPr="00923097">
        <w:t>MD_AggregateInformation</w:t>
      </w:r>
      <w:proofErr w:type="spellEnd"/>
      <w:r w:rsidRPr="00923097">
        <w:t xml:space="preserve"> replaced by </w:t>
      </w:r>
      <w:proofErr w:type="spellStart"/>
      <w:r w:rsidRPr="00923097">
        <w:t>MD_AssociatedResource</w:t>
      </w:r>
      <w:proofErr w:type="spellEnd"/>
    </w:p>
    <w:p w:rsidR="0039563F" w:rsidRPr="00923097" w:rsidRDefault="0039563F" w:rsidP="0039563F">
      <w:pPr>
        <w:pStyle w:val="BodyTextBullet"/>
        <w:spacing w:before="0"/>
      </w:pPr>
      <w:r w:rsidRPr="00923097">
        <w:rPr>
          <w:rFonts w:eastAsia="MS Mincho"/>
          <w:lang w:eastAsia="ja-JP"/>
        </w:rPr>
        <w:t xml:space="preserve"> </w:t>
      </w:r>
      <w:r w:rsidR="00E179C5" w:rsidRPr="00923097">
        <w:rPr>
          <w:rFonts w:eastAsia="MS Mincho"/>
          <w:lang w:eastAsia="ja-JP"/>
        </w:rPr>
        <w:t>[Best Practice] The name and structure were changed for clarification of the role. There is constant demand to represent the relation between metadata records for different level of granularity. Study of practical use is expected.</w:t>
      </w:r>
    </w:p>
    <w:p w:rsidR="0039563F" w:rsidRPr="00923097" w:rsidRDefault="00E179C5" w:rsidP="00E179C5">
      <w:pPr>
        <w:pStyle w:val="BodyTextNumbered"/>
      </w:pPr>
      <w:proofErr w:type="spellStart"/>
      <w:r w:rsidRPr="00923097">
        <w:t>MD_Constraints.reference</w:t>
      </w:r>
      <w:proofErr w:type="spellEnd"/>
      <w:r w:rsidRPr="00923097">
        <w:t xml:space="preserve"> (type </w:t>
      </w:r>
      <w:proofErr w:type="spellStart"/>
      <w:r w:rsidRPr="00923097">
        <w:t>CI_Citation</w:t>
      </w:r>
      <w:proofErr w:type="spellEnd"/>
      <w:r w:rsidRPr="00923097">
        <w:t>) added</w:t>
      </w:r>
    </w:p>
    <w:p w:rsidR="0039563F" w:rsidRPr="00923097" w:rsidRDefault="00E179C5" w:rsidP="00E179C5">
      <w:pPr>
        <w:pStyle w:val="BodyTextNumbered"/>
      </w:pPr>
      <w:proofErr w:type="spellStart"/>
      <w:r w:rsidRPr="00923097">
        <w:rPr>
          <w:rFonts w:eastAsia="MS Mincho"/>
          <w:lang w:eastAsia="ja-JP"/>
        </w:rPr>
        <w:t>RS_Identifier</w:t>
      </w:r>
      <w:proofErr w:type="spellEnd"/>
      <w:r w:rsidRPr="00923097">
        <w:rPr>
          <w:rFonts w:eastAsia="MS Mincho"/>
          <w:lang w:eastAsia="ja-JP"/>
        </w:rPr>
        <w:t xml:space="preserve"> removed, because </w:t>
      </w:r>
      <w:proofErr w:type="spellStart"/>
      <w:r w:rsidRPr="00923097">
        <w:rPr>
          <w:rFonts w:eastAsia="MS Mincho"/>
          <w:lang w:eastAsia="ja-JP"/>
        </w:rPr>
        <w:t>MD_Identifier</w:t>
      </w:r>
      <w:proofErr w:type="spellEnd"/>
      <w:r w:rsidRPr="00923097">
        <w:rPr>
          <w:rFonts w:eastAsia="MS Mincho"/>
          <w:lang w:eastAsia="ja-JP"/>
        </w:rPr>
        <w:t xml:space="preserve"> was extended to have the same content</w:t>
      </w:r>
    </w:p>
    <w:p w:rsidR="0039563F" w:rsidRPr="00923097" w:rsidRDefault="00E179C5" w:rsidP="00E179C5">
      <w:pPr>
        <w:pStyle w:val="BodyTextNumbered"/>
      </w:pPr>
      <w:proofErr w:type="spellStart"/>
      <w:r w:rsidRPr="00923097">
        <w:rPr>
          <w:rFonts w:eastAsia="MS Mincho"/>
          <w:lang w:eastAsia="ja-JP"/>
        </w:rPr>
        <w:t>MD_DigitalTransferOptions.transferFrequency</w:t>
      </w:r>
      <w:proofErr w:type="spellEnd"/>
      <w:r w:rsidRPr="00923097">
        <w:rPr>
          <w:rFonts w:eastAsia="MS Mincho"/>
          <w:lang w:eastAsia="ja-JP"/>
        </w:rPr>
        <w:t xml:space="preserve"> (type </w:t>
      </w:r>
      <w:proofErr w:type="spellStart"/>
      <w:r w:rsidRPr="00923097">
        <w:rPr>
          <w:rFonts w:eastAsia="MS Mincho"/>
          <w:lang w:eastAsia="ja-JP"/>
        </w:rPr>
        <w:t>TM_PeriodDuration</w:t>
      </w:r>
      <w:proofErr w:type="spellEnd"/>
      <w:r w:rsidRPr="00923097">
        <w:rPr>
          <w:rFonts w:eastAsia="MS Mincho"/>
          <w:lang w:eastAsia="ja-JP"/>
        </w:rPr>
        <w:t>) added</w:t>
      </w:r>
    </w:p>
    <w:p w:rsidR="00E179C5" w:rsidRPr="00923097" w:rsidRDefault="0039563F" w:rsidP="0039563F">
      <w:pPr>
        <w:pStyle w:val="BodyTextBullet"/>
        <w:spacing w:before="0"/>
      </w:pPr>
      <w:r w:rsidRPr="00923097">
        <w:rPr>
          <w:rFonts w:eastAsia="MS Mincho"/>
          <w:lang w:eastAsia="ja-JP"/>
        </w:rPr>
        <w:t xml:space="preserve"> </w:t>
      </w:r>
      <w:r w:rsidR="00E179C5" w:rsidRPr="00923097">
        <w:rPr>
          <w:rFonts w:eastAsia="MS Mincho"/>
          <w:lang w:eastAsia="ja-JP"/>
        </w:rPr>
        <w:t>[User Profile] Some user community in and around WIS are likely to be interested in this element.</w:t>
      </w:r>
    </w:p>
    <w:p w:rsidR="00E179C5" w:rsidRPr="00E179C5" w:rsidRDefault="00E179C5" w:rsidP="00E179C5">
      <w:pPr>
        <w:pStyle w:val="BodyTextNumbered"/>
        <w:numPr>
          <w:ilvl w:val="0"/>
          <w:numId w:val="0"/>
        </w:numPr>
        <w:tabs>
          <w:tab w:val="clear" w:pos="1134"/>
        </w:tabs>
        <w:spacing w:before="0"/>
        <w:ind w:left="360" w:hanging="360"/>
      </w:pPr>
    </w:p>
    <w:sectPr w:rsidR="00E179C5" w:rsidRPr="00E179C5" w:rsidSect="00B06B68">
      <w:type w:val="continuous"/>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837" w:rsidRDefault="00D31837">
      <w:r>
        <w:separator/>
      </w:r>
    </w:p>
    <w:p w:rsidR="00D31837" w:rsidRDefault="00D31837"/>
    <w:p w:rsidR="00D31837" w:rsidRDefault="00D31837"/>
  </w:endnote>
  <w:endnote w:type="continuationSeparator" w:id="0">
    <w:p w:rsidR="00D31837" w:rsidRDefault="00D31837">
      <w:r>
        <w:continuationSeparator/>
      </w:r>
    </w:p>
    <w:p w:rsidR="00D31837" w:rsidRDefault="00D31837"/>
    <w:p w:rsidR="00D31837" w:rsidRDefault="00D31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837" w:rsidRDefault="00D31837">
      <w:r>
        <w:separator/>
      </w:r>
    </w:p>
  </w:footnote>
  <w:footnote w:type="continuationSeparator" w:id="0">
    <w:p w:rsidR="00D31837" w:rsidRDefault="00D31837">
      <w:r>
        <w:continuationSeparator/>
      </w:r>
    </w:p>
    <w:p w:rsidR="00D31837" w:rsidRDefault="00D31837"/>
    <w:p w:rsidR="00D31837" w:rsidRDefault="00D318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2A" w:rsidRDefault="00A14FA1" w:rsidP="00A345C2">
    <w:pPr>
      <w:pStyle w:val="Header"/>
    </w:pPr>
    <w:r>
      <w:t xml:space="preserve">IPET-MDRD-4/Doc </w:t>
    </w:r>
    <w:r w:rsidR="002C7BA9" w:rsidRPr="00923097">
      <w:rPr>
        <w:rFonts w:eastAsia="MS Mincho" w:hint="eastAsia"/>
        <w:lang w:eastAsia="ja-JP"/>
      </w:rPr>
      <w:t>02</w:t>
    </w:r>
    <w:r w:rsidRPr="00923097">
      <w:t>.</w:t>
    </w:r>
    <w:r w:rsidR="002C7BA9" w:rsidRPr="00923097">
      <w:rPr>
        <w:rFonts w:eastAsia="MS Mincho" w:hint="eastAsia"/>
        <w:lang w:eastAsia="ja-JP"/>
      </w:rPr>
      <w:t>0</w:t>
    </w:r>
    <w:r w:rsidR="00A345C2">
      <w:rPr>
        <w:rFonts w:eastAsia="MS Mincho"/>
        <w:lang w:eastAsia="ja-JP"/>
      </w:rPr>
      <w:t>1</w:t>
    </w:r>
    <w:r w:rsidR="002C7BA9" w:rsidRPr="00923097">
      <w:t>(</w:t>
    </w:r>
    <w:r w:rsidR="002C7BA9" w:rsidRPr="00923097">
      <w:rPr>
        <w:rFonts w:eastAsia="MS Mincho" w:hint="eastAsia"/>
        <w:lang w:eastAsia="ja-JP"/>
      </w:rPr>
      <w:t>1</w:t>
    </w:r>
    <w:r w:rsidRPr="00923097">
      <w:t>)</w:t>
    </w:r>
    <w:r w:rsidR="0020095E" w:rsidRPr="00C2459D">
      <w:t xml:space="preserve"> p. </w:t>
    </w:r>
    <w:r w:rsidR="0020095E" w:rsidRPr="00C2459D">
      <w:rPr>
        <w:rStyle w:val="PageNumber"/>
      </w:rPr>
      <w:fldChar w:fldCharType="begin"/>
    </w:r>
    <w:r w:rsidR="0020095E" w:rsidRPr="00C2459D">
      <w:rPr>
        <w:rStyle w:val="PageNumber"/>
      </w:rPr>
      <w:instrText xml:space="preserve"> PAGE </w:instrText>
    </w:r>
    <w:r w:rsidR="0020095E" w:rsidRPr="00C2459D">
      <w:rPr>
        <w:rStyle w:val="PageNumber"/>
      </w:rPr>
      <w:fldChar w:fldCharType="separate"/>
    </w:r>
    <w:r w:rsidR="00A345C2">
      <w:rPr>
        <w:rStyle w:val="PageNumber"/>
        <w:noProof/>
      </w:rPr>
      <w:t>8</w:t>
    </w:r>
    <w:r w:rsidR="0020095E" w:rsidRPr="00C2459D">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02F0C"/>
    <w:multiLevelType w:val="multilevel"/>
    <w:tmpl w:val="A9C22106"/>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
    <w:nsid w:val="22461ADF"/>
    <w:multiLevelType w:val="multilevel"/>
    <w:tmpl w:val="01BAA4E2"/>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2">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4">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59C2CE7"/>
    <w:multiLevelType w:val="multilevel"/>
    <w:tmpl w:val="0409001F"/>
    <w:styleLink w:val="111111"/>
    <w:lvl w:ilvl="0">
      <w:start w:val="1"/>
      <w:numFmt w:val="decimal"/>
      <w:lvlText w:val="%1."/>
      <w:lvlJc w:val="left"/>
      <w:pPr>
        <w:tabs>
          <w:tab w:val="num" w:pos="1429"/>
        </w:tabs>
        <w:ind w:left="1069"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
    <w:nsid w:val="7DB31E2E"/>
    <w:multiLevelType w:val="multilevel"/>
    <w:tmpl w:val="5A1AF6EE"/>
    <w:lvl w:ilvl="0">
      <w:start w:val="1"/>
      <w:numFmt w:val="decimal"/>
      <w:pStyle w:val="BodyTextNumbered"/>
      <w:lvlText w:val="%1."/>
      <w:lvlJc w:val="left"/>
      <w:pPr>
        <w:tabs>
          <w:tab w:val="num" w:pos="720"/>
        </w:tabs>
        <w:ind w:left="360" w:hanging="360"/>
      </w:pPr>
      <w:rPr>
        <w:rFonts w:hint="eastAsia"/>
      </w:rPr>
    </w:lvl>
    <w:lvl w:ilvl="1">
      <w:start w:val="1"/>
      <w:numFmt w:val="decimal"/>
      <w:lvlText w:val="%1.%2."/>
      <w:lvlJc w:val="left"/>
      <w:pPr>
        <w:tabs>
          <w:tab w:val="num" w:pos="1440"/>
        </w:tabs>
        <w:ind w:left="792" w:hanging="432"/>
      </w:pPr>
      <w:rPr>
        <w:rFonts w:hint="eastAsia"/>
      </w:rPr>
    </w:lvl>
    <w:lvl w:ilvl="2">
      <w:start w:val="1"/>
      <w:numFmt w:val="decimal"/>
      <w:lvlText w:val="%1.%2.%3."/>
      <w:lvlJc w:val="left"/>
      <w:pPr>
        <w:tabs>
          <w:tab w:val="num" w:pos="2160"/>
        </w:tabs>
        <w:ind w:left="1224" w:hanging="504"/>
      </w:pPr>
      <w:rPr>
        <w:rFonts w:hint="eastAsia"/>
      </w:rPr>
    </w:lvl>
    <w:lvl w:ilvl="3">
      <w:start w:val="1"/>
      <w:numFmt w:val="decimal"/>
      <w:lvlText w:val="%1.%2.%3.%4."/>
      <w:lvlJc w:val="left"/>
      <w:pPr>
        <w:tabs>
          <w:tab w:val="num" w:pos="2880"/>
        </w:tabs>
        <w:ind w:left="1728" w:hanging="648"/>
      </w:pPr>
      <w:rPr>
        <w:rFonts w:hint="eastAsia"/>
      </w:rPr>
    </w:lvl>
    <w:lvl w:ilvl="4">
      <w:start w:val="1"/>
      <w:numFmt w:val="decimal"/>
      <w:lvlText w:val="%1.%2.%3.%4.%5."/>
      <w:lvlJc w:val="left"/>
      <w:pPr>
        <w:tabs>
          <w:tab w:val="num" w:pos="3600"/>
        </w:tabs>
        <w:ind w:left="2232" w:hanging="792"/>
      </w:pPr>
      <w:rPr>
        <w:rFonts w:hint="eastAsia"/>
      </w:rPr>
    </w:lvl>
    <w:lvl w:ilvl="5">
      <w:start w:val="1"/>
      <w:numFmt w:val="decimal"/>
      <w:lvlText w:val="%1.%2.%3.%4.%5.%6."/>
      <w:lvlJc w:val="left"/>
      <w:pPr>
        <w:tabs>
          <w:tab w:val="num" w:pos="4320"/>
        </w:tabs>
        <w:ind w:left="2736" w:hanging="936"/>
      </w:pPr>
      <w:rPr>
        <w:rFonts w:hint="eastAsia"/>
      </w:rPr>
    </w:lvl>
    <w:lvl w:ilvl="6">
      <w:start w:val="1"/>
      <w:numFmt w:val="decimal"/>
      <w:lvlText w:val="%1.%2.%3.%4.%5.%6.%7."/>
      <w:lvlJc w:val="left"/>
      <w:pPr>
        <w:tabs>
          <w:tab w:val="num" w:pos="5040"/>
        </w:tabs>
        <w:ind w:left="3240" w:hanging="1080"/>
      </w:pPr>
      <w:rPr>
        <w:rFonts w:hint="eastAsia"/>
      </w:rPr>
    </w:lvl>
    <w:lvl w:ilvl="7">
      <w:start w:val="1"/>
      <w:numFmt w:val="decimal"/>
      <w:lvlText w:val="%1.%2.%3.%4.%5.%6.%7.%8."/>
      <w:lvlJc w:val="left"/>
      <w:pPr>
        <w:tabs>
          <w:tab w:val="num" w:pos="5760"/>
        </w:tabs>
        <w:ind w:left="3744" w:hanging="1224"/>
      </w:pPr>
      <w:rPr>
        <w:rFonts w:hint="eastAsia"/>
      </w:rPr>
    </w:lvl>
    <w:lvl w:ilvl="8">
      <w:start w:val="1"/>
      <w:numFmt w:val="decimal"/>
      <w:lvlText w:val="%1.%2.%3.%4.%5.%6.%7.%8.%9."/>
      <w:lvlJc w:val="left"/>
      <w:pPr>
        <w:tabs>
          <w:tab w:val="num" w:pos="6480"/>
        </w:tabs>
        <w:ind w:left="4320" w:hanging="1440"/>
      </w:pPr>
      <w:rPr>
        <w:rFonts w:hint="eastAsia"/>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6"/>
    <w:lvlOverride w:ilvl="0">
      <w:lvl w:ilvl="0">
        <w:start w:val="1"/>
        <w:numFmt w:val="decimal"/>
        <w:pStyle w:val="BodyTextNumbered"/>
        <w:lvlText w:val="%1."/>
        <w:lvlJc w:val="left"/>
        <w:pPr>
          <w:tabs>
            <w:tab w:val="num" w:pos="1429"/>
          </w:tabs>
          <w:ind w:left="1069" w:hanging="360"/>
        </w:pPr>
        <w:rPr>
          <w:rFonts w:hint="eastAsia"/>
        </w:rPr>
      </w:lvl>
    </w:lvlOverride>
    <w:lvlOverride w:ilvl="1">
      <w:lvl w:ilvl="1">
        <w:start w:val="1"/>
        <w:numFmt w:val="decimal"/>
        <w:lvlText w:val="%1.%2."/>
        <w:lvlJc w:val="left"/>
        <w:pPr>
          <w:tabs>
            <w:tab w:val="num" w:pos="1440"/>
          </w:tabs>
          <w:ind w:left="792" w:hanging="432"/>
        </w:pPr>
        <w:rPr>
          <w:rFonts w:hint="eastAsia"/>
        </w:rPr>
      </w:lvl>
    </w:lvlOverride>
    <w:lvlOverride w:ilvl="2">
      <w:lvl w:ilvl="2">
        <w:start w:val="1"/>
        <w:numFmt w:val="decimal"/>
        <w:lvlText w:val="%1.%2.%3."/>
        <w:lvlJc w:val="left"/>
        <w:pPr>
          <w:tabs>
            <w:tab w:val="num" w:pos="2160"/>
          </w:tabs>
          <w:ind w:left="1224" w:hanging="504"/>
        </w:pPr>
        <w:rPr>
          <w:rFonts w:hint="eastAsia"/>
        </w:rPr>
      </w:lvl>
    </w:lvlOverride>
    <w:lvlOverride w:ilvl="3">
      <w:lvl w:ilvl="3">
        <w:start w:val="1"/>
        <w:numFmt w:val="decimal"/>
        <w:lvlText w:val="%1.%2.%3.%4."/>
        <w:lvlJc w:val="left"/>
        <w:pPr>
          <w:tabs>
            <w:tab w:val="num" w:pos="2880"/>
          </w:tabs>
          <w:ind w:left="1728" w:hanging="648"/>
        </w:pPr>
        <w:rPr>
          <w:rFonts w:hint="eastAsia"/>
        </w:rPr>
      </w:lvl>
    </w:lvlOverride>
    <w:lvlOverride w:ilvl="4">
      <w:lvl w:ilvl="4">
        <w:start w:val="1"/>
        <w:numFmt w:val="decimal"/>
        <w:lvlText w:val="%1.%2.%3.%4.%5."/>
        <w:lvlJc w:val="left"/>
        <w:pPr>
          <w:tabs>
            <w:tab w:val="num" w:pos="3600"/>
          </w:tabs>
          <w:ind w:left="2232" w:hanging="792"/>
        </w:pPr>
        <w:rPr>
          <w:rFonts w:hint="eastAsia"/>
        </w:rPr>
      </w:lvl>
    </w:lvlOverride>
    <w:lvlOverride w:ilvl="5">
      <w:lvl w:ilvl="5">
        <w:start w:val="1"/>
        <w:numFmt w:val="decimal"/>
        <w:lvlText w:val="%1.%2.%3.%4.%5.%6."/>
        <w:lvlJc w:val="left"/>
        <w:pPr>
          <w:tabs>
            <w:tab w:val="num" w:pos="4320"/>
          </w:tabs>
          <w:ind w:left="2736" w:hanging="936"/>
        </w:pPr>
        <w:rPr>
          <w:rFonts w:hint="eastAsia"/>
        </w:rPr>
      </w:lvl>
    </w:lvlOverride>
    <w:lvlOverride w:ilvl="6">
      <w:lvl w:ilvl="6">
        <w:start w:val="1"/>
        <w:numFmt w:val="decimal"/>
        <w:lvlText w:val="%1.%2.%3.%4.%5.%6.%7."/>
        <w:lvlJc w:val="left"/>
        <w:pPr>
          <w:tabs>
            <w:tab w:val="num" w:pos="5040"/>
          </w:tabs>
          <w:ind w:left="3240" w:hanging="1080"/>
        </w:pPr>
        <w:rPr>
          <w:rFonts w:hint="eastAsia"/>
        </w:rPr>
      </w:lvl>
    </w:lvlOverride>
    <w:lvlOverride w:ilvl="7">
      <w:lvl w:ilvl="7">
        <w:start w:val="1"/>
        <w:numFmt w:val="decimal"/>
        <w:lvlText w:val="%1.%2.%3.%4.%5.%6.%7.%8."/>
        <w:lvlJc w:val="left"/>
        <w:pPr>
          <w:tabs>
            <w:tab w:val="num" w:pos="5760"/>
          </w:tabs>
          <w:ind w:left="3744" w:hanging="1224"/>
        </w:pPr>
        <w:rPr>
          <w:rFonts w:hint="eastAsia"/>
        </w:rPr>
      </w:lvl>
    </w:lvlOverride>
    <w:lvlOverride w:ilvl="8">
      <w:lvl w:ilvl="8">
        <w:start w:val="1"/>
        <w:numFmt w:val="decimal"/>
        <w:lvlText w:val="%1.%2.%3.%4.%5.%6.%7.%8.%9."/>
        <w:lvlJc w:val="left"/>
        <w:pPr>
          <w:tabs>
            <w:tab w:val="num" w:pos="6480"/>
          </w:tabs>
          <w:ind w:left="4320" w:hanging="1440"/>
        </w:pPr>
        <w:rPr>
          <w:rFonts w:hint="eastAsia"/>
        </w:rPr>
      </w:lvl>
    </w:lvlOverride>
  </w:num>
  <w:num w:numId="8">
    <w:abstractNumId w:val="5"/>
  </w:num>
  <w:num w:numId="9">
    <w:abstractNumId w:val="6"/>
    <w:lvlOverride w:ilvl="0">
      <w:startOverride w:val="41"/>
      <w:lvl w:ilvl="0">
        <w:start w:val="41"/>
        <w:numFmt w:val="decimal"/>
        <w:pStyle w:val="BodyTextNumbered"/>
        <w:lvlText w:val="%1."/>
        <w:lvlJc w:val="left"/>
        <w:pPr>
          <w:tabs>
            <w:tab w:val="num" w:pos="1429"/>
          </w:tabs>
          <w:ind w:left="1069" w:hanging="360"/>
        </w:pPr>
        <w:rPr>
          <w:rFonts w:hint="eastAsia"/>
        </w:rPr>
      </w:lvl>
    </w:lvlOverride>
    <w:lvlOverride w:ilvl="1">
      <w:startOverride w:val="1"/>
      <w:lvl w:ilvl="1">
        <w:start w:val="1"/>
        <w:numFmt w:val="decimal"/>
        <w:lvlText w:val="%1.%2."/>
        <w:lvlJc w:val="left"/>
        <w:pPr>
          <w:tabs>
            <w:tab w:val="num" w:pos="1440"/>
          </w:tabs>
          <w:ind w:left="792" w:hanging="432"/>
        </w:pPr>
        <w:rPr>
          <w:rFonts w:hint="eastAsia"/>
        </w:rPr>
      </w:lvl>
    </w:lvlOverride>
    <w:lvlOverride w:ilvl="2">
      <w:startOverride w:val="1"/>
      <w:lvl w:ilvl="2">
        <w:start w:val="1"/>
        <w:numFmt w:val="decimal"/>
        <w:lvlText w:val="%1.%2.%3."/>
        <w:lvlJc w:val="left"/>
        <w:pPr>
          <w:tabs>
            <w:tab w:val="num" w:pos="2160"/>
          </w:tabs>
          <w:ind w:left="1224" w:hanging="504"/>
        </w:pPr>
        <w:rPr>
          <w:rFonts w:hint="eastAsia"/>
        </w:rPr>
      </w:lvl>
    </w:lvlOverride>
    <w:lvlOverride w:ilvl="3">
      <w:startOverride w:val="1"/>
      <w:lvl w:ilvl="3">
        <w:start w:val="1"/>
        <w:numFmt w:val="decimal"/>
        <w:lvlText w:val="%1.%2.%3.%4."/>
        <w:lvlJc w:val="left"/>
        <w:pPr>
          <w:tabs>
            <w:tab w:val="num" w:pos="2880"/>
          </w:tabs>
          <w:ind w:left="1728" w:hanging="648"/>
        </w:pPr>
        <w:rPr>
          <w:rFonts w:hint="eastAsia"/>
        </w:rPr>
      </w:lvl>
    </w:lvlOverride>
    <w:lvlOverride w:ilvl="4">
      <w:startOverride w:val="1"/>
      <w:lvl w:ilvl="4">
        <w:start w:val="1"/>
        <w:numFmt w:val="decimal"/>
        <w:lvlText w:val="%1.%2.%3.%4.%5."/>
        <w:lvlJc w:val="left"/>
        <w:pPr>
          <w:tabs>
            <w:tab w:val="num" w:pos="3600"/>
          </w:tabs>
          <w:ind w:left="2232" w:hanging="792"/>
        </w:pPr>
        <w:rPr>
          <w:rFonts w:hint="eastAsia"/>
        </w:rPr>
      </w:lvl>
    </w:lvlOverride>
    <w:lvlOverride w:ilvl="5">
      <w:startOverride w:val="1"/>
      <w:lvl w:ilvl="5">
        <w:start w:val="1"/>
        <w:numFmt w:val="decimal"/>
        <w:lvlText w:val="%1.%2.%3.%4.%5.%6."/>
        <w:lvlJc w:val="left"/>
        <w:pPr>
          <w:tabs>
            <w:tab w:val="num" w:pos="4320"/>
          </w:tabs>
          <w:ind w:left="2736" w:hanging="936"/>
        </w:pPr>
        <w:rPr>
          <w:rFonts w:hint="eastAsia"/>
        </w:rPr>
      </w:lvl>
    </w:lvlOverride>
    <w:lvlOverride w:ilvl="6">
      <w:startOverride w:val="1"/>
      <w:lvl w:ilvl="6">
        <w:start w:val="1"/>
        <w:numFmt w:val="decimal"/>
        <w:lvlText w:val="%1.%2.%3.%4.%5.%6.%7."/>
        <w:lvlJc w:val="left"/>
        <w:pPr>
          <w:tabs>
            <w:tab w:val="num" w:pos="5040"/>
          </w:tabs>
          <w:ind w:left="3240" w:hanging="1080"/>
        </w:pPr>
        <w:rPr>
          <w:rFonts w:hint="eastAsia"/>
        </w:rPr>
      </w:lvl>
    </w:lvlOverride>
    <w:lvlOverride w:ilvl="7">
      <w:startOverride w:val="1"/>
      <w:lvl w:ilvl="7">
        <w:start w:val="1"/>
        <w:numFmt w:val="decimal"/>
        <w:lvlText w:val="%1.%2.%3.%4.%5.%6.%7.%8."/>
        <w:lvlJc w:val="left"/>
        <w:pPr>
          <w:tabs>
            <w:tab w:val="num" w:pos="5760"/>
          </w:tabs>
          <w:ind w:left="3744" w:hanging="1224"/>
        </w:pPr>
        <w:rPr>
          <w:rFonts w:hint="eastAsia"/>
        </w:rPr>
      </w:lvl>
    </w:lvlOverride>
    <w:lvlOverride w:ilvl="8">
      <w:startOverride w:val="1"/>
      <w:lvl w:ilvl="8">
        <w:start w:val="1"/>
        <w:numFmt w:val="decimal"/>
        <w:lvlText w:val="%1.%2.%3.%4.%5.%6.%7.%8.%9."/>
        <w:lvlJc w:val="left"/>
        <w:pPr>
          <w:tabs>
            <w:tab w:val="num" w:pos="6480"/>
          </w:tabs>
          <w:ind w:left="4320" w:hanging="1440"/>
        </w:pPr>
        <w:rPr>
          <w:rFonts w:hint="eastAsia"/>
        </w:rPr>
      </w:lvl>
    </w:lvlOverride>
  </w:num>
  <w:num w:numId="10">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 w:ilvl="0">
        <w:start w:val="1"/>
        <w:numFmt w:val="decimal"/>
        <w:pStyle w:val="BodyTextNumbered"/>
        <w:lvlText w:val="%1."/>
        <w:lvlJc w:val="left"/>
        <w:pPr>
          <w:tabs>
            <w:tab w:val="num" w:pos="1429"/>
          </w:tabs>
          <w:ind w:left="1069" w:hanging="360"/>
        </w:pPr>
        <w:rPr>
          <w:rFonts w:hint="eastAsia"/>
        </w:rPr>
      </w:lvl>
    </w:lvlOverride>
    <w:lvlOverride w:ilvl="1">
      <w:startOverride w:val="1"/>
      <w:lvl w:ilvl="1">
        <w:start w:val="1"/>
        <w:numFmt w:val="decimal"/>
        <w:lvlText w:val="%1.%2."/>
        <w:lvlJc w:val="left"/>
        <w:pPr>
          <w:tabs>
            <w:tab w:val="num" w:pos="1440"/>
          </w:tabs>
          <w:ind w:left="792" w:hanging="432"/>
        </w:pPr>
        <w:rPr>
          <w:rFonts w:hint="eastAsia"/>
        </w:rPr>
      </w:lvl>
    </w:lvlOverride>
    <w:lvlOverride w:ilvl="2">
      <w:startOverride w:val="1"/>
      <w:lvl w:ilvl="2">
        <w:start w:val="1"/>
        <w:numFmt w:val="decimal"/>
        <w:lvlText w:val="%1.%2.%3."/>
        <w:lvlJc w:val="left"/>
        <w:pPr>
          <w:tabs>
            <w:tab w:val="num" w:pos="2160"/>
          </w:tabs>
          <w:ind w:left="1224" w:hanging="504"/>
        </w:pPr>
        <w:rPr>
          <w:rFonts w:hint="eastAsia"/>
        </w:rPr>
      </w:lvl>
    </w:lvlOverride>
    <w:lvlOverride w:ilvl="3">
      <w:startOverride w:val="1"/>
      <w:lvl w:ilvl="3">
        <w:start w:val="1"/>
        <w:numFmt w:val="decimal"/>
        <w:lvlText w:val="%1.%2.%3.%4."/>
        <w:lvlJc w:val="left"/>
        <w:pPr>
          <w:tabs>
            <w:tab w:val="num" w:pos="2880"/>
          </w:tabs>
          <w:ind w:left="1728" w:hanging="648"/>
        </w:pPr>
        <w:rPr>
          <w:rFonts w:hint="eastAsia"/>
        </w:rPr>
      </w:lvl>
    </w:lvlOverride>
    <w:lvlOverride w:ilvl="4">
      <w:startOverride w:val="1"/>
      <w:lvl w:ilvl="4">
        <w:start w:val="1"/>
        <w:numFmt w:val="decimal"/>
        <w:lvlText w:val="%1.%2.%3.%4.%5."/>
        <w:lvlJc w:val="left"/>
        <w:pPr>
          <w:tabs>
            <w:tab w:val="num" w:pos="3600"/>
          </w:tabs>
          <w:ind w:left="2232" w:hanging="792"/>
        </w:pPr>
        <w:rPr>
          <w:rFonts w:hint="eastAsia"/>
        </w:rPr>
      </w:lvl>
    </w:lvlOverride>
    <w:lvlOverride w:ilvl="5">
      <w:startOverride w:val="1"/>
      <w:lvl w:ilvl="5">
        <w:start w:val="1"/>
        <w:numFmt w:val="decimal"/>
        <w:lvlText w:val="%1.%2.%3.%4.%5.%6."/>
        <w:lvlJc w:val="left"/>
        <w:pPr>
          <w:tabs>
            <w:tab w:val="num" w:pos="4320"/>
          </w:tabs>
          <w:ind w:left="2736" w:hanging="936"/>
        </w:pPr>
        <w:rPr>
          <w:rFonts w:hint="eastAsia"/>
        </w:rPr>
      </w:lvl>
    </w:lvlOverride>
    <w:lvlOverride w:ilvl="6">
      <w:startOverride w:val="1"/>
      <w:lvl w:ilvl="6">
        <w:start w:val="1"/>
        <w:numFmt w:val="decimal"/>
        <w:lvlText w:val="%1.%2.%3.%4.%5.%6.%7."/>
        <w:lvlJc w:val="left"/>
        <w:pPr>
          <w:tabs>
            <w:tab w:val="num" w:pos="5040"/>
          </w:tabs>
          <w:ind w:left="3240" w:hanging="1080"/>
        </w:pPr>
        <w:rPr>
          <w:rFonts w:hint="eastAsia"/>
        </w:rPr>
      </w:lvl>
    </w:lvlOverride>
    <w:lvlOverride w:ilvl="7">
      <w:startOverride w:val="1"/>
      <w:lvl w:ilvl="7">
        <w:start w:val="1"/>
        <w:numFmt w:val="decimal"/>
        <w:lvlText w:val="%1.%2.%3.%4.%5.%6.%7.%8."/>
        <w:lvlJc w:val="left"/>
        <w:pPr>
          <w:tabs>
            <w:tab w:val="num" w:pos="5760"/>
          </w:tabs>
          <w:ind w:left="3744" w:hanging="1224"/>
        </w:pPr>
        <w:rPr>
          <w:rFonts w:hint="eastAsia"/>
        </w:rPr>
      </w:lvl>
    </w:lvlOverride>
    <w:lvlOverride w:ilvl="8">
      <w:startOverride w:val="1"/>
      <w:lvl w:ilvl="8">
        <w:start w:val="1"/>
        <w:numFmt w:val="decimal"/>
        <w:lvlText w:val="%1.%2.%3.%4.%5.%6.%7.%8.%9."/>
        <w:lvlJc w:val="left"/>
        <w:pPr>
          <w:tabs>
            <w:tab w:val="num" w:pos="6480"/>
          </w:tabs>
          <w:ind w:left="4320" w:hanging="1440"/>
        </w:pPr>
        <w:rPr>
          <w:rFonts w:hint="eastAsia"/>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33AAB"/>
    <w:rsid w:val="00041171"/>
    <w:rsid w:val="00044A58"/>
    <w:rsid w:val="00050F8E"/>
    <w:rsid w:val="0005412D"/>
    <w:rsid w:val="000573AD"/>
    <w:rsid w:val="00070D2A"/>
    <w:rsid w:val="00072F17"/>
    <w:rsid w:val="000770DE"/>
    <w:rsid w:val="000806D8"/>
    <w:rsid w:val="00082C80"/>
    <w:rsid w:val="00083847"/>
    <w:rsid w:val="00083C36"/>
    <w:rsid w:val="000A69BF"/>
    <w:rsid w:val="000C225A"/>
    <w:rsid w:val="000C6781"/>
    <w:rsid w:val="000F5E49"/>
    <w:rsid w:val="000F7A87"/>
    <w:rsid w:val="00111BFD"/>
    <w:rsid w:val="001130AE"/>
    <w:rsid w:val="0011498B"/>
    <w:rsid w:val="00120147"/>
    <w:rsid w:val="00123140"/>
    <w:rsid w:val="00147C97"/>
    <w:rsid w:val="00163BA3"/>
    <w:rsid w:val="00166B31"/>
    <w:rsid w:val="00176DEF"/>
    <w:rsid w:val="00180771"/>
    <w:rsid w:val="001930A3"/>
    <w:rsid w:val="001A341E"/>
    <w:rsid w:val="001B0EA6"/>
    <w:rsid w:val="001B1CDF"/>
    <w:rsid w:val="001B56F4"/>
    <w:rsid w:val="001C4B8B"/>
    <w:rsid w:val="001C5462"/>
    <w:rsid w:val="001D6302"/>
    <w:rsid w:val="001E7DD0"/>
    <w:rsid w:val="001F1BDA"/>
    <w:rsid w:val="0020095E"/>
    <w:rsid w:val="00210D30"/>
    <w:rsid w:val="00234A34"/>
    <w:rsid w:val="0025255D"/>
    <w:rsid w:val="00270480"/>
    <w:rsid w:val="002779AF"/>
    <w:rsid w:val="002823D8"/>
    <w:rsid w:val="0028531A"/>
    <w:rsid w:val="00285446"/>
    <w:rsid w:val="00295593"/>
    <w:rsid w:val="002A23A9"/>
    <w:rsid w:val="002A386C"/>
    <w:rsid w:val="002C30BC"/>
    <w:rsid w:val="002C7A88"/>
    <w:rsid w:val="002C7BA9"/>
    <w:rsid w:val="002D232B"/>
    <w:rsid w:val="002D5E00"/>
    <w:rsid w:val="002D6DAC"/>
    <w:rsid w:val="002E1133"/>
    <w:rsid w:val="002E3FAD"/>
    <w:rsid w:val="002E4E16"/>
    <w:rsid w:val="00301E8C"/>
    <w:rsid w:val="00320009"/>
    <w:rsid w:val="0032424A"/>
    <w:rsid w:val="00380AF7"/>
    <w:rsid w:val="00394A05"/>
    <w:rsid w:val="0039563F"/>
    <w:rsid w:val="00397770"/>
    <w:rsid w:val="00397880"/>
    <w:rsid w:val="003A7016"/>
    <w:rsid w:val="003E0096"/>
    <w:rsid w:val="003E4046"/>
    <w:rsid w:val="003F125B"/>
    <w:rsid w:val="003F7B3F"/>
    <w:rsid w:val="0041078D"/>
    <w:rsid w:val="00416F97"/>
    <w:rsid w:val="0043039B"/>
    <w:rsid w:val="004423FE"/>
    <w:rsid w:val="00445C35"/>
    <w:rsid w:val="004667E7"/>
    <w:rsid w:val="00475797"/>
    <w:rsid w:val="0049253B"/>
    <w:rsid w:val="004A140B"/>
    <w:rsid w:val="004B7BAA"/>
    <w:rsid w:val="004C2DF7"/>
    <w:rsid w:val="004C4E0B"/>
    <w:rsid w:val="004D497E"/>
    <w:rsid w:val="004E4809"/>
    <w:rsid w:val="004E6352"/>
    <w:rsid w:val="004E6460"/>
    <w:rsid w:val="004F6B46"/>
    <w:rsid w:val="00525B80"/>
    <w:rsid w:val="0053098F"/>
    <w:rsid w:val="00546D8E"/>
    <w:rsid w:val="00571AE1"/>
    <w:rsid w:val="00592267"/>
    <w:rsid w:val="005A2953"/>
    <w:rsid w:val="005B0AE2"/>
    <w:rsid w:val="005B1F2C"/>
    <w:rsid w:val="005D03D9"/>
    <w:rsid w:val="005D666D"/>
    <w:rsid w:val="00615AB0"/>
    <w:rsid w:val="0061778C"/>
    <w:rsid w:val="00636B90"/>
    <w:rsid w:val="0064738B"/>
    <w:rsid w:val="006508EA"/>
    <w:rsid w:val="00697DB5"/>
    <w:rsid w:val="006A492A"/>
    <w:rsid w:val="006B716A"/>
    <w:rsid w:val="006D0315"/>
    <w:rsid w:val="006D5576"/>
    <w:rsid w:val="006E766D"/>
    <w:rsid w:val="006F2688"/>
    <w:rsid w:val="00705C9F"/>
    <w:rsid w:val="00712ED1"/>
    <w:rsid w:val="007139B3"/>
    <w:rsid w:val="00716951"/>
    <w:rsid w:val="00735D9E"/>
    <w:rsid w:val="00751BD7"/>
    <w:rsid w:val="00754CF7"/>
    <w:rsid w:val="00771A68"/>
    <w:rsid w:val="007C212A"/>
    <w:rsid w:val="007E7D21"/>
    <w:rsid w:val="007F482F"/>
    <w:rsid w:val="00807CC5"/>
    <w:rsid w:val="008160B3"/>
    <w:rsid w:val="00816966"/>
    <w:rsid w:val="00831751"/>
    <w:rsid w:val="00835B42"/>
    <w:rsid w:val="00847D99"/>
    <w:rsid w:val="0085038E"/>
    <w:rsid w:val="0086271D"/>
    <w:rsid w:val="0086420B"/>
    <w:rsid w:val="00864DBF"/>
    <w:rsid w:val="00865AE2"/>
    <w:rsid w:val="0087675F"/>
    <w:rsid w:val="008A7313"/>
    <w:rsid w:val="008A7D91"/>
    <w:rsid w:val="008B47C0"/>
    <w:rsid w:val="008B7FC7"/>
    <w:rsid w:val="008E1E4A"/>
    <w:rsid w:val="008F0615"/>
    <w:rsid w:val="008F1FDB"/>
    <w:rsid w:val="009144B4"/>
    <w:rsid w:val="00923097"/>
    <w:rsid w:val="00950605"/>
    <w:rsid w:val="00952233"/>
    <w:rsid w:val="00954D66"/>
    <w:rsid w:val="00975D76"/>
    <w:rsid w:val="00982E51"/>
    <w:rsid w:val="009874B9"/>
    <w:rsid w:val="00993581"/>
    <w:rsid w:val="009A288C"/>
    <w:rsid w:val="009B6697"/>
    <w:rsid w:val="009C4C04"/>
    <w:rsid w:val="009F7566"/>
    <w:rsid w:val="00A06BFE"/>
    <w:rsid w:val="00A10F5D"/>
    <w:rsid w:val="00A14AF1"/>
    <w:rsid w:val="00A14FA1"/>
    <w:rsid w:val="00A16891"/>
    <w:rsid w:val="00A332E8"/>
    <w:rsid w:val="00A345C2"/>
    <w:rsid w:val="00A35AF5"/>
    <w:rsid w:val="00A35DDF"/>
    <w:rsid w:val="00A36CBA"/>
    <w:rsid w:val="00A422D2"/>
    <w:rsid w:val="00A50291"/>
    <w:rsid w:val="00A604CD"/>
    <w:rsid w:val="00A60FE6"/>
    <w:rsid w:val="00A654BE"/>
    <w:rsid w:val="00A874EF"/>
    <w:rsid w:val="00A95415"/>
    <w:rsid w:val="00AA3C89"/>
    <w:rsid w:val="00AC4CDB"/>
    <w:rsid w:val="00AF638A"/>
    <w:rsid w:val="00B00141"/>
    <w:rsid w:val="00B009AA"/>
    <w:rsid w:val="00B030C8"/>
    <w:rsid w:val="00B056E7"/>
    <w:rsid w:val="00B05B71"/>
    <w:rsid w:val="00B06B68"/>
    <w:rsid w:val="00B10035"/>
    <w:rsid w:val="00B165E6"/>
    <w:rsid w:val="00B235DB"/>
    <w:rsid w:val="00B548A2"/>
    <w:rsid w:val="00B56934"/>
    <w:rsid w:val="00B66EAB"/>
    <w:rsid w:val="00B72444"/>
    <w:rsid w:val="00B93B62"/>
    <w:rsid w:val="00B953D1"/>
    <w:rsid w:val="00BA30D0"/>
    <w:rsid w:val="00C04BD2"/>
    <w:rsid w:val="00C13EEC"/>
    <w:rsid w:val="00C156A4"/>
    <w:rsid w:val="00C20FAA"/>
    <w:rsid w:val="00C2459D"/>
    <w:rsid w:val="00C42C95"/>
    <w:rsid w:val="00C55E5B"/>
    <w:rsid w:val="00C710F8"/>
    <w:rsid w:val="00C720A4"/>
    <w:rsid w:val="00C7611C"/>
    <w:rsid w:val="00C94097"/>
    <w:rsid w:val="00CA4269"/>
    <w:rsid w:val="00CA7330"/>
    <w:rsid w:val="00CB64F0"/>
    <w:rsid w:val="00CC2909"/>
    <w:rsid w:val="00D05E6F"/>
    <w:rsid w:val="00D31837"/>
    <w:rsid w:val="00D33442"/>
    <w:rsid w:val="00D44BAD"/>
    <w:rsid w:val="00D45B55"/>
    <w:rsid w:val="00D7097B"/>
    <w:rsid w:val="00D91DFA"/>
    <w:rsid w:val="00DB1AB2"/>
    <w:rsid w:val="00DB77F7"/>
    <w:rsid w:val="00DC0B99"/>
    <w:rsid w:val="00DD3A65"/>
    <w:rsid w:val="00DD62C6"/>
    <w:rsid w:val="00E00498"/>
    <w:rsid w:val="00E179C5"/>
    <w:rsid w:val="00E2388D"/>
    <w:rsid w:val="00E2617A"/>
    <w:rsid w:val="00E538E6"/>
    <w:rsid w:val="00E802A2"/>
    <w:rsid w:val="00E85C0B"/>
    <w:rsid w:val="00E95C9F"/>
    <w:rsid w:val="00ED67AF"/>
    <w:rsid w:val="00EE128C"/>
    <w:rsid w:val="00EF66D9"/>
    <w:rsid w:val="00EF6BA5"/>
    <w:rsid w:val="00EF780D"/>
    <w:rsid w:val="00EF7A98"/>
    <w:rsid w:val="00F0267E"/>
    <w:rsid w:val="00F474C9"/>
    <w:rsid w:val="00F61675"/>
    <w:rsid w:val="00F6686B"/>
    <w:rsid w:val="00F67F74"/>
    <w:rsid w:val="00F73DE3"/>
    <w:rsid w:val="00F84DD2"/>
    <w:rsid w:val="00FB0872"/>
    <w:rsid w:val="00FB54CC"/>
    <w:rsid w:val="00FD1A37"/>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link w:val="ActionChar"/>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link w:val="DecisionChar"/>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 w:type="numbering" w:styleId="111111">
    <w:name w:val="Outline List 2"/>
    <w:basedOn w:val="NoList"/>
    <w:rsid w:val="0005412D"/>
    <w:pPr>
      <w:numPr>
        <w:numId w:val="8"/>
      </w:numPr>
    </w:pPr>
  </w:style>
  <w:style w:type="paragraph" w:customStyle="1" w:styleId="SubHeading2">
    <w:name w:val="_Sub_Heading2"/>
    <w:basedOn w:val="Normal"/>
    <w:next w:val="BodyTextNumbered"/>
    <w:rsid w:val="000770DE"/>
    <w:pPr>
      <w:keepNext/>
      <w:tabs>
        <w:tab w:val="clear" w:pos="1134"/>
        <w:tab w:val="num" w:pos="1080"/>
      </w:tabs>
      <w:spacing w:before="120" w:after="120"/>
      <w:jc w:val="left"/>
      <w:outlineLvl w:val="1"/>
    </w:pPr>
    <w:rPr>
      <w:rFonts w:ascii="Arial" w:eastAsia="SimSun" w:hAnsi="Arial" w:cs="Times New Roman"/>
      <w:b/>
      <w:color w:val="000000"/>
      <w:sz w:val="24"/>
      <w:szCs w:val="24"/>
      <w:lang w:val="en-US" w:eastAsia="zh-CN"/>
    </w:rPr>
  </w:style>
  <w:style w:type="character" w:customStyle="1" w:styleId="DecisionChar">
    <w:name w:val="_Decision Char"/>
    <w:link w:val="Decision"/>
    <w:rsid w:val="000770DE"/>
    <w:rPr>
      <w:rFonts w:ascii="Verdana" w:hAnsi="Verdana"/>
      <w:color w:val="339966"/>
      <w:szCs w:val="22"/>
      <w:lang w:val="en-GB" w:eastAsia="ja-JP"/>
    </w:rPr>
  </w:style>
  <w:style w:type="character" w:customStyle="1" w:styleId="ActionChar">
    <w:name w:val="_Action Char"/>
    <w:link w:val="Action"/>
    <w:rsid w:val="000770DE"/>
    <w:rPr>
      <w:rFonts w:ascii="Verdana" w:hAnsi="Verdana"/>
      <w:color w:val="0000FF"/>
      <w:szCs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link w:val="ActionChar"/>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link w:val="DecisionChar"/>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 w:type="numbering" w:styleId="111111">
    <w:name w:val="Outline List 2"/>
    <w:basedOn w:val="NoList"/>
    <w:rsid w:val="0005412D"/>
    <w:pPr>
      <w:numPr>
        <w:numId w:val="8"/>
      </w:numPr>
    </w:pPr>
  </w:style>
  <w:style w:type="paragraph" w:customStyle="1" w:styleId="SubHeading2">
    <w:name w:val="_Sub_Heading2"/>
    <w:basedOn w:val="Normal"/>
    <w:next w:val="BodyTextNumbered"/>
    <w:rsid w:val="000770DE"/>
    <w:pPr>
      <w:keepNext/>
      <w:tabs>
        <w:tab w:val="clear" w:pos="1134"/>
        <w:tab w:val="num" w:pos="1080"/>
      </w:tabs>
      <w:spacing w:before="120" w:after="120"/>
      <w:jc w:val="left"/>
      <w:outlineLvl w:val="1"/>
    </w:pPr>
    <w:rPr>
      <w:rFonts w:ascii="Arial" w:eastAsia="SimSun" w:hAnsi="Arial" w:cs="Times New Roman"/>
      <w:b/>
      <w:color w:val="000000"/>
      <w:sz w:val="24"/>
      <w:szCs w:val="24"/>
      <w:lang w:val="en-US" w:eastAsia="zh-CN"/>
    </w:rPr>
  </w:style>
  <w:style w:type="character" w:customStyle="1" w:styleId="DecisionChar">
    <w:name w:val="_Decision Char"/>
    <w:link w:val="Decision"/>
    <w:rsid w:val="000770DE"/>
    <w:rPr>
      <w:rFonts w:ascii="Verdana" w:hAnsi="Verdana"/>
      <w:color w:val="339966"/>
      <w:szCs w:val="22"/>
      <w:lang w:val="en-GB" w:eastAsia="ja-JP"/>
    </w:rPr>
  </w:style>
  <w:style w:type="character" w:customStyle="1" w:styleId="ActionChar">
    <w:name w:val="_Action Char"/>
    <w:link w:val="Action"/>
    <w:rsid w:val="000770DE"/>
    <w:rPr>
      <w:rFonts w:ascii="Verdana" w:hAnsi="Verdana"/>
      <w:color w:val="0000FF"/>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100940">
      <w:bodyDiv w:val="1"/>
      <w:marLeft w:val="0"/>
      <w:marRight w:val="0"/>
      <w:marTop w:val="0"/>
      <w:marBottom w:val="0"/>
      <w:divBdr>
        <w:top w:val="none" w:sz="0" w:space="0" w:color="auto"/>
        <w:left w:val="none" w:sz="0" w:space="0" w:color="auto"/>
        <w:bottom w:val="none" w:sz="0" w:space="0" w:color="auto"/>
        <w:right w:val="none" w:sz="0" w:space="0" w:color="auto"/>
      </w:divBdr>
    </w:div>
    <w:div w:id="1140029675">
      <w:bodyDiv w:val="1"/>
      <w:marLeft w:val="0"/>
      <w:marRight w:val="0"/>
      <w:marTop w:val="0"/>
      <w:marBottom w:val="0"/>
      <w:divBdr>
        <w:top w:val="none" w:sz="0" w:space="0" w:color="auto"/>
        <w:left w:val="none" w:sz="0" w:space="0" w:color="auto"/>
        <w:bottom w:val="none" w:sz="0" w:space="0" w:color="auto"/>
        <w:right w:val="none" w:sz="0" w:space="0" w:color="auto"/>
      </w:divBdr>
    </w:div>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spire.ec.europa.eu/events/conferences/inspire_2014/pdfs/18.06_6_16.00_Francois_Prunayre.pdf"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0E4C5-E6C7-446C-966D-DE51BDA0F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265</TotalTime>
  <Pages>8</Pages>
  <Words>3242</Words>
  <Characters>18482</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WMO Document Template</vt:lpstr>
      <vt:lpstr>WMO Document Template</vt:lpstr>
    </vt:vector>
  </TitlesOfParts>
  <Company>WMO</Company>
  <LinksUpToDate>false</LinksUpToDate>
  <CharactersWithSpaces>21681</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18</cp:revision>
  <cp:lastPrinted>2016-04-28T05:19:00Z</cp:lastPrinted>
  <dcterms:created xsi:type="dcterms:W3CDTF">2016-03-22T12:33:00Z</dcterms:created>
  <dcterms:modified xsi:type="dcterms:W3CDTF">2016-05-02T08:54:00Z</dcterms:modified>
</cp:coreProperties>
</file>