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487"/>
        <w:gridCol w:w="3402"/>
      </w:tblGrid>
      <w:tr w:rsidR="00993581" w:rsidRPr="00636B90" w:rsidTr="00E53BC0">
        <w:trPr>
          <w:trHeight w:val="282"/>
        </w:trPr>
        <w:tc>
          <w:tcPr>
            <w:tcW w:w="6487"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399453E6" wp14:editId="0A636D9C">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402" w:type="dxa"/>
          </w:tcPr>
          <w:p w:rsidR="00993581" w:rsidRPr="00712ED1" w:rsidRDefault="00712ED1" w:rsidP="00D67862">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D67862">
              <w:rPr>
                <w:rFonts w:cs="Tahoma"/>
                <w:b/>
                <w:bCs/>
                <w:color w:val="365F91" w:themeColor="accent1" w:themeShade="BF"/>
                <w:szCs w:val="22"/>
              </w:rPr>
              <w:t>2.2(3)</w:t>
            </w:r>
          </w:p>
        </w:tc>
      </w:tr>
      <w:tr w:rsidR="00993581" w:rsidRPr="005D666D" w:rsidTr="00E53BC0">
        <w:trPr>
          <w:trHeight w:val="730"/>
        </w:trPr>
        <w:tc>
          <w:tcPr>
            <w:tcW w:w="6487"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3402" w:type="dxa"/>
          </w:tcPr>
          <w:p w:rsidR="00993581" w:rsidRPr="005D666D" w:rsidRDefault="00993581" w:rsidP="00D67862">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proofErr w:type="spellStart"/>
            <w:r w:rsidR="00D67862">
              <w:rPr>
                <w:rFonts w:cs="Tahoma"/>
                <w:color w:val="365F91" w:themeColor="accent1" w:themeShade="BF"/>
                <w:szCs w:val="22"/>
              </w:rPr>
              <w:t>Guillaud</w:t>
            </w:r>
            <w:proofErr w:type="spellEnd"/>
            <w:r w:rsidR="00D67862">
              <w:rPr>
                <w:rFonts w:cs="Tahoma"/>
                <w:color w:val="365F91" w:themeColor="accent1" w:themeShade="BF"/>
                <w:szCs w:val="22"/>
              </w:rPr>
              <w:t xml:space="preserve"> (France)</w:t>
            </w:r>
            <w:r w:rsidRPr="005D666D">
              <w:rPr>
                <w:rFonts w:cs="Tahoma"/>
                <w:color w:val="365F91" w:themeColor="accent1" w:themeShade="BF"/>
                <w:szCs w:val="22"/>
              </w:rPr>
              <w:t xml:space="preserve"> </w:t>
            </w:r>
          </w:p>
          <w:p w:rsidR="00993581" w:rsidRPr="005D666D" w:rsidRDefault="00D67862" w:rsidP="00D67862">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26</w:t>
            </w:r>
            <w:r w:rsidR="008160B3">
              <w:rPr>
                <w:rFonts w:cs="Tahoma"/>
                <w:color w:val="365F91" w:themeColor="accent1" w:themeShade="BF"/>
                <w:szCs w:val="22"/>
              </w:rPr>
              <w:t>.</w:t>
            </w:r>
            <w:r>
              <w:rPr>
                <w:rFonts w:cs="Tahoma"/>
                <w:color w:val="365F91" w:themeColor="accent1" w:themeShade="BF"/>
                <w:szCs w:val="22"/>
              </w:rPr>
              <w:t>APR</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D67862">
      <w:pPr>
        <w:pStyle w:val="WMOBodyText"/>
        <w:tabs>
          <w:tab w:val="clear" w:pos="1134"/>
        </w:tabs>
        <w:ind w:left="2977" w:hanging="2977"/>
        <w:rPr>
          <w:b/>
          <w:bCs/>
        </w:rPr>
      </w:pPr>
      <w:r>
        <w:rPr>
          <w:b/>
          <w:bCs/>
        </w:rPr>
        <w:t xml:space="preserve">AGENDA ITEM </w:t>
      </w:r>
      <w:r w:rsidR="00D67862">
        <w:rPr>
          <w:b/>
          <w:bCs/>
        </w:rPr>
        <w:t>2</w:t>
      </w:r>
      <w:r w:rsidR="008160B3">
        <w:rPr>
          <w:b/>
          <w:bCs/>
        </w:rPr>
        <w:t>:</w:t>
      </w:r>
      <w:r w:rsidR="008160B3">
        <w:rPr>
          <w:b/>
          <w:bCs/>
        </w:rPr>
        <w:tab/>
      </w:r>
      <w:r w:rsidR="00D67862">
        <w:rPr>
          <w:b/>
          <w:bCs/>
        </w:rPr>
        <w:t>WMO Core Metadata profile</w:t>
      </w:r>
    </w:p>
    <w:p w:rsidR="00082C80" w:rsidRPr="005D666D" w:rsidRDefault="008160B3" w:rsidP="00D67862">
      <w:pPr>
        <w:pStyle w:val="WMOBodyText"/>
        <w:tabs>
          <w:tab w:val="clear" w:pos="1134"/>
        </w:tabs>
        <w:spacing w:after="360"/>
        <w:ind w:left="2977" w:hanging="2977"/>
        <w:rPr>
          <w:b/>
          <w:bCs/>
        </w:rPr>
      </w:pPr>
      <w:r>
        <w:rPr>
          <w:b/>
          <w:bCs/>
        </w:rPr>
        <w:t xml:space="preserve">AGENDA ITEM </w:t>
      </w:r>
      <w:r w:rsidR="00D67862">
        <w:rPr>
          <w:b/>
          <w:bCs/>
        </w:rPr>
        <w:t>2.2</w:t>
      </w:r>
      <w:r>
        <w:rPr>
          <w:b/>
          <w:bCs/>
        </w:rPr>
        <w:t>:</w:t>
      </w:r>
      <w:r>
        <w:rPr>
          <w:b/>
          <w:bCs/>
        </w:rPr>
        <w:tab/>
      </w:r>
      <w:r w:rsidR="00D67862">
        <w:rPr>
          <w:b/>
          <w:bCs/>
        </w:rPr>
        <w:t>Publication of the guidance on WIS metadata</w:t>
      </w:r>
    </w:p>
    <w:p w:rsidR="008A7D91" w:rsidRDefault="00712ED1" w:rsidP="00B56934">
      <w:pPr>
        <w:pStyle w:val="Heading1"/>
      </w:pPr>
      <w:bookmarkStart w:id="0" w:name="_APPENDIX_A:_"/>
      <w:bookmarkEnd w:id="0"/>
      <w:r>
        <w:t>Recommended Text</w:t>
      </w:r>
    </w:p>
    <w:p w:rsidR="00712ED1" w:rsidRDefault="00712ED1" w:rsidP="00712ED1">
      <w:pPr>
        <w:rPr>
          <w:lang w:eastAsia="zh-TW"/>
        </w:rPr>
      </w:pPr>
    </w:p>
    <w:p w:rsidR="00D67862" w:rsidRDefault="00D67862" w:rsidP="00D67862">
      <w:pPr>
        <w:pStyle w:val="Action"/>
      </w:pPr>
      <w:r>
        <w:t xml:space="preserve">IPET-MDRD asked </w:t>
      </w:r>
      <w:r w:rsidRPr="00D67862">
        <w:rPr>
          <w:highlight w:val="yellow"/>
        </w:rPr>
        <w:t>????</w:t>
      </w:r>
      <w:r>
        <w:t xml:space="preserve"> to review the draft guidance in Annex 1 on granularity provided by Mr </w:t>
      </w:r>
      <w:proofErr w:type="spellStart"/>
      <w:r>
        <w:t>Guillaud</w:t>
      </w:r>
      <w:proofErr w:type="spellEnd"/>
      <w:r>
        <w:t>.</w:t>
      </w:r>
    </w:p>
    <w:p w:rsidR="00A14FA1" w:rsidRDefault="00A14FA1">
      <w:pPr>
        <w:tabs>
          <w:tab w:val="clear" w:pos="1134"/>
        </w:tabs>
        <w:jc w:val="left"/>
        <w:rPr>
          <w:szCs w:val="22"/>
          <w:lang w:eastAsia="zh-TW"/>
        </w:rPr>
      </w:pPr>
      <w:r>
        <w:br w:type="page"/>
      </w:r>
    </w:p>
    <w:p w:rsidR="00A14FA1" w:rsidRDefault="00D67862" w:rsidP="00D67862">
      <w:pPr>
        <w:pStyle w:val="Heading2"/>
      </w:pPr>
      <w:r>
        <w:lastRenderedPageBreak/>
        <w:t>Annex 1: Guidance on data granularity</w:t>
      </w:r>
    </w:p>
    <w:p w:rsidR="00D67862" w:rsidRPr="00D67862" w:rsidRDefault="00D67862" w:rsidP="00D67862">
      <w:pPr>
        <w:keepNext/>
        <w:keepLines/>
        <w:tabs>
          <w:tab w:val="clear" w:pos="1134"/>
        </w:tabs>
        <w:spacing w:before="240" w:after="60"/>
        <w:jc w:val="left"/>
        <w:outlineLvl w:val="0"/>
        <w:rPr>
          <w:rFonts w:ascii="Arial Bold" w:eastAsia="Times New Roman" w:hAnsi="Arial Bold"/>
          <w:b/>
          <w:bCs/>
          <w:caps/>
          <w:kern w:val="32"/>
          <w:sz w:val="28"/>
          <w:szCs w:val="32"/>
        </w:rPr>
      </w:pPr>
      <w:r w:rsidRPr="00D67862">
        <w:rPr>
          <w:rFonts w:ascii="Arial Bold" w:eastAsia="Times New Roman" w:hAnsi="Arial Bold"/>
          <w:b/>
          <w:bCs/>
          <w:caps/>
          <w:kern w:val="32"/>
          <w:sz w:val="28"/>
          <w:szCs w:val="32"/>
        </w:rPr>
        <w:t xml:space="preserve">Guidance on  DATASET GRANULARITY  </w:t>
      </w:r>
      <w:r w:rsidRPr="00D67862">
        <w:rPr>
          <w:rFonts w:ascii="Arial Bold" w:eastAsia="Times New Roman" w:hAnsi="Arial Bold"/>
          <w:b/>
          <w:bCs/>
          <w:caps/>
          <w:color w:val="FF0000"/>
          <w:kern w:val="32"/>
          <w:sz w:val="28"/>
          <w:szCs w:val="32"/>
        </w:rPr>
        <w:t>[DRAFT]</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The purpose of this document is to provide a guidance on the granularity of datasets in the scope of the WIS, and as such documented by WCMP compliant discovery metadata.  </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It is possible to arrange datasets in a hierarchy of collections, or other aggregates, as specified in ISO 19115 : The purpose of this document is not to provide a guidance on how to organize collections,  but rather on how to choose the right granularity at leaf  level. </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Il is important to distinguish between dataset and temporal instance of a dataset : </w:t>
      </w:r>
      <w:proofErr w:type="spellStart"/>
      <w:r w:rsidRPr="00D67862">
        <w:rPr>
          <w:rFonts w:ascii="Arial" w:eastAsia="Times New Roman" w:hAnsi="Arial"/>
          <w:sz w:val="22"/>
          <w:szCs w:val="22"/>
        </w:rPr>
        <w:t>Meteorogical</w:t>
      </w:r>
      <w:proofErr w:type="spellEnd"/>
      <w:r w:rsidRPr="00D67862">
        <w:rPr>
          <w:rFonts w:ascii="Arial" w:eastAsia="Times New Roman" w:hAnsi="Arial"/>
          <w:sz w:val="22"/>
          <w:szCs w:val="22"/>
        </w:rPr>
        <w:t xml:space="preserve"> data is  often transient (e.g. Observations, NWP), and more or less continuously updated. That is why a dataset could be seen as an aggregate of temporal  "instances"  or  "versions" of the same dataset, and, as explained below, metadata shall not be set at "instance" level.</w:t>
      </w:r>
    </w:p>
    <w:p w:rsidR="00D67862" w:rsidRPr="00D67862" w:rsidRDefault="00D67862" w:rsidP="00D67862">
      <w:pPr>
        <w:tabs>
          <w:tab w:val="clear" w:pos="1134"/>
          <w:tab w:val="left" w:pos="1080"/>
        </w:tabs>
        <w:spacing w:before="240"/>
        <w:jc w:val="left"/>
        <w:rPr>
          <w:rFonts w:ascii="Arial" w:eastAsia="Times New Roman" w:hAnsi="Arial"/>
          <w:sz w:val="22"/>
          <w:szCs w:val="22"/>
        </w:rPr>
      </w:pPr>
      <w:r w:rsidRPr="00D67862">
        <w:rPr>
          <w:rFonts w:ascii="Arial" w:eastAsia="Times New Roman" w:hAnsi="Arial"/>
          <w:sz w:val="22"/>
          <w:szCs w:val="22"/>
        </w:rPr>
        <w:t>Dataset granularity could be defined according to the following criteria :</w:t>
      </w:r>
    </w:p>
    <w:p w:rsidR="00D67862" w:rsidRPr="00D67862" w:rsidRDefault="00D67862" w:rsidP="00D67862">
      <w:pPr>
        <w:tabs>
          <w:tab w:val="clear" w:pos="1134"/>
          <w:tab w:val="left" w:pos="1080"/>
        </w:tabs>
        <w:spacing w:before="240"/>
        <w:jc w:val="left"/>
        <w:rPr>
          <w:rFonts w:ascii="Arial" w:eastAsia="Times New Roman" w:hAnsi="Arial"/>
          <w:b/>
          <w:bCs/>
          <w:sz w:val="28"/>
          <w:szCs w:val="22"/>
        </w:rPr>
      </w:pPr>
    </w:p>
    <w:p w:rsidR="00D67862" w:rsidRPr="00D67862" w:rsidRDefault="00D67862" w:rsidP="00D67862">
      <w:pPr>
        <w:tabs>
          <w:tab w:val="clear" w:pos="1134"/>
          <w:tab w:val="left" w:pos="1080"/>
        </w:tabs>
        <w:spacing w:before="240"/>
        <w:jc w:val="left"/>
        <w:rPr>
          <w:rFonts w:ascii="Arial" w:eastAsia="Times New Roman" w:hAnsi="Arial"/>
          <w:b/>
          <w:bCs/>
          <w:sz w:val="28"/>
          <w:szCs w:val="22"/>
        </w:rPr>
      </w:pPr>
      <w:r w:rsidRPr="00D67862">
        <w:rPr>
          <w:rFonts w:ascii="Arial" w:eastAsia="Times New Roman" w:hAnsi="Arial"/>
          <w:b/>
          <w:bCs/>
          <w:sz w:val="28"/>
          <w:szCs w:val="22"/>
        </w:rPr>
        <w:t>Size of dataset instances</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An important thing to consider, in terms of Dataset granularity, is how the dataset instances will be made available to end users. For instance, push or pull services, with filter capabilities or not.  </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Numerical model  X output could be seen as a 4 and even 5 D dataset (latitude, longitude, Z, time, reference time). It is possible to set granularity at this level, but the amount of data will be huge, and it will not be possible to exchange whole data at this level in push mode : Such granularity implies to provide download (or publish-subscribe) services with sub setting capabilities  (</w:t>
      </w:r>
      <w:proofErr w:type="spellStart"/>
      <w:r w:rsidRPr="00D67862">
        <w:rPr>
          <w:rFonts w:ascii="Arial" w:eastAsia="Times New Roman" w:hAnsi="Arial"/>
          <w:sz w:val="22"/>
          <w:szCs w:val="22"/>
        </w:rPr>
        <w:t>eg</w:t>
      </w:r>
      <w:proofErr w:type="spellEnd"/>
      <w:r w:rsidRPr="00D67862">
        <w:rPr>
          <w:rFonts w:ascii="Arial" w:eastAsia="Times New Roman" w:hAnsi="Arial"/>
          <w:sz w:val="22"/>
          <w:szCs w:val="22"/>
        </w:rPr>
        <w:t>. WCS, or "Direct" download INSPIRE services).</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When the data provider is not able to implement such services, and when only pre-defined datasets are made available (</w:t>
      </w:r>
      <w:proofErr w:type="spellStart"/>
      <w:r w:rsidRPr="00D67862">
        <w:rPr>
          <w:rFonts w:ascii="Arial" w:eastAsia="Times New Roman" w:hAnsi="Arial"/>
          <w:sz w:val="22"/>
          <w:szCs w:val="22"/>
        </w:rPr>
        <w:t>ie</w:t>
      </w:r>
      <w:proofErr w:type="spellEnd"/>
      <w:r w:rsidRPr="00D67862">
        <w:rPr>
          <w:rFonts w:ascii="Arial" w:eastAsia="Times New Roman" w:hAnsi="Arial"/>
          <w:sz w:val="22"/>
          <w:szCs w:val="22"/>
        </w:rPr>
        <w:t xml:space="preserve">, case of datasets for global exchange on the WIS) the granularity will have to be finer.  </w:t>
      </w:r>
    </w:p>
    <w:p w:rsidR="00D67862" w:rsidRPr="00D67862" w:rsidRDefault="00D67862" w:rsidP="00D67862">
      <w:pPr>
        <w:tabs>
          <w:tab w:val="clear" w:pos="1134"/>
          <w:tab w:val="left" w:pos="1080"/>
        </w:tabs>
        <w:spacing w:before="240"/>
        <w:jc w:val="left"/>
        <w:rPr>
          <w:rFonts w:ascii="Arial" w:eastAsia="Times New Roman" w:hAnsi="Arial"/>
          <w:sz w:val="22"/>
          <w:szCs w:val="22"/>
        </w:rPr>
      </w:pPr>
      <w:r w:rsidRPr="00D67862">
        <w:rPr>
          <w:rFonts w:ascii="Arial" w:eastAsia="Times New Roman" w:hAnsi="Arial"/>
          <w:sz w:val="22"/>
          <w:szCs w:val="22"/>
        </w:rPr>
        <w:t xml:space="preserve">e.g.  : </w:t>
      </w:r>
    </w:p>
    <w:p w:rsidR="00D67862" w:rsidRPr="00D67862" w:rsidRDefault="00D67862" w:rsidP="00D67862">
      <w:pPr>
        <w:tabs>
          <w:tab w:val="clear" w:pos="1134"/>
          <w:tab w:val="left" w:pos="1080"/>
        </w:tabs>
        <w:spacing w:before="240"/>
        <w:jc w:val="left"/>
        <w:rPr>
          <w:rFonts w:ascii="Arial" w:eastAsia="Times New Roman" w:hAnsi="Arial"/>
          <w:sz w:val="22"/>
          <w:szCs w:val="22"/>
        </w:rPr>
      </w:pPr>
      <w:r w:rsidRPr="00D67862">
        <w:rPr>
          <w:rFonts w:ascii="Arial" w:eastAsia="Times New Roman" w:hAnsi="Arial"/>
          <w:sz w:val="22"/>
          <w:szCs w:val="22"/>
        </w:rPr>
        <w:t>The French high resolution model AROME, split into two  daily subsets :</w:t>
      </w:r>
    </w:p>
    <w:p w:rsidR="00D67862" w:rsidRPr="00D67862" w:rsidRDefault="00D67862" w:rsidP="00D67862">
      <w:pPr>
        <w:numPr>
          <w:ilvl w:val="0"/>
          <w:numId w:val="49"/>
        </w:numPr>
        <w:tabs>
          <w:tab w:val="clear" w:pos="1134"/>
          <w:tab w:val="left" w:pos="1080"/>
        </w:tabs>
        <w:spacing w:before="240"/>
        <w:jc w:val="left"/>
        <w:rPr>
          <w:rFonts w:ascii="Arial" w:eastAsia="Times New Roman" w:hAnsi="Arial"/>
          <w:i/>
          <w:iCs/>
          <w:sz w:val="22"/>
          <w:szCs w:val="22"/>
        </w:rPr>
      </w:pPr>
      <w:r w:rsidRPr="00D67862">
        <w:rPr>
          <w:rFonts w:ascii="Arial" w:eastAsia="Times New Roman" w:hAnsi="Arial"/>
          <w:i/>
          <w:iCs/>
          <w:sz w:val="22"/>
          <w:szCs w:val="22"/>
        </w:rPr>
        <w:t>Dataset 1 : AROME 0°01 FRANCE - 00h-23h</w:t>
      </w:r>
    </w:p>
    <w:p w:rsidR="00D67862" w:rsidRPr="00D67862" w:rsidRDefault="00D67862" w:rsidP="00D67862">
      <w:pPr>
        <w:numPr>
          <w:ilvl w:val="0"/>
          <w:numId w:val="49"/>
        </w:numPr>
        <w:tabs>
          <w:tab w:val="clear" w:pos="1134"/>
          <w:tab w:val="left" w:pos="1080"/>
        </w:tabs>
        <w:spacing w:before="240"/>
        <w:jc w:val="left"/>
        <w:rPr>
          <w:rFonts w:ascii="Arial" w:eastAsia="Times New Roman" w:hAnsi="Arial"/>
          <w:i/>
          <w:iCs/>
          <w:sz w:val="22"/>
          <w:szCs w:val="22"/>
        </w:rPr>
      </w:pPr>
      <w:r w:rsidRPr="00D67862">
        <w:rPr>
          <w:rFonts w:ascii="Arial" w:eastAsia="Times New Roman" w:hAnsi="Arial"/>
          <w:i/>
          <w:iCs/>
          <w:sz w:val="22"/>
          <w:szCs w:val="22"/>
        </w:rPr>
        <w:t>Dataset 2 : AROME 0°01 FRANCE - 24h-45h</w:t>
      </w:r>
    </w:p>
    <w:p w:rsidR="00D67862" w:rsidRPr="00D67862" w:rsidRDefault="00D67862" w:rsidP="00D67862">
      <w:pPr>
        <w:tabs>
          <w:tab w:val="clear" w:pos="1134"/>
          <w:tab w:val="left" w:pos="1080"/>
        </w:tabs>
        <w:spacing w:before="240"/>
        <w:jc w:val="left"/>
        <w:rPr>
          <w:rFonts w:ascii="Arial" w:eastAsia="Times New Roman" w:hAnsi="Arial"/>
          <w:sz w:val="22"/>
          <w:szCs w:val="22"/>
        </w:rPr>
      </w:pPr>
      <w:r w:rsidRPr="00D67862">
        <w:rPr>
          <w:rFonts w:ascii="Arial" w:eastAsia="Times New Roman" w:hAnsi="Arial"/>
          <w:sz w:val="22"/>
          <w:szCs w:val="22"/>
        </w:rPr>
        <w:t>The Dataset 1 covers hourly steps H to H+23h,  Dataset 2 covers hourly steps H+24 to H+45</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The granularity of the subsets is chosen according to the size of the instances to be exchanged, and the size of the granules (500 MO, 1GO, ...) should be compliant  with the bandwidth available.  </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Note that it is possible to define an aggregate of the two subsets, for instance to factorize metadata elements at higher level :</w:t>
      </w:r>
    </w:p>
    <w:p w:rsidR="00D67862" w:rsidRPr="00D67862" w:rsidRDefault="00D67862" w:rsidP="00D67862">
      <w:pPr>
        <w:tabs>
          <w:tab w:val="clear" w:pos="1134"/>
          <w:tab w:val="left" w:pos="1080"/>
        </w:tabs>
        <w:spacing w:before="240"/>
        <w:jc w:val="left"/>
        <w:rPr>
          <w:rFonts w:ascii="Arial" w:eastAsia="Times New Roman" w:hAnsi="Arial"/>
          <w:sz w:val="22"/>
          <w:szCs w:val="22"/>
        </w:rPr>
      </w:pPr>
      <w:proofErr w:type="spellStart"/>
      <w:r w:rsidRPr="00D67862">
        <w:rPr>
          <w:rFonts w:ascii="Arial" w:eastAsia="Times New Roman" w:hAnsi="Arial"/>
          <w:sz w:val="22"/>
          <w:szCs w:val="22"/>
        </w:rPr>
        <w:t>e.g</w:t>
      </w:r>
      <w:proofErr w:type="spellEnd"/>
      <w:r w:rsidRPr="00D67862">
        <w:rPr>
          <w:rFonts w:ascii="Arial" w:eastAsia="Times New Roman" w:hAnsi="Arial"/>
          <w:sz w:val="22"/>
          <w:szCs w:val="22"/>
        </w:rPr>
        <w:t xml:space="preserve"> :</w:t>
      </w:r>
    </w:p>
    <w:p w:rsidR="00D67862" w:rsidRPr="00D67862" w:rsidRDefault="00D67862" w:rsidP="00D67862">
      <w:pPr>
        <w:numPr>
          <w:ilvl w:val="0"/>
          <w:numId w:val="50"/>
        </w:numPr>
        <w:tabs>
          <w:tab w:val="clear" w:pos="1134"/>
          <w:tab w:val="left" w:pos="1080"/>
        </w:tabs>
        <w:spacing w:before="240"/>
        <w:jc w:val="left"/>
        <w:rPr>
          <w:rFonts w:ascii="Arial" w:eastAsia="Times New Roman" w:hAnsi="Arial"/>
          <w:sz w:val="22"/>
          <w:szCs w:val="22"/>
        </w:rPr>
      </w:pPr>
      <w:r w:rsidRPr="00D67862">
        <w:rPr>
          <w:rFonts w:ascii="Arial" w:eastAsia="Times New Roman" w:hAnsi="Arial"/>
          <w:i/>
          <w:iCs/>
          <w:sz w:val="22"/>
          <w:szCs w:val="22"/>
        </w:rPr>
        <w:t xml:space="preserve">Dataset 0 : AROME 0°01 FRANCE, </w:t>
      </w:r>
    </w:p>
    <w:p w:rsidR="00D67862" w:rsidRPr="00D67862" w:rsidRDefault="00D67862" w:rsidP="00D67862">
      <w:pPr>
        <w:tabs>
          <w:tab w:val="clear" w:pos="1134"/>
          <w:tab w:val="left" w:pos="1080"/>
        </w:tabs>
        <w:spacing w:before="240"/>
        <w:jc w:val="left"/>
        <w:rPr>
          <w:rFonts w:ascii="Arial" w:eastAsia="Times New Roman" w:hAnsi="Arial"/>
          <w:sz w:val="22"/>
          <w:szCs w:val="22"/>
        </w:rPr>
      </w:pPr>
      <w:r w:rsidRPr="00D67862">
        <w:rPr>
          <w:rFonts w:ascii="Arial" w:eastAsia="Times New Roman" w:hAnsi="Arial"/>
          <w:sz w:val="22"/>
          <w:szCs w:val="22"/>
        </w:rPr>
        <w:lastRenderedPageBreak/>
        <w:t>Dataset 0 is an aggregation of Dataset 1 and Dataset 2.</w:t>
      </w:r>
    </w:p>
    <w:p w:rsidR="00D67862" w:rsidRPr="00D67862" w:rsidRDefault="00D67862" w:rsidP="00D67862">
      <w:pPr>
        <w:tabs>
          <w:tab w:val="clear" w:pos="1134"/>
          <w:tab w:val="left" w:pos="1080"/>
        </w:tabs>
        <w:spacing w:before="240"/>
        <w:jc w:val="left"/>
        <w:rPr>
          <w:rFonts w:ascii="Arial" w:eastAsia="Times New Roman" w:hAnsi="Arial"/>
          <w:sz w:val="22"/>
          <w:szCs w:val="22"/>
        </w:rPr>
      </w:pPr>
    </w:p>
    <w:p w:rsidR="00D67862" w:rsidRPr="00D67862" w:rsidRDefault="00D67862" w:rsidP="00D67862">
      <w:pPr>
        <w:tabs>
          <w:tab w:val="clear" w:pos="1134"/>
          <w:tab w:val="left" w:pos="1080"/>
        </w:tabs>
        <w:spacing w:before="240"/>
        <w:jc w:val="left"/>
        <w:rPr>
          <w:rFonts w:ascii="Arial" w:eastAsia="Times New Roman" w:hAnsi="Arial"/>
          <w:b/>
          <w:bCs/>
          <w:sz w:val="28"/>
          <w:szCs w:val="22"/>
        </w:rPr>
      </w:pPr>
      <w:r w:rsidRPr="00D67862">
        <w:rPr>
          <w:rFonts w:ascii="Arial" w:eastAsia="Times New Roman" w:hAnsi="Arial"/>
          <w:b/>
          <w:bCs/>
          <w:sz w:val="28"/>
          <w:szCs w:val="22"/>
        </w:rPr>
        <w:t>Content consistency</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WCMP 1.3 mandates to include at least one keyword from the </w:t>
      </w:r>
      <w:proofErr w:type="spellStart"/>
      <w:r w:rsidRPr="00D67862">
        <w:rPr>
          <w:rFonts w:ascii="Arial" w:eastAsia="Times New Roman" w:hAnsi="Arial"/>
          <w:sz w:val="22"/>
          <w:szCs w:val="22"/>
        </w:rPr>
        <w:t>WMO_CategoryCode</w:t>
      </w:r>
      <w:proofErr w:type="spellEnd"/>
      <w:r w:rsidRPr="00D67862">
        <w:rPr>
          <w:rFonts w:ascii="Arial" w:eastAsia="Times New Roman" w:hAnsi="Arial"/>
          <w:sz w:val="22"/>
          <w:szCs w:val="22"/>
        </w:rPr>
        <w:t xml:space="preserve"> code list. Even if there is no limitation on the number of  keywords from this code list for a metadata record, it is recommended to do not blend multiple data categories or topics in the same dataset, resulting in an heterogeneous aggregate.</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e.g. :  An aggregate  { satellite observation, weather forecast } would not make sense, but  it should be possible to have   { pollution, water pollution }</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More generally, dataset heterogeneity in terms of content will affect data discoverability on the WIS : it is likely that search requests (e.g. through CSW) would return too many records, because many keywords and other metadata elements would be shared among metadata records.</w:t>
      </w:r>
    </w:p>
    <w:p w:rsidR="00D67862" w:rsidRPr="00D67862" w:rsidRDefault="00D67862" w:rsidP="00D67862">
      <w:pPr>
        <w:tabs>
          <w:tab w:val="clear" w:pos="1134"/>
          <w:tab w:val="left" w:pos="1080"/>
        </w:tabs>
        <w:spacing w:before="240"/>
        <w:jc w:val="left"/>
        <w:rPr>
          <w:rFonts w:ascii="Arial" w:eastAsia="Times New Roman" w:hAnsi="Arial"/>
          <w:sz w:val="22"/>
          <w:szCs w:val="22"/>
        </w:rPr>
      </w:pPr>
    </w:p>
    <w:p w:rsidR="00D67862" w:rsidRPr="00D67862" w:rsidRDefault="00D67862" w:rsidP="00D67862">
      <w:pPr>
        <w:tabs>
          <w:tab w:val="clear" w:pos="1134"/>
          <w:tab w:val="left" w:pos="1080"/>
        </w:tabs>
        <w:spacing w:before="240"/>
        <w:jc w:val="left"/>
        <w:rPr>
          <w:rFonts w:ascii="Arial" w:eastAsia="Times New Roman" w:hAnsi="Arial"/>
          <w:b/>
          <w:bCs/>
          <w:sz w:val="28"/>
          <w:szCs w:val="22"/>
        </w:rPr>
      </w:pPr>
      <w:r w:rsidRPr="00D67862">
        <w:rPr>
          <w:rFonts w:ascii="Arial" w:eastAsia="Times New Roman" w:hAnsi="Arial"/>
          <w:b/>
          <w:bCs/>
          <w:sz w:val="28"/>
          <w:szCs w:val="22"/>
        </w:rPr>
        <w:t>Update frequency, other temporal characteristics</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The refreshing rate of data has also to be taken into account in terms of dataset granularity, because this will have an impact on catalogues. Setting dataset granularity  at "temporal instance" level, instead of "time series" level will require to generate (automatically) a lot of metadata records, and to update catalogues in near real-time.  It will be probably difficult  to synchronize such "dynamic" metadata records among the GISCs, especially through harvesting processes,  and this would make the WIS inoperable. In addition, this will affect data discoverability (a request will probably return a lot of records)</w:t>
      </w:r>
    </w:p>
    <w:p w:rsidR="00D67862" w:rsidRPr="00D67862" w:rsidRDefault="00D67862" w:rsidP="00D67862">
      <w:pPr>
        <w:tabs>
          <w:tab w:val="clear" w:pos="1134"/>
          <w:tab w:val="left" w:pos="1080"/>
        </w:tabs>
        <w:spacing w:before="240"/>
        <w:rPr>
          <w:rFonts w:ascii="Arial" w:eastAsia="Times New Roman" w:hAnsi="Arial"/>
          <w:b/>
          <w:bCs/>
          <w:sz w:val="28"/>
          <w:szCs w:val="22"/>
        </w:rPr>
      </w:pPr>
      <w:r w:rsidRPr="00D67862">
        <w:rPr>
          <w:rFonts w:ascii="Arial" w:eastAsia="Times New Roman" w:hAnsi="Arial"/>
          <w:sz w:val="22"/>
          <w:szCs w:val="22"/>
        </w:rPr>
        <w:t>For instance, "</w:t>
      </w:r>
      <w:r w:rsidRPr="00D67862">
        <w:rPr>
          <w:rFonts w:ascii="Arial" w:eastAsia="Times New Roman" w:hAnsi="Arial"/>
          <w:i/>
          <w:iCs/>
          <w:sz w:val="22"/>
          <w:szCs w:val="22"/>
        </w:rPr>
        <w:t>French WMO Resolution 40 Essential SYNOP</w:t>
      </w:r>
      <w:r w:rsidRPr="00D67862">
        <w:rPr>
          <w:rFonts w:ascii="Arial" w:eastAsia="Times New Roman" w:hAnsi="Arial"/>
          <w:sz w:val="22"/>
          <w:szCs w:val="22"/>
        </w:rPr>
        <w:t>" dataset could be seen as a temporal "</w:t>
      </w:r>
      <w:proofErr w:type="spellStart"/>
      <w:r w:rsidRPr="00D67862">
        <w:rPr>
          <w:rFonts w:ascii="Arial" w:eastAsia="Times New Roman" w:hAnsi="Arial"/>
          <w:sz w:val="22"/>
          <w:szCs w:val="22"/>
        </w:rPr>
        <w:t>serie</w:t>
      </w:r>
      <w:proofErr w:type="spellEnd"/>
      <w:r w:rsidRPr="00D67862">
        <w:rPr>
          <w:rFonts w:ascii="Arial" w:eastAsia="Times New Roman" w:hAnsi="Arial"/>
          <w:sz w:val="22"/>
          <w:szCs w:val="22"/>
        </w:rPr>
        <w:t>", and the discovery metadata should be provided at this level, and not at "temporal instance" level  (e.g. "</w:t>
      </w:r>
      <w:r w:rsidRPr="00D67862">
        <w:rPr>
          <w:rFonts w:ascii="Arial" w:eastAsia="Times New Roman" w:hAnsi="Arial"/>
          <w:i/>
          <w:iCs/>
          <w:sz w:val="22"/>
          <w:szCs w:val="22"/>
        </w:rPr>
        <w:t>French WMO Resolution 40 Essential SYNOP 2016-04-07T12:00:00Z</w:t>
      </w:r>
      <w:r w:rsidRPr="00D67862">
        <w:rPr>
          <w:rFonts w:ascii="Arial" w:eastAsia="Times New Roman" w:hAnsi="Arial"/>
          <w:sz w:val="22"/>
          <w:szCs w:val="22"/>
        </w:rPr>
        <w:t>").</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That's why it is strongly recommended to set dataset granularity at "series" level and not at "temporal instance" level.</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It is also recommended to do not blend data of different refresh rates in the same dataset, because it will not be possible to specify the update frequency in discovery metadata records.</w:t>
      </w:r>
    </w:p>
    <w:p w:rsidR="00D67862" w:rsidRPr="00D67862" w:rsidRDefault="00D67862" w:rsidP="00D67862">
      <w:pPr>
        <w:tabs>
          <w:tab w:val="clear" w:pos="1134"/>
          <w:tab w:val="left" w:pos="1080"/>
        </w:tabs>
        <w:spacing w:before="240"/>
        <w:rPr>
          <w:rFonts w:ascii="Arial" w:eastAsia="Times New Roman" w:hAnsi="Arial"/>
          <w:b/>
          <w:bCs/>
          <w:sz w:val="28"/>
          <w:szCs w:val="22"/>
        </w:rPr>
      </w:pPr>
    </w:p>
    <w:p w:rsidR="00D67862" w:rsidRPr="00D67862" w:rsidRDefault="00D67862" w:rsidP="00D67862">
      <w:pPr>
        <w:tabs>
          <w:tab w:val="clear" w:pos="1134"/>
          <w:tab w:val="left" w:pos="1080"/>
        </w:tabs>
        <w:spacing w:before="240"/>
        <w:jc w:val="left"/>
        <w:rPr>
          <w:rFonts w:ascii="Arial" w:eastAsia="Times New Roman" w:hAnsi="Arial"/>
          <w:b/>
          <w:bCs/>
          <w:sz w:val="28"/>
          <w:szCs w:val="22"/>
        </w:rPr>
      </w:pPr>
      <w:r w:rsidRPr="00D67862">
        <w:rPr>
          <w:rFonts w:ascii="Arial" w:eastAsia="Times New Roman" w:hAnsi="Arial"/>
          <w:b/>
          <w:bCs/>
          <w:sz w:val="28"/>
          <w:szCs w:val="22"/>
        </w:rPr>
        <w:t>Data policy and distribution scope</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A dataset shall be homogeneous in terms of data policy,  including WMO distribution policy  described through </w:t>
      </w:r>
      <w:proofErr w:type="spellStart"/>
      <w:r w:rsidRPr="00D67862">
        <w:rPr>
          <w:rFonts w:ascii="Arial" w:eastAsia="Times New Roman" w:hAnsi="Arial"/>
          <w:sz w:val="22"/>
          <w:szCs w:val="22"/>
        </w:rPr>
        <w:t>WMO_DistributionScopeCode</w:t>
      </w:r>
      <w:proofErr w:type="spellEnd"/>
      <w:r w:rsidRPr="00D67862">
        <w:rPr>
          <w:rFonts w:ascii="Arial" w:eastAsia="Times New Roman" w:hAnsi="Arial"/>
          <w:sz w:val="22"/>
          <w:szCs w:val="22"/>
        </w:rPr>
        <w:t xml:space="preserve">, </w:t>
      </w:r>
      <w:proofErr w:type="spellStart"/>
      <w:r w:rsidRPr="00D67862">
        <w:rPr>
          <w:rFonts w:ascii="Arial" w:eastAsia="Times New Roman" w:hAnsi="Arial"/>
          <w:sz w:val="22"/>
          <w:szCs w:val="22"/>
        </w:rPr>
        <w:t>WMO_DataLicenseCode</w:t>
      </w:r>
      <w:proofErr w:type="spellEnd"/>
      <w:r w:rsidRPr="00D67862">
        <w:rPr>
          <w:rFonts w:ascii="Arial" w:eastAsia="Times New Roman" w:hAnsi="Arial"/>
          <w:sz w:val="22"/>
          <w:szCs w:val="22"/>
        </w:rPr>
        <w:t xml:space="preserve">,  </w:t>
      </w:r>
      <w:proofErr w:type="spellStart"/>
      <w:r w:rsidRPr="00D67862">
        <w:rPr>
          <w:rFonts w:ascii="Arial" w:eastAsia="Times New Roman" w:hAnsi="Arial"/>
          <w:sz w:val="22"/>
          <w:szCs w:val="22"/>
        </w:rPr>
        <w:t>WMO_GTSProductCategoryCode</w:t>
      </w:r>
      <w:proofErr w:type="spellEnd"/>
      <w:r w:rsidRPr="00D67862">
        <w:rPr>
          <w:rFonts w:ascii="Arial" w:eastAsia="Times New Roman" w:hAnsi="Arial"/>
          <w:sz w:val="22"/>
          <w:szCs w:val="22"/>
        </w:rPr>
        <w:t xml:space="preserve"> and </w:t>
      </w:r>
      <w:proofErr w:type="spellStart"/>
      <w:r w:rsidRPr="00D67862">
        <w:rPr>
          <w:rFonts w:ascii="Arial" w:eastAsia="Times New Roman" w:hAnsi="Arial"/>
          <w:sz w:val="22"/>
          <w:szCs w:val="22"/>
        </w:rPr>
        <w:t>MD_RestrictionCode</w:t>
      </w:r>
      <w:proofErr w:type="spellEnd"/>
      <w:r w:rsidRPr="00D67862">
        <w:rPr>
          <w:rFonts w:ascii="Arial" w:eastAsia="Times New Roman" w:hAnsi="Arial"/>
          <w:sz w:val="22"/>
          <w:szCs w:val="22"/>
        </w:rPr>
        <w:t xml:space="preserve"> code lists.  The WCMP 1.3 mentioned in section 9.3 that  :</w:t>
      </w:r>
    </w:p>
    <w:p w:rsidR="00D67862" w:rsidRPr="00D67862" w:rsidRDefault="00D67862" w:rsidP="00D67862">
      <w:pPr>
        <w:tabs>
          <w:tab w:val="clear" w:pos="1134"/>
          <w:tab w:val="left" w:pos="1080"/>
        </w:tabs>
        <w:spacing w:before="240"/>
        <w:jc w:val="left"/>
        <w:rPr>
          <w:rFonts w:ascii="Arial" w:eastAsia="Times New Roman" w:hAnsi="Arial"/>
          <w:sz w:val="22"/>
          <w:szCs w:val="22"/>
        </w:rPr>
      </w:pPr>
      <w:r w:rsidRPr="00D67862">
        <w:rPr>
          <w:rFonts w:ascii="Arial" w:eastAsia="Times New Roman" w:hAnsi="Arial"/>
          <w:sz w:val="22"/>
          <w:szCs w:val="22"/>
        </w:rPr>
        <w:t>"</w:t>
      </w:r>
      <w:r w:rsidRPr="00D67862">
        <w:rPr>
          <w:rFonts w:ascii="Arial" w:eastAsia="Times New Roman" w:hAnsi="Arial"/>
          <w:i/>
          <w:iCs/>
          <w:sz w:val="22"/>
          <w:szCs w:val="22"/>
        </w:rPr>
        <w:t xml:space="preserve">The presence of more than one WMO Data Policy in a single metadata record yields </w:t>
      </w:r>
      <w:proofErr w:type="spellStart"/>
      <w:r w:rsidRPr="00D67862">
        <w:rPr>
          <w:rFonts w:ascii="Arial" w:eastAsia="Times New Roman" w:hAnsi="Arial"/>
          <w:i/>
          <w:iCs/>
          <w:sz w:val="22"/>
          <w:szCs w:val="22"/>
        </w:rPr>
        <w:t>a</w:t>
      </w:r>
      <w:proofErr w:type="spellEnd"/>
      <w:r w:rsidRPr="00D67862">
        <w:rPr>
          <w:rFonts w:ascii="Arial" w:eastAsia="Times New Roman" w:hAnsi="Arial"/>
          <w:i/>
          <w:iCs/>
          <w:sz w:val="22"/>
          <w:szCs w:val="22"/>
        </w:rPr>
        <w:t xml:space="preserve"> ambiguous state, a WIS Discovery Metadata record describing data for global exchange shall declare only a single Data Policy</w:t>
      </w:r>
      <w:r w:rsidRPr="00D67862">
        <w:rPr>
          <w:rFonts w:ascii="Arial" w:eastAsia="Times New Roman" w:hAnsi="Arial"/>
          <w:sz w:val="22"/>
          <w:szCs w:val="22"/>
        </w:rPr>
        <w:t>".</w:t>
      </w:r>
    </w:p>
    <w:p w:rsidR="00D67862" w:rsidRPr="00D67862" w:rsidRDefault="00D67862" w:rsidP="00D67862">
      <w:pPr>
        <w:tabs>
          <w:tab w:val="clear" w:pos="1134"/>
          <w:tab w:val="left" w:pos="1080"/>
        </w:tabs>
        <w:spacing w:before="240"/>
        <w:rPr>
          <w:rFonts w:ascii="Arial" w:eastAsia="Times New Roman" w:hAnsi="Arial"/>
          <w:b/>
          <w:bCs/>
          <w:sz w:val="28"/>
          <w:szCs w:val="22"/>
        </w:rPr>
      </w:pPr>
      <w:r w:rsidRPr="00D67862">
        <w:rPr>
          <w:rFonts w:ascii="Arial" w:eastAsia="Times New Roman" w:hAnsi="Arial"/>
          <w:sz w:val="22"/>
          <w:szCs w:val="22"/>
        </w:rPr>
        <w:lastRenderedPageBreak/>
        <w:t>Beyond WCMP 1.3 compliance, it is not easy to describe multiple data policies in a same metadata record, and if a dataset is heterogeneous in terms of data policy, the implementation of these policies by the services may be difficult.</w:t>
      </w:r>
    </w:p>
    <w:p w:rsidR="00D67862" w:rsidRPr="00D67862" w:rsidRDefault="00D67862" w:rsidP="00D67862">
      <w:pPr>
        <w:tabs>
          <w:tab w:val="clear" w:pos="1134"/>
          <w:tab w:val="left" w:pos="1080"/>
        </w:tabs>
        <w:spacing w:before="240"/>
        <w:rPr>
          <w:rFonts w:ascii="Arial" w:eastAsia="Times New Roman" w:hAnsi="Arial"/>
          <w:b/>
          <w:bCs/>
          <w:sz w:val="28"/>
          <w:szCs w:val="22"/>
        </w:rPr>
      </w:pPr>
    </w:p>
    <w:p w:rsidR="00D67862" w:rsidRPr="00D67862" w:rsidRDefault="00D67862" w:rsidP="00D67862">
      <w:pPr>
        <w:tabs>
          <w:tab w:val="clear" w:pos="1134"/>
          <w:tab w:val="left" w:pos="1080"/>
        </w:tabs>
        <w:spacing w:before="240"/>
        <w:jc w:val="left"/>
        <w:rPr>
          <w:rFonts w:ascii="Arial" w:eastAsia="Times New Roman" w:hAnsi="Arial"/>
          <w:b/>
          <w:bCs/>
          <w:sz w:val="28"/>
          <w:szCs w:val="22"/>
        </w:rPr>
      </w:pPr>
      <w:r w:rsidRPr="00D67862">
        <w:rPr>
          <w:rFonts w:ascii="Arial" w:eastAsia="Times New Roman" w:hAnsi="Arial"/>
          <w:b/>
          <w:bCs/>
          <w:sz w:val="28"/>
          <w:szCs w:val="22"/>
        </w:rPr>
        <w:t>Spatial extent</w:t>
      </w:r>
    </w:p>
    <w:p w:rsidR="00D67862" w:rsidRPr="00D67862" w:rsidRDefault="00D67862" w:rsidP="00D67862">
      <w:pPr>
        <w:tabs>
          <w:tab w:val="clear" w:pos="1134"/>
          <w:tab w:val="left" w:pos="1080"/>
        </w:tabs>
        <w:spacing w:before="240"/>
        <w:rPr>
          <w:rFonts w:ascii="Arial" w:eastAsia="Times New Roman" w:hAnsi="Arial"/>
          <w:sz w:val="22"/>
          <w:szCs w:val="22"/>
        </w:rPr>
      </w:pPr>
      <w:r w:rsidRPr="00D67862">
        <w:rPr>
          <w:rFonts w:ascii="Arial" w:eastAsia="Times New Roman" w:hAnsi="Arial"/>
          <w:sz w:val="22"/>
          <w:szCs w:val="22"/>
        </w:rPr>
        <w:t xml:space="preserve">Except for global datasets, a coarse granularity is likely to affect the discoverability of data on the basis of spatial criterion, especially if the effective areas where data is available are disjoints   : </w:t>
      </w:r>
    </w:p>
    <w:p w:rsidR="00D67862" w:rsidRPr="00D67862" w:rsidRDefault="00D67862" w:rsidP="00D67862">
      <w:pPr>
        <w:tabs>
          <w:tab w:val="clear" w:pos="1134"/>
          <w:tab w:val="left" w:pos="1080"/>
        </w:tabs>
        <w:spacing w:before="240"/>
        <w:rPr>
          <w:rFonts w:ascii="Arial" w:eastAsia="Times New Roman" w:hAnsi="Arial"/>
          <w:sz w:val="22"/>
          <w:szCs w:val="22"/>
        </w:rPr>
      </w:pPr>
      <w:proofErr w:type="spellStart"/>
      <w:r w:rsidRPr="00D67862">
        <w:rPr>
          <w:rFonts w:ascii="Arial" w:eastAsia="Times New Roman" w:hAnsi="Arial"/>
          <w:sz w:val="22"/>
          <w:szCs w:val="22"/>
        </w:rPr>
        <w:t>e.g</w:t>
      </w:r>
      <w:proofErr w:type="spellEnd"/>
      <w:r w:rsidRPr="00D67862">
        <w:rPr>
          <w:rFonts w:ascii="Arial" w:eastAsia="Times New Roman" w:hAnsi="Arial"/>
          <w:sz w:val="22"/>
          <w:szCs w:val="22"/>
        </w:rPr>
        <w:t xml:space="preserve"> : Synoptic observations on the French DOMS : Guyana, Martinique,  Reunion, Guadeloupe are dispatched in different datasets.</w:t>
      </w:r>
    </w:p>
    <w:p w:rsidR="00D67862" w:rsidRPr="00D67862" w:rsidRDefault="00D67862" w:rsidP="00D67862">
      <w:pPr>
        <w:pStyle w:val="BodyText"/>
      </w:pPr>
    </w:p>
    <w:sectPr w:rsidR="00D67862" w:rsidRPr="00D67862" w:rsidSect="0020095E">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862" w:rsidRDefault="00D678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862" w:rsidRDefault="00D678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862" w:rsidRDefault="00D678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862" w:rsidRDefault="00D678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D67862">
    <w:pPr>
      <w:pStyle w:val="Header"/>
    </w:pPr>
    <w:r>
      <w:t xml:space="preserve">IPET-MDRD-4/Doc </w:t>
    </w:r>
    <w:r w:rsidR="00D67862">
      <w:t>2.2(3)</w:t>
    </w:r>
    <w:bookmarkStart w:id="1" w:name="_GoBack"/>
    <w:bookmarkEnd w:id="1"/>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D67862">
      <w:rPr>
        <w:rStyle w:val="PageNumber"/>
        <w:noProof/>
      </w:rPr>
      <w:t>2</w:t>
    </w:r>
    <w:r w:rsidR="0020095E" w:rsidRPr="00C2459D">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862" w:rsidRDefault="00D678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5">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8">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B283635"/>
    <w:multiLevelType w:val="hybridMultilevel"/>
    <w:tmpl w:val="BF8E2FBE"/>
    <w:lvl w:ilvl="0" w:tplc="9D64B4D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B512F11"/>
    <w:multiLevelType w:val="hybridMultilevel"/>
    <w:tmpl w:val="C0F62646"/>
    <w:lvl w:ilvl="0" w:tplc="9D64B4D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9">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9"/>
  </w:num>
  <w:num w:numId="3">
    <w:abstractNumId w:val="29"/>
  </w:num>
  <w:num w:numId="4">
    <w:abstractNumId w:val="38"/>
  </w:num>
  <w:num w:numId="5">
    <w:abstractNumId w:val="18"/>
  </w:num>
  <w:num w:numId="6">
    <w:abstractNumId w:val="24"/>
  </w:num>
  <w:num w:numId="7">
    <w:abstractNumId w:val="19"/>
  </w:num>
  <w:num w:numId="8">
    <w:abstractNumId w:val="31"/>
  </w:num>
  <w:num w:numId="9">
    <w:abstractNumId w:val="23"/>
  </w:num>
  <w:num w:numId="10">
    <w:abstractNumId w:val="21"/>
  </w:num>
  <w:num w:numId="11">
    <w:abstractNumId w:val="37"/>
  </w:num>
  <w:num w:numId="12">
    <w:abstractNumId w:val="11"/>
  </w:num>
  <w:num w:numId="13">
    <w:abstractNumId w:val="27"/>
  </w:num>
  <w:num w:numId="14">
    <w:abstractNumId w:val="42"/>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5"/>
  </w:num>
  <w:num w:numId="27">
    <w:abstractNumId w:val="32"/>
  </w:num>
  <w:num w:numId="28">
    <w:abstractNumId w:val="25"/>
  </w:num>
  <w:num w:numId="29">
    <w:abstractNumId w:val="33"/>
  </w:num>
  <w:num w:numId="30">
    <w:abstractNumId w:val="35"/>
  </w:num>
  <w:num w:numId="31">
    <w:abstractNumId w:val="14"/>
  </w:num>
  <w:num w:numId="32">
    <w:abstractNumId w:val="41"/>
  </w:num>
  <w:num w:numId="33">
    <w:abstractNumId w:val="40"/>
  </w:num>
  <w:num w:numId="34">
    <w:abstractNumId w:val="26"/>
  </w:num>
  <w:num w:numId="35">
    <w:abstractNumId w:val="28"/>
  </w:num>
  <w:num w:numId="36">
    <w:abstractNumId w:val="46"/>
  </w:num>
  <w:num w:numId="37">
    <w:abstractNumId w:val="36"/>
  </w:num>
  <w:num w:numId="38">
    <w:abstractNumId w:val="12"/>
  </w:num>
  <w:num w:numId="39">
    <w:abstractNumId w:val="13"/>
  </w:num>
  <w:num w:numId="40">
    <w:abstractNumId w:val="16"/>
  </w:num>
  <w:num w:numId="41">
    <w:abstractNumId w:val="10"/>
  </w:num>
  <w:num w:numId="42">
    <w:abstractNumId w:val="44"/>
  </w:num>
  <w:num w:numId="43">
    <w:abstractNumId w:val="15"/>
  </w:num>
  <w:num w:numId="44">
    <w:abstractNumId w:val="17"/>
  </w:num>
  <w:num w:numId="45">
    <w:abstractNumId w:val="34"/>
  </w:num>
  <w:num w:numId="46">
    <w:abstractNumId w:val="22"/>
  </w:num>
  <w:num w:numId="47">
    <w:abstractNumId w:val="39"/>
  </w:num>
  <w:num w:numId="48">
    <w:abstractNumId w:val="48"/>
  </w:num>
  <w:num w:numId="49">
    <w:abstractNumId w:val="43"/>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806D8"/>
    <w:rsid w:val="00082C80"/>
    <w:rsid w:val="00083847"/>
    <w:rsid w:val="00083C36"/>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031E"/>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97DB5"/>
    <w:rsid w:val="006A492A"/>
    <w:rsid w:val="006D5576"/>
    <w:rsid w:val="006E766D"/>
    <w:rsid w:val="00705C9F"/>
    <w:rsid w:val="00712ED1"/>
    <w:rsid w:val="00716951"/>
    <w:rsid w:val="00735D9E"/>
    <w:rsid w:val="00754CF7"/>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A7313"/>
    <w:rsid w:val="008A7D91"/>
    <w:rsid w:val="008B7FC7"/>
    <w:rsid w:val="008E1E4A"/>
    <w:rsid w:val="008F0615"/>
    <w:rsid w:val="008F1FDB"/>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874EF"/>
    <w:rsid w:val="00A95415"/>
    <w:rsid w:val="00AA3C89"/>
    <w:rsid w:val="00AC4CDB"/>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C04BD2"/>
    <w:rsid w:val="00C13EEC"/>
    <w:rsid w:val="00C156A4"/>
    <w:rsid w:val="00C20FAA"/>
    <w:rsid w:val="00C2459D"/>
    <w:rsid w:val="00C42C95"/>
    <w:rsid w:val="00C55E5B"/>
    <w:rsid w:val="00C720A4"/>
    <w:rsid w:val="00C7611C"/>
    <w:rsid w:val="00C94097"/>
    <w:rsid w:val="00CA4269"/>
    <w:rsid w:val="00CA7330"/>
    <w:rsid w:val="00CB64F0"/>
    <w:rsid w:val="00CC2909"/>
    <w:rsid w:val="00D05E6F"/>
    <w:rsid w:val="00D33442"/>
    <w:rsid w:val="00D44BAD"/>
    <w:rsid w:val="00D45B55"/>
    <w:rsid w:val="00D67862"/>
    <w:rsid w:val="00D7097B"/>
    <w:rsid w:val="00D91DFA"/>
    <w:rsid w:val="00DB1AB2"/>
    <w:rsid w:val="00DD3A65"/>
    <w:rsid w:val="00DD62C6"/>
    <w:rsid w:val="00E00498"/>
    <w:rsid w:val="00E2617A"/>
    <w:rsid w:val="00E538E6"/>
    <w:rsid w:val="00E53BC0"/>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3788-200A-4B51-9CAF-B691A5C4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3</TotalTime>
  <Pages>4</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6133</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2016-04-28T11:31:00Z</dcterms:created>
  <dcterms:modified xsi:type="dcterms:W3CDTF">2016-04-28T11:35:00Z</dcterms:modified>
</cp:coreProperties>
</file>