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Borders>
          <w:bottom w:val="single" w:sz="4" w:space="0" w:color="auto"/>
        </w:tblBorders>
        <w:tblLook w:val="01E0" w:firstRow="1" w:lastRow="1" w:firstColumn="1" w:lastColumn="1" w:noHBand="0" w:noVBand="0"/>
      </w:tblPr>
      <w:tblGrid>
        <w:gridCol w:w="6912"/>
        <w:gridCol w:w="2977"/>
      </w:tblGrid>
      <w:tr w:rsidR="00993581" w:rsidRPr="00636B90" w:rsidTr="00DE0041">
        <w:trPr>
          <w:trHeight w:val="282"/>
        </w:trPr>
        <w:tc>
          <w:tcPr>
            <w:tcW w:w="6912" w:type="dxa"/>
            <w:vMerge w:val="restart"/>
          </w:tcPr>
          <w:p w:rsidR="00993581" w:rsidRPr="005D666D" w:rsidRDefault="00993581" w:rsidP="00993581">
            <w:pPr>
              <w:tabs>
                <w:tab w:val="left" w:pos="6946"/>
              </w:tabs>
              <w:suppressAutoHyphens/>
              <w:spacing w:after="120" w:line="252" w:lineRule="auto"/>
              <w:ind w:left="1134"/>
              <w:jc w:val="left"/>
              <w:rPr>
                <w:rFonts w:cs="Tahoma"/>
                <w:b/>
                <w:bCs/>
                <w:color w:val="365F91" w:themeColor="accent1" w:themeShade="BF"/>
                <w:szCs w:val="22"/>
              </w:rPr>
            </w:pPr>
            <w:r w:rsidRPr="005D666D">
              <w:rPr>
                <w:noProof/>
                <w:color w:val="365F91" w:themeColor="accent1" w:themeShade="BF"/>
                <w:szCs w:val="22"/>
                <w:lang w:eastAsia="zh-CN"/>
              </w:rPr>
              <w:drawing>
                <wp:anchor distT="0" distB="0" distL="114300" distR="114300" simplePos="0" relativeHeight="251671552" behindDoc="1" locked="1" layoutInCell="1" allowOverlap="1" wp14:anchorId="79CD7781" wp14:editId="5A6E8905">
                  <wp:simplePos x="0" y="0"/>
                  <wp:positionH relativeFrom="page">
                    <wp:posOffset>8255</wp:posOffset>
                  </wp:positionH>
                  <wp:positionV relativeFrom="page">
                    <wp:posOffset>-13970</wp:posOffset>
                  </wp:positionV>
                  <wp:extent cx="613410" cy="6731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mo_logo_e_black"/>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13410"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008160B3">
              <w:rPr>
                <w:rFonts w:cs="Tahoma"/>
                <w:b/>
                <w:bCs/>
                <w:color w:val="365F91" w:themeColor="accent1" w:themeShade="BF"/>
                <w:szCs w:val="22"/>
              </w:rPr>
              <w:t>World Meteorological Organization</w:t>
            </w:r>
          </w:p>
          <w:p w:rsidR="00993581" w:rsidRPr="005D666D" w:rsidRDefault="008160B3" w:rsidP="00993581">
            <w:pPr>
              <w:tabs>
                <w:tab w:val="left" w:pos="6946"/>
              </w:tabs>
              <w:suppressAutoHyphens/>
              <w:spacing w:after="120" w:line="252" w:lineRule="auto"/>
              <w:ind w:left="1134"/>
              <w:jc w:val="left"/>
              <w:rPr>
                <w:rFonts w:cs="Tahoma"/>
                <w:b/>
                <w:color w:val="365F91" w:themeColor="accent1" w:themeShade="BF"/>
                <w:spacing w:val="-2"/>
                <w:szCs w:val="22"/>
              </w:rPr>
            </w:pPr>
            <w:r>
              <w:rPr>
                <w:rFonts w:cs="Tahoma"/>
                <w:b/>
                <w:color w:val="365F91" w:themeColor="accent1" w:themeShade="BF"/>
                <w:spacing w:val="-2"/>
                <w:szCs w:val="22"/>
              </w:rPr>
              <w:t>COMMISSION FOR BASIC SYSTEMS</w:t>
            </w:r>
          </w:p>
          <w:p w:rsidR="00712ED1" w:rsidRDefault="00712ED1" w:rsidP="00993581">
            <w:pPr>
              <w:tabs>
                <w:tab w:val="left" w:pos="6946"/>
              </w:tabs>
              <w:suppressAutoHyphens/>
              <w:spacing w:after="120" w:line="252" w:lineRule="auto"/>
              <w:ind w:left="1134"/>
              <w:jc w:val="left"/>
              <w:rPr>
                <w:rFonts w:cstheme="minorBidi"/>
                <w:b/>
                <w:snapToGrid w:val="0"/>
                <w:color w:val="365F91" w:themeColor="accent1" w:themeShade="BF"/>
                <w:szCs w:val="22"/>
              </w:rPr>
            </w:pPr>
            <w:r>
              <w:rPr>
                <w:rFonts w:cstheme="minorBidi"/>
                <w:b/>
                <w:snapToGrid w:val="0"/>
                <w:color w:val="365F91" w:themeColor="accent1" w:themeShade="BF"/>
                <w:szCs w:val="22"/>
              </w:rPr>
              <w:t>Inter-Programme Expert Team on Metadata and Data Representation Development</w:t>
            </w:r>
          </w:p>
          <w:p w:rsidR="00993581" w:rsidRPr="005D666D" w:rsidRDefault="00712ED1" w:rsidP="00993581">
            <w:pPr>
              <w:tabs>
                <w:tab w:val="left" w:pos="6946"/>
              </w:tabs>
              <w:suppressAutoHyphens/>
              <w:spacing w:after="120" w:line="252" w:lineRule="auto"/>
              <w:ind w:left="1134"/>
              <w:jc w:val="left"/>
              <w:rPr>
                <w:rFonts w:cs="Tahoma"/>
                <w:b/>
                <w:bCs/>
                <w:color w:val="365F91" w:themeColor="accent1" w:themeShade="BF"/>
                <w:szCs w:val="22"/>
              </w:rPr>
            </w:pPr>
            <w:r>
              <w:rPr>
                <w:rFonts w:cstheme="minorBidi"/>
                <w:b/>
                <w:snapToGrid w:val="0"/>
                <w:color w:val="365F91" w:themeColor="accent1" w:themeShade="BF"/>
                <w:szCs w:val="22"/>
              </w:rPr>
              <w:t>Fourth Meeting</w:t>
            </w:r>
            <w:r w:rsidR="00993581" w:rsidRPr="005D666D">
              <w:rPr>
                <w:rFonts w:cstheme="minorBidi"/>
                <w:b/>
                <w:snapToGrid w:val="0"/>
                <w:color w:val="365F91" w:themeColor="accent1" w:themeShade="BF"/>
                <w:szCs w:val="22"/>
              </w:rPr>
              <w:br/>
            </w:r>
            <w:r w:rsidR="008160B3">
              <w:rPr>
                <w:snapToGrid w:val="0"/>
                <w:color w:val="365F91" w:themeColor="accent1" w:themeShade="BF"/>
                <w:szCs w:val="22"/>
              </w:rPr>
              <w:t>Geneva, 9 to 12 May 2016</w:t>
            </w:r>
          </w:p>
        </w:tc>
        <w:tc>
          <w:tcPr>
            <w:tcW w:w="2977" w:type="dxa"/>
          </w:tcPr>
          <w:p w:rsidR="00993581" w:rsidRPr="00712ED1" w:rsidRDefault="00712ED1" w:rsidP="00BC2B83">
            <w:pPr>
              <w:tabs>
                <w:tab w:val="clear" w:pos="1134"/>
              </w:tabs>
              <w:spacing w:after="60"/>
              <w:ind w:right="-108"/>
              <w:jc w:val="right"/>
              <w:rPr>
                <w:rFonts w:cs="Tahoma"/>
                <w:b/>
                <w:bCs/>
                <w:color w:val="365F91" w:themeColor="accent1" w:themeShade="BF"/>
                <w:szCs w:val="22"/>
              </w:rPr>
            </w:pPr>
            <w:r w:rsidRPr="00712ED1">
              <w:rPr>
                <w:rFonts w:cs="Tahoma"/>
                <w:b/>
                <w:bCs/>
                <w:color w:val="365F91" w:themeColor="accent1" w:themeShade="BF"/>
                <w:szCs w:val="22"/>
              </w:rPr>
              <w:t>IPET-MDRD-4/Doc. </w:t>
            </w:r>
            <w:r w:rsidR="00BC2B83">
              <w:rPr>
                <w:rFonts w:cs="Tahoma"/>
                <w:b/>
                <w:bCs/>
                <w:color w:val="365F91" w:themeColor="accent1" w:themeShade="BF"/>
                <w:szCs w:val="22"/>
              </w:rPr>
              <w:t>2(1)</w:t>
            </w:r>
          </w:p>
        </w:tc>
      </w:tr>
      <w:tr w:rsidR="00993581" w:rsidRPr="005D666D" w:rsidTr="00DE0041">
        <w:trPr>
          <w:trHeight w:val="730"/>
        </w:trPr>
        <w:tc>
          <w:tcPr>
            <w:tcW w:w="6912" w:type="dxa"/>
            <w:vMerge/>
          </w:tcPr>
          <w:p w:rsidR="00993581" w:rsidRPr="00712ED1" w:rsidRDefault="00993581" w:rsidP="00DE0041">
            <w:pPr>
              <w:tabs>
                <w:tab w:val="left" w:pos="6946"/>
              </w:tabs>
              <w:suppressAutoHyphens/>
              <w:spacing w:after="120" w:line="252" w:lineRule="auto"/>
              <w:ind w:left="1134"/>
              <w:jc w:val="left"/>
              <w:rPr>
                <w:noProof/>
                <w:color w:val="365F91" w:themeColor="accent1" w:themeShade="BF"/>
                <w:szCs w:val="22"/>
                <w:lang w:eastAsia="zh-CN"/>
              </w:rPr>
            </w:pPr>
          </w:p>
        </w:tc>
        <w:tc>
          <w:tcPr>
            <w:tcW w:w="2977" w:type="dxa"/>
          </w:tcPr>
          <w:p w:rsidR="00993581" w:rsidRPr="005D666D" w:rsidRDefault="00993581" w:rsidP="00BC2B83">
            <w:pPr>
              <w:tabs>
                <w:tab w:val="clear" w:pos="1134"/>
              </w:tabs>
              <w:spacing w:after="60"/>
              <w:ind w:right="-108"/>
              <w:jc w:val="right"/>
              <w:rPr>
                <w:rFonts w:cs="Tahoma"/>
                <w:color w:val="365F91" w:themeColor="accent1" w:themeShade="BF"/>
                <w:szCs w:val="22"/>
              </w:rPr>
            </w:pPr>
            <w:r w:rsidRPr="005D666D">
              <w:rPr>
                <w:rFonts w:cs="Tahoma"/>
                <w:color w:val="365F91" w:themeColor="accent1" w:themeShade="BF"/>
                <w:szCs w:val="22"/>
              </w:rPr>
              <w:t>Submitted by:</w:t>
            </w:r>
            <w:r w:rsidRPr="005D666D">
              <w:rPr>
                <w:rFonts w:cs="Tahoma"/>
                <w:color w:val="365F91" w:themeColor="accent1" w:themeShade="BF"/>
                <w:szCs w:val="22"/>
              </w:rPr>
              <w:br/>
            </w:r>
            <w:r w:rsidR="00BC2B83">
              <w:rPr>
                <w:rFonts w:cs="Tahoma"/>
                <w:color w:val="365F91" w:themeColor="accent1" w:themeShade="BF"/>
                <w:szCs w:val="22"/>
              </w:rPr>
              <w:t>Foreman</w:t>
            </w:r>
            <w:r w:rsidRPr="005D666D">
              <w:rPr>
                <w:rFonts w:cs="Tahoma"/>
                <w:color w:val="365F91" w:themeColor="accent1" w:themeShade="BF"/>
                <w:szCs w:val="22"/>
              </w:rPr>
              <w:t xml:space="preserve"> </w:t>
            </w:r>
          </w:p>
          <w:p w:rsidR="00993581" w:rsidRPr="005D666D" w:rsidRDefault="00BC2B83" w:rsidP="00993581">
            <w:pPr>
              <w:tabs>
                <w:tab w:val="clear" w:pos="1134"/>
              </w:tabs>
              <w:spacing w:after="60"/>
              <w:ind w:right="-108"/>
              <w:jc w:val="right"/>
              <w:rPr>
                <w:rFonts w:cs="Tahoma"/>
                <w:color w:val="365F91" w:themeColor="accent1" w:themeShade="BF"/>
                <w:szCs w:val="22"/>
              </w:rPr>
            </w:pPr>
            <w:r>
              <w:rPr>
                <w:rFonts w:cs="Tahoma"/>
                <w:color w:val="365F91" w:themeColor="accent1" w:themeShade="BF"/>
                <w:szCs w:val="22"/>
              </w:rPr>
              <w:t>26.APR</w:t>
            </w:r>
            <w:r w:rsidR="008160B3">
              <w:rPr>
                <w:rFonts w:cs="Tahoma"/>
                <w:color w:val="365F91" w:themeColor="accent1" w:themeShade="BF"/>
                <w:szCs w:val="22"/>
              </w:rPr>
              <w:t>.2016</w:t>
            </w:r>
          </w:p>
          <w:p w:rsidR="00993581" w:rsidRPr="00DF1240" w:rsidRDefault="00993581" w:rsidP="00993581">
            <w:pPr>
              <w:tabs>
                <w:tab w:val="clear" w:pos="1134"/>
              </w:tabs>
              <w:spacing w:after="60"/>
              <w:ind w:right="-108"/>
              <w:jc w:val="right"/>
              <w:rPr>
                <w:rFonts w:cs="Tahoma"/>
                <w:b/>
                <w:bCs/>
                <w:color w:val="365F91" w:themeColor="accent1" w:themeShade="BF"/>
                <w:szCs w:val="22"/>
                <w:lang w:val="en-US"/>
              </w:rPr>
            </w:pPr>
            <w:r w:rsidRPr="005D666D">
              <w:rPr>
                <w:rFonts w:cs="Tahoma"/>
                <w:b/>
                <w:bCs/>
                <w:color w:val="365F91" w:themeColor="accent1" w:themeShade="BF"/>
                <w:szCs w:val="22"/>
              </w:rPr>
              <w:t>DRAFT 1</w:t>
            </w:r>
          </w:p>
        </w:tc>
      </w:tr>
    </w:tbl>
    <w:p w:rsidR="00082C80" w:rsidRPr="005D666D" w:rsidRDefault="00712ED1" w:rsidP="00BC2B83">
      <w:pPr>
        <w:pStyle w:val="WMOBodyText"/>
        <w:tabs>
          <w:tab w:val="clear" w:pos="1134"/>
        </w:tabs>
        <w:ind w:left="2977" w:hanging="2977"/>
        <w:rPr>
          <w:b/>
          <w:bCs/>
        </w:rPr>
      </w:pPr>
      <w:r>
        <w:rPr>
          <w:b/>
          <w:bCs/>
        </w:rPr>
        <w:t xml:space="preserve">AGENDA ITEM </w:t>
      </w:r>
      <w:r w:rsidR="00BC2B83">
        <w:rPr>
          <w:b/>
          <w:bCs/>
        </w:rPr>
        <w:t>2</w:t>
      </w:r>
      <w:r w:rsidR="008160B3">
        <w:rPr>
          <w:b/>
          <w:bCs/>
        </w:rPr>
        <w:t>:</w:t>
      </w:r>
      <w:r w:rsidR="008160B3">
        <w:rPr>
          <w:b/>
          <w:bCs/>
        </w:rPr>
        <w:tab/>
      </w:r>
      <w:r w:rsidR="00BC2B83">
        <w:rPr>
          <w:b/>
          <w:bCs/>
        </w:rPr>
        <w:t>WMO Core Metadata Profile</w:t>
      </w:r>
    </w:p>
    <w:p w:rsidR="00BC2B83" w:rsidRDefault="00BC2B83" w:rsidP="00B56934">
      <w:pPr>
        <w:pStyle w:val="Heading1"/>
      </w:pPr>
      <w:bookmarkStart w:id="0" w:name="_APPENDIX_A:_"/>
      <w:bookmarkEnd w:id="0"/>
    </w:p>
    <w:p w:rsidR="00BC2B83" w:rsidRDefault="00BC2B83" w:rsidP="00B56934">
      <w:pPr>
        <w:pStyle w:val="Heading1"/>
      </w:pPr>
      <w:r>
        <w:t>Feedback from ET-WISC</w:t>
      </w:r>
    </w:p>
    <w:p w:rsidR="008A7D91" w:rsidRDefault="00712ED1" w:rsidP="00B56934">
      <w:pPr>
        <w:pStyle w:val="Heading1"/>
      </w:pPr>
      <w:r>
        <w:t>Recommended Text</w:t>
      </w:r>
    </w:p>
    <w:p w:rsidR="00712ED1" w:rsidRDefault="00712ED1" w:rsidP="00712ED1">
      <w:pPr>
        <w:rPr>
          <w:lang w:eastAsia="zh-TW"/>
        </w:rPr>
      </w:pPr>
    </w:p>
    <w:p w:rsidR="00712ED1" w:rsidRDefault="00BC2B83" w:rsidP="00712ED1">
      <w:pPr>
        <w:pStyle w:val="Heading2"/>
      </w:pPr>
      <w:r>
        <w:t>2.</w:t>
      </w:r>
      <w:r>
        <w:tab/>
        <w:t>WMO Core Metadata Profile</w:t>
      </w:r>
    </w:p>
    <w:p w:rsidR="00BC2B83" w:rsidRDefault="00BC2B83" w:rsidP="00BC2B83">
      <w:pPr>
        <w:pStyle w:val="BodyTextNumbered"/>
      </w:pPr>
      <w:r>
        <w:t>The meeting of ET-WISC in Melbourne 18-22 April 2016 had responded to issues identified by IPET-MDRD at the meeting of the metadata sub-team in November 2015. The responses of ET</w:t>
      </w:r>
      <w:r>
        <w:noBreakHyphen/>
        <w:t>WISC are recorded in Annex 1.</w:t>
      </w:r>
    </w:p>
    <w:p w:rsidR="00CE7E07" w:rsidRDefault="00CE7E07" w:rsidP="00CE7E07">
      <w:pPr>
        <w:pStyle w:val="BodyTextNumbered"/>
      </w:pPr>
      <w:r>
        <w:t>In response to questions asked by ET-WISC, IPET-MDRD decided to report to TT-GISC through the GISC Tokyo representative:</w:t>
      </w:r>
      <w:r>
        <w:br/>
        <w:t>a) That an element stating whether the data flow descried by a metadata record was obsolete [</w:t>
      </w:r>
      <w:r w:rsidRPr="00CE7E07">
        <w:rPr>
          <w:highlight w:val="yellow"/>
        </w:rPr>
        <w:t>would / would not</w:t>
      </w:r>
      <w:r>
        <w:t>] be specified in a future version of the standard.</w:t>
      </w:r>
      <w:r>
        <w:br/>
        <w:t>b) That strong guidance [</w:t>
      </w:r>
      <w:r w:rsidRPr="00CE7E07">
        <w:rPr>
          <w:highlight w:val="yellow"/>
        </w:rPr>
        <w:t>would / would not</w:t>
      </w:r>
      <w:r>
        <w:t>] be given that metadata records describing discontinued data streams should be updated to state the first and last times that a routine data stream was transmitted.</w:t>
      </w:r>
    </w:p>
    <w:p w:rsidR="00BC2B83" w:rsidRPr="00BC2B83" w:rsidRDefault="00BC2B83" w:rsidP="00BC2B83">
      <w:pPr>
        <w:pStyle w:val="Decision"/>
        <w:rPr>
          <w:highlight w:val="yellow"/>
        </w:rPr>
      </w:pPr>
      <w:r w:rsidRPr="00BC2B83">
        <w:rPr>
          <w:highlight w:val="yellow"/>
        </w:rPr>
        <w:t>IPET-MDRD decided …</w:t>
      </w:r>
      <w:bookmarkStart w:id="1" w:name="_GoBack"/>
      <w:bookmarkEnd w:id="1"/>
    </w:p>
    <w:p w:rsidR="00BC2B83" w:rsidRPr="00BC2B83" w:rsidRDefault="00BC2B83" w:rsidP="00BC2B83">
      <w:pPr>
        <w:pStyle w:val="Action"/>
        <w:rPr>
          <w:highlight w:val="yellow"/>
        </w:rPr>
      </w:pPr>
      <w:r w:rsidRPr="00BC2B83">
        <w:rPr>
          <w:highlight w:val="yellow"/>
        </w:rPr>
        <w:t>IPET-MDRD would …</w:t>
      </w:r>
    </w:p>
    <w:p w:rsidR="00712ED1" w:rsidRDefault="00712ED1" w:rsidP="00712ED1">
      <w:pPr>
        <w:pStyle w:val="WMOBodyText"/>
      </w:pPr>
    </w:p>
    <w:p w:rsidR="00712ED1" w:rsidRDefault="00712ED1" w:rsidP="00712ED1">
      <w:pPr>
        <w:pStyle w:val="Heading1"/>
      </w:pPr>
      <w:r>
        <w:t>BACKGROUND</w:t>
      </w:r>
    </w:p>
    <w:p w:rsidR="00712ED1" w:rsidRDefault="00BC2B83" w:rsidP="00712ED1">
      <w:pPr>
        <w:pStyle w:val="BodyTextNumbered"/>
      </w:pPr>
      <w:r>
        <w:t>A summary of the key items raised during IPET-MDRD-3 was distributed to members of ICT-ISS. This document is attached as Annex 1.</w:t>
      </w:r>
    </w:p>
    <w:p w:rsidR="00BC2B83" w:rsidRDefault="00BC2B83" w:rsidP="00712ED1">
      <w:pPr>
        <w:pStyle w:val="BodyTextNumbered"/>
      </w:pPr>
      <w:r>
        <w:t xml:space="preserve">ET-WISC met in Melbourne from 18 to 22 April 2016. Their comments are available as I02(02) on the meeting website (this is an Excel spreadsheet). The summaries are shown in </w:t>
      </w:r>
      <w:hyperlink w:anchor="_Annex_1:_Response" w:history="1">
        <w:r w:rsidRPr="00BC2B83">
          <w:rPr>
            <w:rStyle w:val="Hyperlink"/>
          </w:rPr>
          <w:t>Annex 1</w:t>
        </w:r>
      </w:hyperlink>
      <w:r>
        <w:t xml:space="preserve">. </w:t>
      </w:r>
    </w:p>
    <w:p w:rsidR="00A14FA1" w:rsidRDefault="00A14FA1">
      <w:pPr>
        <w:tabs>
          <w:tab w:val="clear" w:pos="1134"/>
        </w:tabs>
        <w:jc w:val="left"/>
        <w:rPr>
          <w:szCs w:val="22"/>
          <w:lang w:eastAsia="zh-TW"/>
        </w:rPr>
      </w:pPr>
      <w:r>
        <w:br w:type="page"/>
      </w:r>
    </w:p>
    <w:p w:rsidR="00A14FA1" w:rsidRDefault="00BC2B83" w:rsidP="00BC2B83">
      <w:pPr>
        <w:pStyle w:val="Heading2"/>
      </w:pPr>
      <w:bookmarkStart w:id="2" w:name="_Annex_1:_Response"/>
      <w:bookmarkEnd w:id="2"/>
      <w:r>
        <w:lastRenderedPageBreak/>
        <w:t>Annex 1: Response of ET</w:t>
      </w:r>
      <w:r>
        <w:noBreakHyphen/>
        <w:t>WISC to the metadata issues identified at IPET-MDRD-3</w:t>
      </w:r>
    </w:p>
    <w:p w:rsidR="00BC2B83" w:rsidRDefault="00BC2B83" w:rsidP="00BC2B83">
      <w:pPr>
        <w:pStyle w:val="BodyTextNumbered"/>
        <w:numPr>
          <w:ilvl w:val="0"/>
          <w:numId w:val="49"/>
        </w:numPr>
      </w:pPr>
      <w:r w:rsidRPr="00BC2B83">
        <w:rPr>
          <w:b/>
        </w:rPr>
        <w:t>TT-GISC</w:t>
      </w:r>
      <w:r w:rsidRPr="00BC2B83">
        <w:t>. IPET-MDRD asks that TT-GISC provide an analysis of how users search the WIS catalogue to inform the guidance that IPET-MDRD has to provide on the  use of WIS Discovery Metadata.</w:t>
      </w:r>
    </w:p>
    <w:p w:rsidR="00BC2B83" w:rsidRDefault="00BC2B83" w:rsidP="00BC2B83">
      <w:pPr>
        <w:pStyle w:val="Briefing"/>
      </w:pPr>
      <w:r>
        <w:t>We have two approaches to collect statistics</w:t>
      </w:r>
    </w:p>
    <w:p w:rsidR="00BC2B83" w:rsidRDefault="00BC2B83" w:rsidP="00BC2B83">
      <w:pPr>
        <w:pStyle w:val="Briefing"/>
      </w:pPr>
      <w:r>
        <w:t>1) each GISC collect statistics, put it in a template and forward to TT-GISC chair to prepare a summary to provide to IPET-MDRD</w:t>
      </w:r>
    </w:p>
    <w:p w:rsidR="00BC2B83" w:rsidRDefault="00BC2B83" w:rsidP="00BC2B83">
      <w:pPr>
        <w:pStyle w:val="Briefing"/>
      </w:pPr>
      <w:r>
        <w:t>2) we build groups (</w:t>
      </w:r>
      <w:proofErr w:type="spellStart"/>
      <w:r>
        <w:t>eg</w:t>
      </w:r>
      <w:proofErr w:type="spellEnd"/>
      <w:r>
        <w:t xml:space="preserve"> </w:t>
      </w:r>
      <w:proofErr w:type="spellStart"/>
      <w:r>
        <w:t>Aust</w:t>
      </w:r>
      <w:proofErr w:type="spellEnd"/>
      <w:r>
        <w:t>/Russian Fed)  then each group collect and report on their statistics</w:t>
      </w:r>
    </w:p>
    <w:p w:rsidR="00BC2B83" w:rsidRDefault="00BC2B83" w:rsidP="00BC2B83">
      <w:pPr>
        <w:pStyle w:val="Briefing"/>
      </w:pPr>
      <w:proofErr w:type="spellStart"/>
      <w:r>
        <w:t>Furhermore</w:t>
      </w:r>
      <w:proofErr w:type="spellEnd"/>
      <w:r>
        <w:t>, TT-GISC provide a template for structured reporting.</w:t>
      </w:r>
    </w:p>
    <w:p w:rsidR="00BC2B83" w:rsidRPr="00BC2B83" w:rsidRDefault="00BC2B83" w:rsidP="00BC2B83">
      <w:pPr>
        <w:pStyle w:val="Briefing"/>
      </w:pPr>
      <w:r>
        <w:t>The meeting agreed to option one(each GISC collect their statistics) with a common template provided by Markus/</w:t>
      </w:r>
      <w:proofErr w:type="spellStart"/>
      <w:r>
        <w:t>Yasu</w:t>
      </w:r>
      <w:proofErr w:type="spellEnd"/>
      <w:r>
        <w:t>/Jan/Sergey</w:t>
      </w:r>
    </w:p>
    <w:p w:rsidR="00BC2B83" w:rsidRDefault="00BC2B83" w:rsidP="00BC2B83">
      <w:pPr>
        <w:pStyle w:val="BodyTextNumbered"/>
        <w:numPr>
          <w:ilvl w:val="0"/>
          <w:numId w:val="49"/>
        </w:numPr>
      </w:pPr>
      <w:r w:rsidRPr="00BC2B83">
        <w:rPr>
          <w:b/>
        </w:rPr>
        <w:t>ET-WISC and ET-CTS</w:t>
      </w:r>
      <w:r w:rsidRPr="00BC2B83">
        <w:t>. Vol C1 records the RTH that a centre uses to pass information to the GTS. That information is not recorded in WIS Discovery Metadata.  IPET-MDRD asks ET-CTS and ET-WISC whether that information is still required.</w:t>
      </w:r>
    </w:p>
    <w:p w:rsidR="00BC2B83" w:rsidRPr="00BC2B83" w:rsidRDefault="00BC2B83" w:rsidP="00BC2B83">
      <w:pPr>
        <w:pStyle w:val="Briefing"/>
      </w:pPr>
      <w:r w:rsidRPr="00BC2B83">
        <w:t>Meeting agreed to add RTH in the metadata, noting that we need to know if we put the RTH into the metadata record, we have to change existing records. We need to clarify which element we need to use.</w:t>
      </w:r>
    </w:p>
    <w:p w:rsidR="00BC2B83" w:rsidRDefault="00BC2B83" w:rsidP="00BC2B83">
      <w:pPr>
        <w:pStyle w:val="BodyTextNumbered"/>
        <w:numPr>
          <w:ilvl w:val="0"/>
          <w:numId w:val="49"/>
        </w:numPr>
      </w:pPr>
      <w:r w:rsidRPr="00BC2B83">
        <w:rPr>
          <w:b/>
        </w:rPr>
        <w:t>ICT-ISS</w:t>
      </w:r>
      <w:r w:rsidRPr="00BC2B83">
        <w:t>. IPET-MDRD asks whether the WMO region in which the information originated is still required in the equivalent of Volume C1, or whether recording the location of the information and the country of origin is enough.</w:t>
      </w:r>
    </w:p>
    <w:p w:rsidR="00BC2B83" w:rsidRPr="00BC2B83" w:rsidRDefault="00BC2B83" w:rsidP="00BC2B83">
      <w:pPr>
        <w:pStyle w:val="Briefing"/>
      </w:pPr>
      <w:r w:rsidRPr="00BC2B83">
        <w:t xml:space="preserve">The meeting agreed to including the region of the originating centre as proposed in order to reproduce what is in VolC1. The meeting noted the concern expressed by some participants about </w:t>
      </w:r>
      <w:proofErr w:type="spellStart"/>
      <w:r w:rsidRPr="00BC2B83">
        <w:t>unforseable</w:t>
      </w:r>
      <w:proofErr w:type="spellEnd"/>
      <w:r w:rsidRPr="00BC2B83">
        <w:t xml:space="preserve"> impacts. It asked the IPET-MDRD to clarify how to deal with centres located in multiple regions.</w:t>
      </w:r>
    </w:p>
    <w:p w:rsidR="00BC2B83" w:rsidRDefault="00BC2B83" w:rsidP="00BC2B83">
      <w:pPr>
        <w:pStyle w:val="BodyTextNumbered"/>
        <w:numPr>
          <w:ilvl w:val="0"/>
          <w:numId w:val="49"/>
        </w:numPr>
      </w:pPr>
      <w:r w:rsidRPr="00BC2B83">
        <w:rPr>
          <w:b/>
        </w:rPr>
        <w:t>TT-GISC</w:t>
      </w:r>
      <w:r w:rsidRPr="00BC2B83">
        <w:t xml:space="preserve">. IPET-MDRD needs a method of creating URIs that will allow a URL to be produced for each metadata </w:t>
      </w:r>
      <w:proofErr w:type="spellStart"/>
      <w:r w:rsidRPr="00BC2B83">
        <w:t>fileIdentifer</w:t>
      </w:r>
      <w:proofErr w:type="spellEnd"/>
      <w:r w:rsidRPr="00BC2B83">
        <w:t xml:space="preserve"> so that users can reference metadata records directly from other documents. IPET-MDRD asked TT-GISC to agree an appropriate methodology and to provide the infrastructure to make it work. Because the WIS Manual does not specify how SRU search should link to the </w:t>
      </w:r>
      <w:proofErr w:type="spellStart"/>
      <w:r w:rsidRPr="00BC2B83">
        <w:t>gmd:fileIdentifier</w:t>
      </w:r>
      <w:proofErr w:type="spellEnd"/>
      <w:r w:rsidRPr="00BC2B83">
        <w:t xml:space="preserve">, IPET-MDRD suggested that an OAI-PMH request using the </w:t>
      </w:r>
      <w:proofErr w:type="spellStart"/>
      <w:r w:rsidRPr="00BC2B83">
        <w:t>gmd:fileIdentifier</w:t>
      </w:r>
      <w:proofErr w:type="spellEnd"/>
      <w:r w:rsidRPr="00BC2B83">
        <w:t xml:space="preserve"> would be an appropriate method. (TT-WMD was also being asked to provide a similar link to access WIGOS metadata records.)</w:t>
      </w:r>
    </w:p>
    <w:p w:rsidR="00BC2B83" w:rsidRPr="00BC2B83" w:rsidRDefault="00BC2B83" w:rsidP="00BC2B83">
      <w:pPr>
        <w:pStyle w:val="Briefing"/>
      </w:pPr>
      <w:r w:rsidRPr="00BC2B83">
        <w:t>Meeting noted that it is safe to work with the file identifier using an OAI-PMH request at a GISC.</w:t>
      </w:r>
    </w:p>
    <w:p w:rsidR="00BC2B83" w:rsidRDefault="00BC2B83" w:rsidP="00BC2B83">
      <w:pPr>
        <w:pStyle w:val="BodyTextNumbered"/>
        <w:numPr>
          <w:ilvl w:val="0"/>
          <w:numId w:val="49"/>
        </w:numPr>
      </w:pPr>
      <w:r w:rsidRPr="00BC2B83">
        <w:rPr>
          <w:b/>
        </w:rPr>
        <w:t>TT-GISC</w:t>
      </w:r>
      <w:r w:rsidRPr="00BC2B83">
        <w:t xml:space="preserve">. IPET-MDRD accepted the concerns expressed by some GISCs that not specifying a maximum length of the </w:t>
      </w:r>
      <w:proofErr w:type="spellStart"/>
      <w:r w:rsidRPr="00BC2B83">
        <w:t>fileIdentifer</w:t>
      </w:r>
      <w:proofErr w:type="spellEnd"/>
      <w:r w:rsidRPr="00BC2B83">
        <w:t xml:space="preserve"> was a potential source of operational problems. This requirement would be taken into account when developing the next version of the WIS Discovery Metadata standard.</w:t>
      </w:r>
    </w:p>
    <w:p w:rsidR="00BC2B83" w:rsidRPr="00BC2B83" w:rsidRDefault="00BC2B83" w:rsidP="00BC2B83">
      <w:pPr>
        <w:pStyle w:val="Briefing"/>
      </w:pPr>
      <w:r w:rsidRPr="00BC2B83">
        <w:t>Meeting noted this.</w:t>
      </w:r>
    </w:p>
    <w:p w:rsidR="00BC2B83" w:rsidRDefault="00BC2B83" w:rsidP="00BC2B83">
      <w:pPr>
        <w:pStyle w:val="BodyTextNumbered"/>
        <w:numPr>
          <w:ilvl w:val="0"/>
          <w:numId w:val="49"/>
        </w:numPr>
      </w:pPr>
      <w:r w:rsidRPr="00BC2B83">
        <w:rPr>
          <w:b/>
        </w:rPr>
        <w:t>TT-GISC</w:t>
      </w:r>
      <w:r w:rsidRPr="00BC2B83">
        <w:t>. In future, more keywords will have controlled vocabularies (code lists) to support them. In addition to making search easier for users (metadata authors will draw keywords from a limited list rather than creating their own), it would also allow search to be constrained to keywords of a particular type.</w:t>
      </w:r>
    </w:p>
    <w:p w:rsidR="00BC2B83" w:rsidRPr="00BC2B83" w:rsidRDefault="00BC2B83" w:rsidP="00BC2B83">
      <w:pPr>
        <w:pStyle w:val="Briefing"/>
      </w:pPr>
      <w:r w:rsidRPr="00BC2B83">
        <w:t>The  meeting agreed with this statement</w:t>
      </w:r>
    </w:p>
    <w:p w:rsidR="00BC2B83" w:rsidRDefault="00BC2B83" w:rsidP="00BC2B83">
      <w:pPr>
        <w:pStyle w:val="BodyTextNumbered"/>
        <w:numPr>
          <w:ilvl w:val="0"/>
          <w:numId w:val="49"/>
        </w:numPr>
      </w:pPr>
      <w:r w:rsidRPr="00BC2B83">
        <w:rPr>
          <w:b/>
        </w:rPr>
        <w:lastRenderedPageBreak/>
        <w:t>TT-GISC</w:t>
      </w:r>
      <w:r w:rsidRPr="00BC2B83">
        <w:t>. IPET-MDRD invited TT-GISC to nominate an expert to coordinate changes on the Manual on WIS that result from changes to how GTS bulletins are described in the WIS Discovery Metadata.</w:t>
      </w:r>
    </w:p>
    <w:p w:rsidR="00BC2B83" w:rsidRPr="00BC2B83" w:rsidRDefault="00BC2B83" w:rsidP="00BC2B83">
      <w:pPr>
        <w:pStyle w:val="Briefing"/>
      </w:pPr>
      <w:r w:rsidRPr="00BC2B83">
        <w:t>The meeting noted the request and nominated Wang Peng (CMA) to act as a focal point for ET-WISC and TT-GISC</w:t>
      </w:r>
    </w:p>
    <w:p w:rsidR="00BC2B83" w:rsidRDefault="00BC2B83" w:rsidP="00BC2B83">
      <w:pPr>
        <w:pStyle w:val="BodyTextNumbered"/>
        <w:numPr>
          <w:ilvl w:val="0"/>
          <w:numId w:val="49"/>
        </w:numPr>
      </w:pPr>
      <w:r w:rsidRPr="00BC2B83">
        <w:rPr>
          <w:b/>
        </w:rPr>
        <w:t>TT-GISC</w:t>
      </w:r>
      <w:r w:rsidRPr="00BC2B83">
        <w:t xml:space="preserve">. IPET-MDRD asked TT-GISC to search the WIS metadata catalogue to determine whether any existing records describing GTS data contained a single (rather than double) colon separator before the portion of the </w:t>
      </w:r>
      <w:proofErr w:type="spellStart"/>
      <w:r w:rsidRPr="00BC2B83">
        <w:t>fileIdentifier</w:t>
      </w:r>
      <w:proofErr w:type="spellEnd"/>
      <w:r w:rsidRPr="00BC2B83">
        <w:t xml:space="preserve"> corresponding to the GTS bulletin name.</w:t>
      </w:r>
    </w:p>
    <w:p w:rsidR="00BC2B83" w:rsidRPr="00BC2B83" w:rsidRDefault="00BC2B83" w:rsidP="00BC2B83">
      <w:pPr>
        <w:pStyle w:val="Briefing"/>
      </w:pPr>
      <w:r w:rsidRPr="00BC2B83">
        <w:t>The meeting confirmed that no such metadata records exist, however, a few records not following the standard pattern were and identified and corrected.</w:t>
      </w:r>
    </w:p>
    <w:p w:rsidR="00BC2B83" w:rsidRDefault="00BC2B83" w:rsidP="00BC2B83">
      <w:pPr>
        <w:pStyle w:val="BodyTextNumbered"/>
        <w:numPr>
          <w:ilvl w:val="0"/>
          <w:numId w:val="49"/>
        </w:numPr>
      </w:pPr>
      <w:r w:rsidRPr="00BC2B83">
        <w:rPr>
          <w:b/>
        </w:rPr>
        <w:t>TT-GISC</w:t>
      </w:r>
      <w:r w:rsidRPr="00BC2B83">
        <w:t>. The ISO standard underpinning the WIS Discovery Metadata has been updated. This changes the structure of the metadata records. IPET-MDRD asks TT-GISC to tell IPET</w:t>
      </w:r>
      <w:r w:rsidRPr="00BC2B83">
        <w:noBreakHyphen/>
        <w:t>MDRD which elements of the WIS Discovery Metadata records are used by GISCs to control the WIS, so that IPET-MDRD can take these dependencies into account when developing the strategy for moving to the latest ISO standard.</w:t>
      </w:r>
    </w:p>
    <w:p w:rsidR="00BC2B83" w:rsidRDefault="00BC2B83" w:rsidP="00BC2B83">
      <w:pPr>
        <w:pStyle w:val="Briefing"/>
      </w:pPr>
      <w:r>
        <w:t xml:space="preserve">The meeting noted that all mandatory elements defined in the latest core profile (1.3) plus optional elements when available, in </w:t>
      </w:r>
      <w:proofErr w:type="spellStart"/>
      <w:r>
        <w:t>partiuclar</w:t>
      </w:r>
      <w:proofErr w:type="spellEnd"/>
      <w:r>
        <w:t>:</w:t>
      </w:r>
    </w:p>
    <w:p w:rsidR="00BC2B83" w:rsidRDefault="00BC2B83" w:rsidP="00BC2B83">
      <w:pPr>
        <w:pStyle w:val="Briefing"/>
      </w:pPr>
      <w:r>
        <w:t xml:space="preserve"> &lt;</w:t>
      </w:r>
      <w:proofErr w:type="spellStart"/>
      <w:r>
        <w:t>gmd:fileIdentifier</w:t>
      </w:r>
      <w:proofErr w:type="spellEnd"/>
      <w:r>
        <w:t>&gt;, &lt;</w:t>
      </w:r>
      <w:proofErr w:type="spellStart"/>
      <w:r>
        <w:t>gmd:dateStamp</w:t>
      </w:r>
      <w:proofErr w:type="spellEnd"/>
      <w:r>
        <w:t>&gt;, &lt;</w:t>
      </w:r>
      <w:proofErr w:type="spellStart"/>
      <w:r>
        <w:t>gmd:descriptiveKeywords</w:t>
      </w:r>
      <w:proofErr w:type="spellEnd"/>
      <w:r>
        <w:t xml:space="preserve">&gt; </w:t>
      </w:r>
      <w:proofErr w:type="spellStart"/>
      <w:r>
        <w:t>GlobalExchange</w:t>
      </w:r>
      <w:proofErr w:type="spellEnd"/>
      <w:r>
        <w:t>, &lt;</w:t>
      </w:r>
      <w:proofErr w:type="spellStart"/>
      <w:r>
        <w:t>gmd:otherRestriction</w:t>
      </w:r>
      <w:proofErr w:type="spellEnd"/>
      <w:r>
        <w:t>&gt;, &lt;</w:t>
      </w:r>
      <w:proofErr w:type="spellStart"/>
      <w:r>
        <w:t>gmd:transferOptions</w:t>
      </w:r>
      <w:proofErr w:type="spellEnd"/>
      <w:r>
        <w:t>&gt; . For the facet-search and search in general we use &lt;</w:t>
      </w:r>
      <w:proofErr w:type="spellStart"/>
      <w:r>
        <w:t>gmd:title</w:t>
      </w:r>
      <w:proofErr w:type="spellEnd"/>
      <w:r>
        <w:t>&gt;, &lt;</w:t>
      </w:r>
      <w:proofErr w:type="spellStart"/>
      <w:r>
        <w:t>gmd:abstract</w:t>
      </w:r>
      <w:proofErr w:type="spellEnd"/>
      <w:r>
        <w:t>&gt;, &lt;</w:t>
      </w:r>
      <w:proofErr w:type="spellStart"/>
      <w:r>
        <w:t>gmd:pointOfContact</w:t>
      </w:r>
      <w:proofErr w:type="spellEnd"/>
      <w:r>
        <w:t>&gt;//&lt;</w:t>
      </w:r>
      <w:proofErr w:type="spellStart"/>
      <w:r>
        <w:t>gmd:organisationName</w:t>
      </w:r>
      <w:proofErr w:type="spellEnd"/>
      <w:r>
        <w:t>&gt;, &lt;</w:t>
      </w:r>
      <w:proofErr w:type="spellStart"/>
      <w:r>
        <w:t>gmd:geographicElement</w:t>
      </w:r>
      <w:proofErr w:type="spellEnd"/>
      <w:r>
        <w:t>&gt;, &lt;</w:t>
      </w:r>
      <w:proofErr w:type="spellStart"/>
      <w:r>
        <w:t>gmd:descriptiveKeywords</w:t>
      </w:r>
      <w:proofErr w:type="spellEnd"/>
      <w:r>
        <w:t>&gt;, &lt;</w:t>
      </w:r>
      <w:proofErr w:type="spellStart"/>
      <w:r>
        <w:t>gmd:distributionFormat</w:t>
      </w:r>
      <w:proofErr w:type="spellEnd"/>
      <w:r>
        <w:t>&gt;,  &lt;</w:t>
      </w:r>
      <w:proofErr w:type="spellStart"/>
      <w:r>
        <w:t>gmd:temporalElement</w:t>
      </w:r>
      <w:proofErr w:type="spellEnd"/>
      <w:r>
        <w:t xml:space="preserve">&gt; furthermore we use everything in the </w:t>
      </w:r>
      <w:proofErr w:type="spellStart"/>
      <w:r>
        <w:t>fulltext</w:t>
      </w:r>
      <w:proofErr w:type="spellEnd"/>
      <w:r>
        <w:t xml:space="preserve"> search, </w:t>
      </w:r>
    </w:p>
    <w:p w:rsidR="00BC2B83" w:rsidRDefault="00BC2B83" w:rsidP="00BC2B83">
      <w:pPr>
        <w:pStyle w:val="Briefing"/>
      </w:pPr>
      <w:r>
        <w:t>&lt;</w:t>
      </w:r>
      <w:proofErr w:type="spellStart"/>
      <w:r>
        <w:t>gmd:environmentalDescription</w:t>
      </w:r>
      <w:proofErr w:type="spellEnd"/>
      <w:r>
        <w:t>&gt; and &lt;</w:t>
      </w:r>
      <w:proofErr w:type="spellStart"/>
      <w:r>
        <w:t>gmd:supplementalInformaton</w:t>
      </w:r>
      <w:proofErr w:type="spellEnd"/>
      <w:r>
        <w:t>&gt; and &lt;</w:t>
      </w:r>
      <w:proofErr w:type="spellStart"/>
      <w:r>
        <w:t>gmd:metadatastandard</w:t>
      </w:r>
      <w:proofErr w:type="spellEnd"/>
      <w:r>
        <w:t xml:space="preserve"> version&gt; .</w:t>
      </w:r>
    </w:p>
    <w:p w:rsidR="00BC2B83" w:rsidRPr="00BC2B83" w:rsidRDefault="00BC2B83" w:rsidP="00BC2B83">
      <w:pPr>
        <w:pStyle w:val="Briefing"/>
      </w:pPr>
      <w:r>
        <w:t>It further noted that it would be useful if  GISCs defined a standard set of control elements.</w:t>
      </w:r>
    </w:p>
    <w:p w:rsidR="00BC2B83" w:rsidRDefault="00BC2B83" w:rsidP="00BC2B83">
      <w:pPr>
        <w:pStyle w:val="BodyTextNumbered"/>
        <w:numPr>
          <w:ilvl w:val="0"/>
          <w:numId w:val="49"/>
        </w:numPr>
      </w:pPr>
      <w:r w:rsidRPr="00BC2B83">
        <w:rPr>
          <w:b/>
        </w:rPr>
        <w:t>TT-GISC</w:t>
      </w:r>
      <w:r w:rsidRPr="00BC2B83">
        <w:t>. IPET-MDRD proposed setting up a joint working team with TT-GISC to improve the search experience for users.</w:t>
      </w:r>
    </w:p>
    <w:p w:rsidR="00BC2B83" w:rsidRDefault="00BC2B83" w:rsidP="00BC2B83">
      <w:pPr>
        <w:pStyle w:val="Briefing"/>
      </w:pPr>
      <w:r>
        <w:t>ET-WISC invites IPET-MDRD to provide a participant in the task team looking at WIS portal usability (See action item xxx ET-WISC2016).</w:t>
      </w:r>
    </w:p>
    <w:p w:rsidR="00BC2B83" w:rsidRPr="00BC2B83" w:rsidRDefault="00BC2B83" w:rsidP="00BC2B83">
      <w:pPr>
        <w:pStyle w:val="Briefing"/>
      </w:pPr>
      <w:r>
        <w:t>The meeting also advised that to improve the search experience a first step could be to enrich the metadata with keywords and meaningful titles and abstracts. For example an coordinated and agreed keyword list for bulletins for a particular code could improve significant the users search experience.</w:t>
      </w:r>
    </w:p>
    <w:p w:rsidR="00BC2B83" w:rsidRDefault="00BC2B83" w:rsidP="00BC2B83">
      <w:pPr>
        <w:pStyle w:val="BodyTextNumbered"/>
        <w:numPr>
          <w:ilvl w:val="0"/>
          <w:numId w:val="49"/>
        </w:numPr>
      </w:pPr>
      <w:r w:rsidRPr="00BC2B83">
        <w:rPr>
          <w:b/>
        </w:rPr>
        <w:t>TT-GISC</w:t>
      </w:r>
      <w:r w:rsidRPr="00BC2B83">
        <w:t>. IPET-MDRD emphasized that it must be possible to delete metadata records from the WIS catalogue and for these deletions to be synchronized. If this proved to be impossible, IPET-MDRD would need to develop a method of clearly marking records as obsolete and GISC software would be needed to respect this categorization.</w:t>
      </w:r>
    </w:p>
    <w:p w:rsidR="00BC2B83" w:rsidRPr="00BC2B83" w:rsidRDefault="00BC2B83" w:rsidP="00BC2B83">
      <w:pPr>
        <w:pStyle w:val="Briefing"/>
      </w:pPr>
      <w:r w:rsidRPr="00BC2B83">
        <w:t>The meeting recalled that ICG-WIS (Seoul) decided to make OAI PMH delete mandatory and all GISCs have implemented this solution.</w:t>
      </w:r>
    </w:p>
    <w:p w:rsidR="00BC2B83" w:rsidRDefault="00BC2B83" w:rsidP="00BC2B83">
      <w:pPr>
        <w:pStyle w:val="BodyTextNumbered"/>
        <w:numPr>
          <w:ilvl w:val="0"/>
          <w:numId w:val="49"/>
        </w:numPr>
      </w:pPr>
      <w:r w:rsidRPr="00BC2B83">
        <w:rPr>
          <w:b/>
        </w:rPr>
        <w:t>ICT-ISS</w:t>
      </w:r>
      <w:r w:rsidRPr="00BC2B83">
        <w:t>. IPET-MDRD recommended that procedure for notifying the Secretary-General that data were to be designated as “additional” under Resolution 40, 25 or 60 should be done by recording the data policy in the WIS Discovery metadata.</w:t>
      </w:r>
    </w:p>
    <w:p w:rsidR="00CE7E07" w:rsidRPr="00712ED1" w:rsidRDefault="00BC2B83" w:rsidP="00CE7E07">
      <w:pPr>
        <w:pStyle w:val="Briefing"/>
      </w:pPr>
      <w:r w:rsidRPr="00BC2B83">
        <w:t>The meeting strongly supported this suggestion.</w:t>
      </w:r>
    </w:p>
    <w:sectPr w:rsidR="00CE7E07" w:rsidRPr="00712ED1" w:rsidSect="0020095E">
      <w:headerReference w:type="default" r:id="rId10"/>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0B3" w:rsidRDefault="008160B3">
      <w:r>
        <w:separator/>
      </w:r>
    </w:p>
    <w:p w:rsidR="008160B3" w:rsidRDefault="008160B3"/>
    <w:p w:rsidR="008160B3" w:rsidRDefault="008160B3"/>
  </w:endnote>
  <w:endnote w:type="continuationSeparator" w:id="0">
    <w:p w:rsidR="008160B3" w:rsidRDefault="008160B3">
      <w:r>
        <w:continuationSeparator/>
      </w:r>
    </w:p>
    <w:p w:rsidR="008160B3" w:rsidRDefault="008160B3"/>
    <w:p w:rsidR="008160B3" w:rsidRDefault="00816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0B3" w:rsidRDefault="008160B3">
      <w:r>
        <w:separator/>
      </w:r>
    </w:p>
  </w:footnote>
  <w:footnote w:type="continuationSeparator" w:id="0">
    <w:p w:rsidR="008160B3" w:rsidRDefault="008160B3">
      <w:r>
        <w:continuationSeparator/>
      </w:r>
    </w:p>
    <w:p w:rsidR="008160B3" w:rsidRDefault="008160B3"/>
    <w:p w:rsidR="008160B3" w:rsidRDefault="008160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12A" w:rsidRDefault="00A14FA1" w:rsidP="00BC2B83">
    <w:pPr>
      <w:pStyle w:val="Header"/>
    </w:pPr>
    <w:r>
      <w:t xml:space="preserve">IPET-MDRD-4/Doc </w:t>
    </w:r>
    <w:r w:rsidR="00BC2B83">
      <w:t>02(1)</w:t>
    </w:r>
    <w:r w:rsidR="0020095E" w:rsidRPr="00C2459D">
      <w:t xml:space="preserve"> p. </w:t>
    </w:r>
    <w:r w:rsidR="0020095E" w:rsidRPr="00C2459D">
      <w:rPr>
        <w:rStyle w:val="PageNumber"/>
      </w:rPr>
      <w:fldChar w:fldCharType="begin"/>
    </w:r>
    <w:r w:rsidR="0020095E" w:rsidRPr="00C2459D">
      <w:rPr>
        <w:rStyle w:val="PageNumber"/>
      </w:rPr>
      <w:instrText xml:space="preserve"> PAGE </w:instrText>
    </w:r>
    <w:r w:rsidR="0020095E" w:rsidRPr="00C2459D">
      <w:rPr>
        <w:rStyle w:val="PageNumber"/>
      </w:rPr>
      <w:fldChar w:fldCharType="separate"/>
    </w:r>
    <w:r w:rsidR="00CE7E07">
      <w:rPr>
        <w:rStyle w:val="PageNumber"/>
        <w:noProof/>
      </w:rPr>
      <w:t>2</w:t>
    </w:r>
    <w:r w:rsidR="0020095E" w:rsidRPr="00C2459D">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6">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18">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2">
    <w:nsid w:val="27442776"/>
    <w:multiLevelType w:val="hybridMultilevel"/>
    <w:tmpl w:val="2D74105C"/>
    <w:lvl w:ilvl="0" w:tplc="C8920AE4">
      <w:start w:val="1"/>
      <w:numFmt w:val="decimal"/>
      <w:pStyle w:val="Person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5">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35">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8">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FE02364"/>
    <w:multiLevelType w:val="hybridMultilevel"/>
    <w:tmpl w:val="806C1F56"/>
    <w:lvl w:ilvl="0" w:tplc="8C06597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DB31E2E"/>
    <w:multiLevelType w:val="multilevel"/>
    <w:tmpl w:val="0409001F"/>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7">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47"/>
  </w:num>
  <w:num w:numId="3">
    <w:abstractNumId w:val="29"/>
  </w:num>
  <w:num w:numId="4">
    <w:abstractNumId w:val="38"/>
  </w:num>
  <w:num w:numId="5">
    <w:abstractNumId w:val="18"/>
  </w:num>
  <w:num w:numId="6">
    <w:abstractNumId w:val="24"/>
  </w:num>
  <w:num w:numId="7">
    <w:abstractNumId w:val="19"/>
  </w:num>
  <w:num w:numId="8">
    <w:abstractNumId w:val="31"/>
  </w:num>
  <w:num w:numId="9">
    <w:abstractNumId w:val="23"/>
  </w:num>
  <w:num w:numId="10">
    <w:abstractNumId w:val="21"/>
  </w:num>
  <w:num w:numId="11">
    <w:abstractNumId w:val="37"/>
  </w:num>
  <w:num w:numId="12">
    <w:abstractNumId w:val="11"/>
  </w:num>
  <w:num w:numId="13">
    <w:abstractNumId w:val="27"/>
  </w:num>
  <w:num w:numId="14">
    <w:abstractNumId w:val="42"/>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4"/>
  </w:num>
  <w:num w:numId="27">
    <w:abstractNumId w:val="32"/>
  </w:num>
  <w:num w:numId="28">
    <w:abstractNumId w:val="25"/>
  </w:num>
  <w:num w:numId="29">
    <w:abstractNumId w:val="33"/>
  </w:num>
  <w:num w:numId="30">
    <w:abstractNumId w:val="35"/>
  </w:num>
  <w:num w:numId="31">
    <w:abstractNumId w:val="14"/>
  </w:num>
  <w:num w:numId="32">
    <w:abstractNumId w:val="41"/>
  </w:num>
  <w:num w:numId="33">
    <w:abstractNumId w:val="40"/>
  </w:num>
  <w:num w:numId="34">
    <w:abstractNumId w:val="26"/>
  </w:num>
  <w:num w:numId="35">
    <w:abstractNumId w:val="28"/>
  </w:num>
  <w:num w:numId="36">
    <w:abstractNumId w:val="45"/>
  </w:num>
  <w:num w:numId="37">
    <w:abstractNumId w:val="36"/>
  </w:num>
  <w:num w:numId="38">
    <w:abstractNumId w:val="12"/>
  </w:num>
  <w:num w:numId="39">
    <w:abstractNumId w:val="13"/>
  </w:num>
  <w:num w:numId="40">
    <w:abstractNumId w:val="16"/>
  </w:num>
  <w:num w:numId="41">
    <w:abstractNumId w:val="10"/>
  </w:num>
  <w:num w:numId="42">
    <w:abstractNumId w:val="43"/>
  </w:num>
  <w:num w:numId="43">
    <w:abstractNumId w:val="15"/>
  </w:num>
  <w:num w:numId="44">
    <w:abstractNumId w:val="17"/>
  </w:num>
  <w:num w:numId="45">
    <w:abstractNumId w:val="34"/>
  </w:num>
  <w:num w:numId="46">
    <w:abstractNumId w:val="22"/>
  </w:num>
  <w:num w:numId="47">
    <w:abstractNumId w:val="39"/>
  </w:num>
  <w:num w:numId="48">
    <w:abstractNumId w:val="46"/>
  </w:num>
  <w:num w:numId="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hyphenationZone w:val="425"/>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0B3"/>
    <w:rsid w:val="0003137A"/>
    <w:rsid w:val="00041171"/>
    <w:rsid w:val="00050F8E"/>
    <w:rsid w:val="000573AD"/>
    <w:rsid w:val="00072F17"/>
    <w:rsid w:val="000748A2"/>
    <w:rsid w:val="000806D8"/>
    <w:rsid w:val="00082C80"/>
    <w:rsid w:val="00083847"/>
    <w:rsid w:val="00083C36"/>
    <w:rsid w:val="000A69BF"/>
    <w:rsid w:val="000C225A"/>
    <w:rsid w:val="000C6781"/>
    <w:rsid w:val="000F5E49"/>
    <w:rsid w:val="000F7A87"/>
    <w:rsid w:val="00111BFD"/>
    <w:rsid w:val="0011498B"/>
    <w:rsid w:val="00120147"/>
    <w:rsid w:val="00123140"/>
    <w:rsid w:val="00163BA3"/>
    <w:rsid w:val="00166B31"/>
    <w:rsid w:val="00180771"/>
    <w:rsid w:val="001930A3"/>
    <w:rsid w:val="001A341E"/>
    <w:rsid w:val="001B0EA6"/>
    <w:rsid w:val="001B1CDF"/>
    <w:rsid w:val="001B56F4"/>
    <w:rsid w:val="001C5462"/>
    <w:rsid w:val="001D6302"/>
    <w:rsid w:val="001E7DD0"/>
    <w:rsid w:val="001F1BDA"/>
    <w:rsid w:val="0020095E"/>
    <w:rsid w:val="00210D30"/>
    <w:rsid w:val="00234A34"/>
    <w:rsid w:val="0025255D"/>
    <w:rsid w:val="00270480"/>
    <w:rsid w:val="002779AF"/>
    <w:rsid w:val="002823D8"/>
    <w:rsid w:val="0028531A"/>
    <w:rsid w:val="00285446"/>
    <w:rsid w:val="00295593"/>
    <w:rsid w:val="002A386C"/>
    <w:rsid w:val="002C30BC"/>
    <w:rsid w:val="002C7A88"/>
    <w:rsid w:val="002D232B"/>
    <w:rsid w:val="002D5E00"/>
    <w:rsid w:val="002D6DAC"/>
    <w:rsid w:val="002E3FAD"/>
    <w:rsid w:val="002E4E16"/>
    <w:rsid w:val="00301E8C"/>
    <w:rsid w:val="00320009"/>
    <w:rsid w:val="0032424A"/>
    <w:rsid w:val="00380AF7"/>
    <w:rsid w:val="00394A05"/>
    <w:rsid w:val="00397770"/>
    <w:rsid w:val="00397880"/>
    <w:rsid w:val="003A7016"/>
    <w:rsid w:val="003E4046"/>
    <w:rsid w:val="003F125B"/>
    <w:rsid w:val="003F7B3F"/>
    <w:rsid w:val="0041078D"/>
    <w:rsid w:val="00416F97"/>
    <w:rsid w:val="0043039B"/>
    <w:rsid w:val="004423FE"/>
    <w:rsid w:val="00445C35"/>
    <w:rsid w:val="004667E7"/>
    <w:rsid w:val="00475797"/>
    <w:rsid w:val="0049253B"/>
    <w:rsid w:val="004A140B"/>
    <w:rsid w:val="004B7BAA"/>
    <w:rsid w:val="004C2DF7"/>
    <w:rsid w:val="004C4E0B"/>
    <w:rsid w:val="004D497E"/>
    <w:rsid w:val="004E4809"/>
    <w:rsid w:val="004E6352"/>
    <w:rsid w:val="004E6460"/>
    <w:rsid w:val="004F6B46"/>
    <w:rsid w:val="00525B80"/>
    <w:rsid w:val="0053098F"/>
    <w:rsid w:val="00546D8E"/>
    <w:rsid w:val="00571AE1"/>
    <w:rsid w:val="00592267"/>
    <w:rsid w:val="005B0AE2"/>
    <w:rsid w:val="005B1F2C"/>
    <w:rsid w:val="005D03D9"/>
    <w:rsid w:val="005D666D"/>
    <w:rsid w:val="00615AB0"/>
    <w:rsid w:val="0061778C"/>
    <w:rsid w:val="00636B90"/>
    <w:rsid w:val="0064738B"/>
    <w:rsid w:val="006508EA"/>
    <w:rsid w:val="00697DB5"/>
    <w:rsid w:val="006A492A"/>
    <w:rsid w:val="006D5576"/>
    <w:rsid w:val="006E766D"/>
    <w:rsid w:val="00705C9F"/>
    <w:rsid w:val="00712ED1"/>
    <w:rsid w:val="00716951"/>
    <w:rsid w:val="00735D9E"/>
    <w:rsid w:val="00754CF7"/>
    <w:rsid w:val="00771A68"/>
    <w:rsid w:val="007C212A"/>
    <w:rsid w:val="007E7D21"/>
    <w:rsid w:val="007F482F"/>
    <w:rsid w:val="00807CC5"/>
    <w:rsid w:val="008160B3"/>
    <w:rsid w:val="00831751"/>
    <w:rsid w:val="00835B42"/>
    <w:rsid w:val="00847D99"/>
    <w:rsid w:val="0085038E"/>
    <w:rsid w:val="0086271D"/>
    <w:rsid w:val="0086420B"/>
    <w:rsid w:val="00864DBF"/>
    <w:rsid w:val="00865AE2"/>
    <w:rsid w:val="008A7313"/>
    <w:rsid w:val="008A7D91"/>
    <w:rsid w:val="008B7FC7"/>
    <w:rsid w:val="008E1E4A"/>
    <w:rsid w:val="008F0615"/>
    <w:rsid w:val="008F1FDB"/>
    <w:rsid w:val="00950605"/>
    <w:rsid w:val="00952233"/>
    <w:rsid w:val="00954D66"/>
    <w:rsid w:val="00975D76"/>
    <w:rsid w:val="00982E51"/>
    <w:rsid w:val="009874B9"/>
    <w:rsid w:val="00993581"/>
    <w:rsid w:val="009A288C"/>
    <w:rsid w:val="009B6697"/>
    <w:rsid w:val="009C4C04"/>
    <w:rsid w:val="009F7566"/>
    <w:rsid w:val="00A06BFE"/>
    <w:rsid w:val="00A10F5D"/>
    <w:rsid w:val="00A14AF1"/>
    <w:rsid w:val="00A14FA1"/>
    <w:rsid w:val="00A16891"/>
    <w:rsid w:val="00A332E8"/>
    <w:rsid w:val="00A35AF5"/>
    <w:rsid w:val="00A35DDF"/>
    <w:rsid w:val="00A36CBA"/>
    <w:rsid w:val="00A50291"/>
    <w:rsid w:val="00A604CD"/>
    <w:rsid w:val="00A60FE6"/>
    <w:rsid w:val="00A654BE"/>
    <w:rsid w:val="00A874EF"/>
    <w:rsid w:val="00A95415"/>
    <w:rsid w:val="00AA3C89"/>
    <w:rsid w:val="00AC4CDB"/>
    <w:rsid w:val="00AF638A"/>
    <w:rsid w:val="00B00141"/>
    <w:rsid w:val="00B009AA"/>
    <w:rsid w:val="00B030C8"/>
    <w:rsid w:val="00B056E7"/>
    <w:rsid w:val="00B05B71"/>
    <w:rsid w:val="00B10035"/>
    <w:rsid w:val="00B165E6"/>
    <w:rsid w:val="00B235DB"/>
    <w:rsid w:val="00B548A2"/>
    <w:rsid w:val="00B56934"/>
    <w:rsid w:val="00B72444"/>
    <w:rsid w:val="00B93B62"/>
    <w:rsid w:val="00B953D1"/>
    <w:rsid w:val="00BA30D0"/>
    <w:rsid w:val="00BC2B83"/>
    <w:rsid w:val="00C04BD2"/>
    <w:rsid w:val="00C13EEC"/>
    <w:rsid w:val="00C156A4"/>
    <w:rsid w:val="00C20FAA"/>
    <w:rsid w:val="00C2459D"/>
    <w:rsid w:val="00C42C95"/>
    <w:rsid w:val="00C55E5B"/>
    <w:rsid w:val="00C720A4"/>
    <w:rsid w:val="00C7611C"/>
    <w:rsid w:val="00C94097"/>
    <w:rsid w:val="00CA4269"/>
    <w:rsid w:val="00CA7330"/>
    <w:rsid w:val="00CB64F0"/>
    <w:rsid w:val="00CC2909"/>
    <w:rsid w:val="00CE7E07"/>
    <w:rsid w:val="00D05E6F"/>
    <w:rsid w:val="00D33442"/>
    <w:rsid w:val="00D44BAD"/>
    <w:rsid w:val="00D45B55"/>
    <w:rsid w:val="00D7097B"/>
    <w:rsid w:val="00D91DFA"/>
    <w:rsid w:val="00DB1AB2"/>
    <w:rsid w:val="00DD3A65"/>
    <w:rsid w:val="00DD62C6"/>
    <w:rsid w:val="00E00498"/>
    <w:rsid w:val="00E2617A"/>
    <w:rsid w:val="00E538E6"/>
    <w:rsid w:val="00E802A2"/>
    <w:rsid w:val="00E85C0B"/>
    <w:rsid w:val="00ED67AF"/>
    <w:rsid w:val="00EE128C"/>
    <w:rsid w:val="00EF66D9"/>
    <w:rsid w:val="00EF6BA5"/>
    <w:rsid w:val="00EF780D"/>
    <w:rsid w:val="00EF7A98"/>
    <w:rsid w:val="00F0267E"/>
    <w:rsid w:val="00F474C9"/>
    <w:rsid w:val="00F61675"/>
    <w:rsid w:val="00F6686B"/>
    <w:rsid w:val="00F67F74"/>
    <w:rsid w:val="00F73DE3"/>
    <w:rsid w:val="00F84DD2"/>
    <w:rsid w:val="00FB0872"/>
    <w:rsid w:val="00FB54CC"/>
    <w:rsid w:val="00FD1A37"/>
  </w:rsids>
  <m:mathPr>
    <m:mathFont m:val="Cambria Math"/>
    <m:brkBin m:val="before"/>
    <m:brkBinSub m:val="--"/>
    <m:smallFrac m:val="0"/>
    <m:dispDef m:val="0"/>
    <m:lMargin m:val="0"/>
    <m:rMargin m:val="0"/>
    <m:defJc m:val="centerGroup"/>
    <m:wrapRight/>
    <m:intLim m:val="subSup"/>
    <m:naryLim m:val="subSup"/>
  </m:mathPr>
  <w:themeFontLang w:val="en-US" w:eastAsia="zh-TW"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43"/>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44"/>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45"/>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6"/>
      </w:numPr>
    </w:pPr>
    <w:rPr>
      <w:color w:val="E36C0A" w:themeColor="accent6" w:themeShade="BF"/>
    </w:rPr>
  </w:style>
  <w:style w:type="paragraph" w:customStyle="1" w:styleId="BodyTextBullet">
    <w:name w:val="_Body Text Bullet"/>
    <w:basedOn w:val="BodyText"/>
    <w:rsid w:val="00712ED1"/>
    <w:pPr>
      <w:numPr>
        <w:numId w:val="47"/>
      </w:numPr>
    </w:pPr>
  </w:style>
  <w:style w:type="paragraph" w:customStyle="1" w:styleId="BodyTextNumbered">
    <w:name w:val="_Body Text Numbered"/>
    <w:basedOn w:val="BodyText"/>
    <w:rsid w:val="00712ED1"/>
    <w:pPr>
      <w:numPr>
        <w:numId w:val="4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43"/>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44"/>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45"/>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6"/>
      </w:numPr>
    </w:pPr>
    <w:rPr>
      <w:color w:val="E36C0A" w:themeColor="accent6" w:themeShade="BF"/>
    </w:rPr>
  </w:style>
  <w:style w:type="paragraph" w:customStyle="1" w:styleId="BodyTextBullet">
    <w:name w:val="_Body Text Bullet"/>
    <w:basedOn w:val="BodyText"/>
    <w:rsid w:val="00712ED1"/>
    <w:pPr>
      <w:numPr>
        <w:numId w:val="47"/>
      </w:numPr>
    </w:pPr>
  </w:style>
  <w:style w:type="paragraph" w:customStyle="1" w:styleId="BodyTextNumbered">
    <w:name w:val="_Body Text Numbered"/>
    <w:basedOn w:val="BodyText"/>
    <w:rsid w:val="00712ED1"/>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FD3E1-2099-4DCF-95DD-C59F17A47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Template>
  <TotalTime>27</TotalTime>
  <Pages>3</Pages>
  <Words>1142</Words>
  <Characters>6513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7640</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Steve Foreman</cp:lastModifiedBy>
  <cp:revision>4</cp:revision>
  <cp:lastPrinted>2013-03-12T09:27:00Z</cp:lastPrinted>
  <dcterms:created xsi:type="dcterms:W3CDTF">2016-04-26T14:13:00Z</dcterms:created>
  <dcterms:modified xsi:type="dcterms:W3CDTF">2016-04-26T14:40:00Z</dcterms:modified>
</cp:coreProperties>
</file>