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5495"/>
        <w:gridCol w:w="2400"/>
        <w:gridCol w:w="2136"/>
      </w:tblGrid>
      <w:tr w:rsidR="0020095E" w:rsidRPr="00B030C8" w:rsidTr="00111BFD">
        <w:tc>
          <w:tcPr>
            <w:tcW w:w="5495" w:type="dxa"/>
          </w:tcPr>
          <w:p w:rsidR="0020095E" w:rsidRPr="000573AD" w:rsidRDefault="0020095E" w:rsidP="00EF66D9">
            <w:pPr>
              <w:tabs>
                <w:tab w:val="left" w:pos="-722"/>
                <w:tab w:val="left" w:pos="6946"/>
              </w:tabs>
              <w:suppressAutoHyphens/>
              <w:spacing w:after="120" w:line="252" w:lineRule="auto"/>
              <w:rPr>
                <w:b/>
                <w:bCs/>
                <w:szCs w:val="22"/>
              </w:rPr>
            </w:pPr>
            <w:r w:rsidRPr="000573AD">
              <w:rPr>
                <w:b/>
                <w:bCs/>
                <w:szCs w:val="22"/>
              </w:rPr>
              <w:t>World Meteorological Organization</w:t>
            </w:r>
          </w:p>
        </w:tc>
        <w:tc>
          <w:tcPr>
            <w:tcW w:w="4536" w:type="dxa"/>
            <w:gridSpan w:val="2"/>
          </w:tcPr>
          <w:p w:rsidR="0020095E" w:rsidRPr="006B21FE" w:rsidRDefault="006B21FE" w:rsidP="005D6FED">
            <w:pPr>
              <w:jc w:val="right"/>
              <w:rPr>
                <w:b/>
                <w:bCs/>
                <w:szCs w:val="22"/>
              </w:rPr>
            </w:pPr>
            <w:r w:rsidRPr="006B21FE">
              <w:rPr>
                <w:b/>
                <w:bCs/>
              </w:rPr>
              <w:t>CBS-MG-16</w:t>
            </w:r>
            <w:r w:rsidR="00083C36" w:rsidRPr="006B21FE">
              <w:rPr>
                <w:b/>
                <w:bCs/>
              </w:rPr>
              <w:t>/</w:t>
            </w:r>
            <w:r w:rsidR="005D6FED">
              <w:rPr>
                <w:b/>
                <w:bCs/>
              </w:rPr>
              <w:t>Doc. D22</w:t>
            </w:r>
          </w:p>
        </w:tc>
      </w:tr>
      <w:tr w:rsidR="0020095E" w:rsidRPr="000573AD" w:rsidTr="00111BFD">
        <w:tc>
          <w:tcPr>
            <w:tcW w:w="5495" w:type="dxa"/>
            <w:vMerge w:val="restart"/>
          </w:tcPr>
          <w:p w:rsidR="0020095E" w:rsidRPr="000573AD" w:rsidRDefault="006B21FE" w:rsidP="00EF66D9">
            <w:pPr>
              <w:tabs>
                <w:tab w:val="left" w:pos="-722"/>
                <w:tab w:val="left" w:pos="6946"/>
              </w:tabs>
              <w:suppressAutoHyphens/>
              <w:spacing w:before="120" w:line="252" w:lineRule="auto"/>
              <w:rPr>
                <w:b/>
                <w:spacing w:val="-2"/>
                <w:szCs w:val="22"/>
              </w:rPr>
            </w:pPr>
            <w:r>
              <w:rPr>
                <w:b/>
                <w:spacing w:val="-2"/>
                <w:szCs w:val="22"/>
              </w:rPr>
              <w:t>COMMISSION FOR BASIC SYSTEMS</w:t>
            </w:r>
            <w:r>
              <w:rPr>
                <w:b/>
                <w:spacing w:val="-2"/>
                <w:szCs w:val="22"/>
              </w:rPr>
              <w:br/>
              <w:t>MANAGEMENT GROUP</w:t>
            </w:r>
          </w:p>
        </w:tc>
        <w:tc>
          <w:tcPr>
            <w:tcW w:w="2400" w:type="dxa"/>
            <w:vAlign w:val="center"/>
          </w:tcPr>
          <w:p w:rsidR="0020095E" w:rsidRPr="000573AD" w:rsidRDefault="0020095E" w:rsidP="0020095E">
            <w:pPr>
              <w:spacing w:before="60"/>
              <w:jc w:val="right"/>
            </w:pPr>
            <w:r w:rsidRPr="000573AD">
              <w:t>Submitted by:</w:t>
            </w:r>
          </w:p>
        </w:tc>
        <w:tc>
          <w:tcPr>
            <w:tcW w:w="2136" w:type="dxa"/>
            <w:vAlign w:val="center"/>
          </w:tcPr>
          <w:p w:rsidR="0020095E" w:rsidRPr="000573AD" w:rsidRDefault="005D6FED" w:rsidP="0020095E">
            <w:pPr>
              <w:spacing w:before="60"/>
              <w:jc w:val="right"/>
              <w:rPr>
                <w:szCs w:val="22"/>
              </w:rPr>
            </w:pPr>
            <w:r>
              <w:rPr>
                <w:szCs w:val="22"/>
              </w:rPr>
              <w:t>Secretariat</w:t>
            </w:r>
          </w:p>
        </w:tc>
      </w:tr>
      <w:tr w:rsidR="0020095E" w:rsidRPr="000573AD" w:rsidTr="00111BFD">
        <w:tc>
          <w:tcPr>
            <w:tcW w:w="5495" w:type="dxa"/>
            <w:vMerge/>
          </w:tcPr>
          <w:p w:rsidR="0020095E" w:rsidRPr="000573AD" w:rsidRDefault="0020095E" w:rsidP="0020095E"/>
        </w:tc>
        <w:tc>
          <w:tcPr>
            <w:tcW w:w="2400" w:type="dxa"/>
            <w:vAlign w:val="center"/>
          </w:tcPr>
          <w:p w:rsidR="0020095E" w:rsidRPr="000573AD" w:rsidRDefault="0020095E" w:rsidP="0020095E">
            <w:pPr>
              <w:spacing w:before="60"/>
              <w:jc w:val="right"/>
            </w:pPr>
            <w:r w:rsidRPr="000573AD">
              <w:t>Date:</w:t>
            </w:r>
          </w:p>
        </w:tc>
        <w:tc>
          <w:tcPr>
            <w:tcW w:w="2136" w:type="dxa"/>
            <w:vAlign w:val="center"/>
          </w:tcPr>
          <w:p w:rsidR="0020095E" w:rsidRPr="000573AD" w:rsidRDefault="005D6FED" w:rsidP="00EE128C">
            <w:pPr>
              <w:spacing w:before="60"/>
              <w:jc w:val="right"/>
              <w:rPr>
                <w:szCs w:val="22"/>
              </w:rPr>
            </w:pPr>
            <w:r>
              <w:rPr>
                <w:szCs w:val="22"/>
              </w:rPr>
              <w:t>29.I.2016</w:t>
            </w:r>
          </w:p>
        </w:tc>
      </w:tr>
      <w:tr w:rsidR="0020095E" w:rsidRPr="000573AD" w:rsidTr="00111BFD">
        <w:tc>
          <w:tcPr>
            <w:tcW w:w="5495" w:type="dxa"/>
            <w:vMerge w:val="restart"/>
            <w:tcBorders>
              <w:bottom w:val="single" w:sz="4" w:space="0" w:color="auto"/>
            </w:tcBorders>
            <w:vAlign w:val="center"/>
          </w:tcPr>
          <w:p w:rsidR="0020095E" w:rsidRPr="000573AD" w:rsidRDefault="006B21FE" w:rsidP="00EF66D9">
            <w:pPr>
              <w:tabs>
                <w:tab w:val="clear" w:pos="1134"/>
                <w:tab w:val="left" w:pos="1140"/>
              </w:tabs>
              <w:spacing w:before="120"/>
              <w:rPr>
                <w:b/>
                <w:bCs/>
              </w:rPr>
            </w:pPr>
            <w:r>
              <w:rPr>
                <w:b/>
                <w:bCs/>
              </w:rPr>
              <w:t>Sixteenth Session</w:t>
            </w:r>
          </w:p>
          <w:p w:rsidR="0020095E" w:rsidRPr="000573AD" w:rsidRDefault="006B21FE" w:rsidP="00EF66D9">
            <w:pPr>
              <w:ind w:right="-455"/>
              <w:rPr>
                <w:snapToGrid w:val="0"/>
              </w:rPr>
            </w:pPr>
            <w:r>
              <w:rPr>
                <w:snapToGrid w:val="0"/>
              </w:rPr>
              <w:t>Geneva, 15-19 February 2016</w:t>
            </w:r>
          </w:p>
        </w:tc>
        <w:tc>
          <w:tcPr>
            <w:tcW w:w="2400" w:type="dxa"/>
            <w:vAlign w:val="center"/>
          </w:tcPr>
          <w:p w:rsidR="0020095E" w:rsidRPr="000573AD" w:rsidRDefault="0020095E" w:rsidP="0020095E">
            <w:pPr>
              <w:spacing w:before="60"/>
              <w:jc w:val="right"/>
            </w:pPr>
            <w:r w:rsidRPr="000573AD">
              <w:t xml:space="preserve">Original Language: </w:t>
            </w:r>
          </w:p>
        </w:tc>
        <w:tc>
          <w:tcPr>
            <w:tcW w:w="2136" w:type="dxa"/>
            <w:vAlign w:val="center"/>
          </w:tcPr>
          <w:p w:rsidR="0020095E" w:rsidRPr="000573AD" w:rsidRDefault="0020095E" w:rsidP="0020095E">
            <w:pPr>
              <w:spacing w:before="60"/>
              <w:jc w:val="right"/>
              <w:rPr>
                <w:szCs w:val="22"/>
              </w:rPr>
            </w:pPr>
            <w:r w:rsidRPr="000573AD">
              <w:rPr>
                <w:szCs w:val="22"/>
              </w:rPr>
              <w:t>English</w:t>
            </w:r>
          </w:p>
        </w:tc>
      </w:tr>
      <w:tr w:rsidR="0020095E" w:rsidRPr="000573AD" w:rsidTr="00111BFD">
        <w:tc>
          <w:tcPr>
            <w:tcW w:w="5495" w:type="dxa"/>
            <w:vMerge/>
            <w:tcBorders>
              <w:bottom w:val="single" w:sz="4" w:space="0" w:color="auto"/>
            </w:tcBorders>
          </w:tcPr>
          <w:p w:rsidR="0020095E" w:rsidRPr="000573AD" w:rsidRDefault="0020095E" w:rsidP="0020095E"/>
        </w:tc>
        <w:tc>
          <w:tcPr>
            <w:tcW w:w="2400" w:type="dxa"/>
            <w:tcBorders>
              <w:bottom w:val="single" w:sz="4" w:space="0" w:color="auto"/>
            </w:tcBorders>
            <w:vAlign w:val="center"/>
          </w:tcPr>
          <w:p w:rsidR="0020095E" w:rsidRPr="000573AD" w:rsidRDefault="0020095E" w:rsidP="0020095E">
            <w:pPr>
              <w:jc w:val="right"/>
            </w:pPr>
            <w:r w:rsidRPr="000573AD">
              <w:t>Status:</w:t>
            </w:r>
          </w:p>
        </w:tc>
        <w:tc>
          <w:tcPr>
            <w:tcW w:w="2136" w:type="dxa"/>
            <w:tcBorders>
              <w:bottom w:val="single" w:sz="4" w:space="0" w:color="auto"/>
            </w:tcBorders>
            <w:vAlign w:val="center"/>
          </w:tcPr>
          <w:p w:rsidR="0020095E" w:rsidRPr="000573AD" w:rsidRDefault="0020095E" w:rsidP="0020095E">
            <w:pPr>
              <w:jc w:val="right"/>
              <w:rPr>
                <w:b/>
              </w:rPr>
            </w:pPr>
            <w:r w:rsidRPr="000573AD">
              <w:rPr>
                <w:b/>
              </w:rPr>
              <w:t>DRAFT 1</w:t>
            </w:r>
          </w:p>
        </w:tc>
      </w:tr>
    </w:tbl>
    <w:p w:rsidR="0020095E" w:rsidRDefault="0020095E" w:rsidP="00C13EEC">
      <w:pPr>
        <w:pStyle w:val="Heading2"/>
        <w:tabs>
          <w:tab w:val="clear" w:pos="1134"/>
        </w:tabs>
        <w:ind w:left="0" w:firstLine="0"/>
        <w:jc w:val="center"/>
        <w:rPr>
          <w:noProof/>
        </w:rPr>
      </w:pPr>
      <w:r w:rsidRPr="000573AD">
        <w:t xml:space="preserve">Agenda Item </w:t>
      </w:r>
      <w:r w:rsidR="00D02DB1">
        <w:t>7.1</w:t>
      </w:r>
      <w:r w:rsidRPr="000573AD">
        <w:t xml:space="preserve">: </w:t>
      </w:r>
      <w:r w:rsidR="00D02DB1">
        <w:rPr>
          <w:noProof/>
        </w:rPr>
        <w:t>Responsibility for managing manuals and guides</w:t>
      </w:r>
    </w:p>
    <w:p w:rsidR="00180771" w:rsidRPr="00624768" w:rsidRDefault="00D02DB1" w:rsidP="00982E51">
      <w:pPr>
        <w:pStyle w:val="Heading1"/>
        <w:spacing w:before="480"/>
      </w:pPr>
      <w:r>
        <w:rPr>
          <w:noProof/>
        </w:rPr>
        <w:t>RESPONSIBILITY</w:t>
      </w:r>
      <w:r w:rsidR="005D6FED" w:rsidRPr="005D6FED">
        <w:rPr>
          <w:noProof/>
        </w:rPr>
        <w:t xml:space="preserve"> FOR MANAGING MANUALS AND GUIDES</w:t>
      </w:r>
    </w:p>
    <w:p w:rsidR="00180771" w:rsidRPr="00D02DB1" w:rsidRDefault="00D02DB1" w:rsidP="0083441B">
      <w:pPr>
        <w:pStyle w:val="WMOBodyText"/>
        <w:jc w:val="center"/>
      </w:pPr>
      <w:r>
        <w:rPr>
          <w:shd w:val="clear" w:color="auto" w:fill="FFFFFF"/>
        </w:rPr>
        <w:t xml:space="preserve">Seventeenth Congress extended the procedures for managing code lists in the Manual on Codes and the Manual on WIS to other manuals and guides managed by CBS. </w:t>
      </w:r>
    </w:p>
    <w:p w:rsidR="00180771" w:rsidRPr="00624768" w:rsidRDefault="00180771" w:rsidP="00180771">
      <w:pPr>
        <w:pStyle w:val="Heading3"/>
      </w:pPr>
      <w:r w:rsidRPr="00624768">
        <w:t>DECISIONS/ACTIONS REQUIRED:</w:t>
      </w:r>
    </w:p>
    <w:p w:rsidR="0020095E" w:rsidRPr="000573AD" w:rsidRDefault="0020095E" w:rsidP="00180771">
      <w:pPr>
        <w:pStyle w:val="WMOResList1"/>
      </w:pPr>
      <w:r w:rsidRPr="000573AD">
        <w:t>(a)</w:t>
      </w:r>
      <w:r w:rsidRPr="000573AD">
        <w:tab/>
      </w:r>
      <w:r w:rsidR="005D6FED">
        <w:t>Decide on which teams should be responsible for managing the contents of Manuals and Guides that are the responsibility of CBS</w:t>
      </w:r>
    </w:p>
    <w:p w:rsidR="0020095E" w:rsidRDefault="0020095E" w:rsidP="0020095E">
      <w:pPr>
        <w:pStyle w:val="WMOResList1"/>
      </w:pPr>
      <w:r w:rsidRPr="000573AD">
        <w:t>(b)</w:t>
      </w:r>
      <w:r w:rsidRPr="000573AD">
        <w:tab/>
      </w:r>
      <w:r w:rsidR="005D6FED">
        <w:t>Recommend a revised wording of the conditions under which the “simple” change procedure for Manuals and Guides may be applied</w:t>
      </w:r>
    </w:p>
    <w:p w:rsidR="00D02DB1" w:rsidRPr="000573AD" w:rsidRDefault="00D02DB1" w:rsidP="0020095E">
      <w:pPr>
        <w:pStyle w:val="WMOResList1"/>
      </w:pPr>
      <w:r>
        <w:t>(c)</w:t>
      </w:r>
      <w:r>
        <w:tab/>
        <w:t>Decide to refer all changes implemented under the simple or standard procedures to the President of WMO for confirmation as the final step in the procedure.</w:t>
      </w:r>
    </w:p>
    <w:p w:rsidR="0020095E" w:rsidRPr="000573AD" w:rsidRDefault="0020095E" w:rsidP="0020095E">
      <w:pPr>
        <w:pStyle w:val="Heading3"/>
      </w:pPr>
      <w:r w:rsidRPr="000573AD">
        <w:t xml:space="preserve">CONTENT OF DOCUMENT: </w:t>
      </w:r>
    </w:p>
    <w:p w:rsidR="0020095E" w:rsidRPr="000573AD" w:rsidRDefault="0020095E" w:rsidP="0083441B">
      <w:pPr>
        <w:pStyle w:val="WMOBodyText"/>
      </w:pPr>
      <w:r w:rsidRPr="000573AD">
        <w:t>The Table of Contents is available only electronically as a Document Map</w:t>
      </w:r>
      <w:r w:rsidRPr="000573AD">
        <w:rPr>
          <w:rStyle w:val="FootnoteReference"/>
        </w:rPr>
        <w:footnoteReference w:customMarkFollows="1" w:id="1"/>
        <w:t>*</w:t>
      </w:r>
      <w:r w:rsidRPr="000573AD">
        <w:t>.</w:t>
      </w:r>
    </w:p>
    <w:p w:rsidR="00C47E45" w:rsidRDefault="00C47E45">
      <w:pPr>
        <w:tabs>
          <w:tab w:val="clear" w:pos="1134"/>
        </w:tabs>
        <w:rPr>
          <w:b/>
          <w:bCs/>
          <w:caps/>
          <w:kern w:val="32"/>
          <w:sz w:val="28"/>
          <w:szCs w:val="32"/>
          <w:lang w:eastAsia="zh-TW"/>
        </w:rPr>
      </w:pPr>
      <w:r>
        <w:br w:type="page"/>
      </w:r>
    </w:p>
    <w:p w:rsidR="005D6FED" w:rsidRPr="00FF65B9" w:rsidRDefault="005D6FED" w:rsidP="005D6FED">
      <w:pPr>
        <w:pStyle w:val="Heading1"/>
      </w:pPr>
      <w:r>
        <w:lastRenderedPageBreak/>
        <w:t>Responsibilit</w:t>
      </w:r>
      <w:r w:rsidR="00D02DB1">
        <w:t>y</w:t>
      </w:r>
      <w:r>
        <w:t xml:space="preserve"> for Managing Manuals and Guides</w:t>
      </w:r>
    </w:p>
    <w:p w:rsidR="005D6FED" w:rsidRDefault="005D6FED" w:rsidP="005D6FED">
      <w:pPr>
        <w:pStyle w:val="Heading2"/>
      </w:pPr>
      <w:r w:rsidRPr="00FF65B9">
        <w:t>Introduction</w:t>
      </w:r>
    </w:p>
    <w:p w:rsidR="005D6FED" w:rsidRDefault="005D6FED" w:rsidP="00C47E45">
      <w:pPr>
        <w:pStyle w:val="BodyTextNumbered"/>
      </w:pPr>
      <w:r>
        <w:t xml:space="preserve">Seventeenth Congress extended the ability to use the “fast track” (now known as “simple”) and “between sessions” (now known as “standard”) procedures for updating Manuals and Guides to all </w:t>
      </w:r>
      <w:r w:rsidRPr="00C47E45">
        <w:t>Manuals</w:t>
      </w:r>
      <w:r>
        <w:t xml:space="preserve"> and Guides managed by CBS. The secretariat is working on the details of the procedures to </w:t>
      </w:r>
      <w:r w:rsidR="00C47E45">
        <w:t>implement</w:t>
      </w:r>
      <w:r>
        <w:t xml:space="preserve"> this.</w:t>
      </w:r>
    </w:p>
    <w:p w:rsidR="005D6FED" w:rsidRDefault="005D6FED" w:rsidP="005D6FED">
      <w:pPr>
        <w:pStyle w:val="Comment"/>
        <w:ind w:left="360"/>
      </w:pPr>
      <w:r>
        <w:t>(See Resolution 21, Cg-17, on page 274 of the English version of the Cg-17 report, based on Recommendation 15, CBS-Ext</w:t>
      </w:r>
      <w:proofErr w:type="gramStart"/>
      <w:r>
        <w:t>.(</w:t>
      </w:r>
      <w:proofErr w:type="gramEnd"/>
      <w:r>
        <w:t>2014) on page 99 of the CBS Ext.(2014) report)).</w:t>
      </w:r>
    </w:p>
    <w:p w:rsidR="00C47E45" w:rsidRDefault="00C47E45" w:rsidP="00C47E45">
      <w:pPr>
        <w:pStyle w:val="BodyTextNumbered"/>
      </w:pPr>
      <w:r>
        <w:t>The Congress resolution allowed the use of the simple procedure for changes that “impact only on those Members wishing to exploit the change.” This had subsequently been found to lack the intended clarity, and in particular carried an implication that Members could choose which mandatory obligations they need implement. The original intention had been to limit the changes that could be implemented using the “simple” procedure to those that had very limited financial impact, and implementation of which would carry low risk to Members.</w:t>
      </w:r>
      <w:r w:rsidR="00D754A3">
        <w:t xml:space="preserve"> Until this matter had been resolved by EC, use of the simple procedure would be confined to the code lists in the Manual on Codes and the Manual on WIS.</w:t>
      </w:r>
    </w:p>
    <w:p w:rsidR="00D754A3" w:rsidRPr="00C47E45" w:rsidRDefault="00D754A3" w:rsidP="00C47E45">
      <w:pPr>
        <w:pStyle w:val="BodyTextNumbered"/>
      </w:pPr>
      <w:r>
        <w:t>The procedures introduced by Resolution 21 (Cg-17) did not require the President of WMO</w:t>
      </w:r>
      <w:r w:rsidR="00111034">
        <w:t xml:space="preserve"> to approve changes, unlike other change procedures for technical regulations.</w:t>
      </w:r>
    </w:p>
    <w:p w:rsidR="005D6FED" w:rsidRPr="00D43D01" w:rsidRDefault="005D6FED" w:rsidP="00C47E45">
      <w:pPr>
        <w:pStyle w:val="BodyTextNumbered"/>
      </w:pPr>
      <w:r>
        <w:t xml:space="preserve">Under </w:t>
      </w:r>
      <w:r w:rsidRPr="00C47E45">
        <w:t>the</w:t>
      </w:r>
      <w:r>
        <w:t xml:space="preserve"> procedures, CBS has to nominate an OPAG to be responsible for each Manual and Guide, and for Expert Teams to be assigned to the maintenance of the components of those Manuals and Guides.</w:t>
      </w:r>
    </w:p>
    <w:p w:rsidR="005D6FED" w:rsidRPr="00FF65B9" w:rsidRDefault="00C47E45" w:rsidP="005D6FED">
      <w:pPr>
        <w:pStyle w:val="Heading2"/>
      </w:pPr>
      <w:r w:rsidRPr="000573AD">
        <w:t>DRAFT TEXT FOR INCLUSION IN THE GENERAL SUMMARY</w:t>
      </w:r>
      <w:r w:rsidR="005D6FED" w:rsidRPr="00FF65B9">
        <w:t xml:space="preserve"> </w:t>
      </w:r>
    </w:p>
    <w:p w:rsidR="00992C82" w:rsidRDefault="005D6FED" w:rsidP="00992C82">
      <w:pPr>
        <w:pStyle w:val="Decision"/>
      </w:pPr>
      <w:r>
        <w:t xml:space="preserve">Considering a request from the secretariat to provide additional guidance on the interpretation of the condition to permit a change to use the </w:t>
      </w:r>
      <w:r w:rsidR="001F533C">
        <w:t>simple procedure</w:t>
      </w:r>
      <w:r>
        <w:t xml:space="preserve">, CBS </w:t>
      </w:r>
      <w:r w:rsidRPr="00D754A3">
        <w:t>Management</w:t>
      </w:r>
      <w:r>
        <w:t xml:space="preserve"> Group </w:t>
      </w:r>
      <w:r w:rsidR="001F533C">
        <w:t>considered that the most appropriate approach would be to designate as “technical specifications” those sections of Manuals and Guides that were anticipated being appropriate for the simple procedure.</w:t>
      </w:r>
    </w:p>
    <w:p w:rsidR="005D6FED" w:rsidRDefault="00992C82" w:rsidP="00992C82">
      <w:pPr>
        <w:pStyle w:val="Decision"/>
      </w:pPr>
      <w:r>
        <w:t>CBS Management Group decided to allocate responsibility for managing the Manuals and Guides to the OPAGs and Expert Teams listed in Annex 1. The list includes a specification of which components of the Manuals and Guides should be considered to be technical specifications for the purpose of the simple change procedure.</w:t>
      </w:r>
      <w:r w:rsidR="005D6FED">
        <w:br/>
      </w:r>
    </w:p>
    <w:p w:rsidR="00C47E45" w:rsidRPr="00C47E45" w:rsidRDefault="00C47E45" w:rsidP="00C47E45">
      <w:pPr>
        <w:pStyle w:val="Decision"/>
      </w:pPr>
      <w:r>
        <w:t xml:space="preserve">CBS Management Group decided that changes using the simple procedure should be referred to the President of WMO for confirmation after completion of the simple procedure documented in resolution 21 (Cg-17), recognizing the role of the President of WMO acting for Executive Council between sessions </w:t>
      </w:r>
    </w:p>
    <w:p w:rsidR="005D6FED" w:rsidRPr="00FF65B9" w:rsidRDefault="005D6FED" w:rsidP="005D6FED">
      <w:pPr>
        <w:jc w:val="center"/>
        <w:rPr>
          <w:rFonts w:ascii="Times New Roman" w:hAnsi="Times New Roman"/>
          <w:sz w:val="24"/>
          <w:szCs w:val="24"/>
        </w:rPr>
      </w:pPr>
      <w:r w:rsidRPr="00FF65B9">
        <w:rPr>
          <w:rFonts w:ascii="Times New Roman" w:hAnsi="Times New Roman"/>
          <w:sz w:val="24"/>
          <w:szCs w:val="24"/>
        </w:rPr>
        <w:t>--------------------</w:t>
      </w:r>
    </w:p>
    <w:p w:rsidR="005D6FED" w:rsidRDefault="005D6FED" w:rsidP="005D6FED">
      <w:r>
        <w:br w:type="page"/>
      </w:r>
    </w:p>
    <w:p w:rsidR="005D6FED" w:rsidRDefault="005D6FED" w:rsidP="00C47E45">
      <w:pPr>
        <w:pStyle w:val="Heading2"/>
      </w:pPr>
      <w:r>
        <w:lastRenderedPageBreak/>
        <w:t>Annex 1: Managing Manuals and Guides that are the responsibility of CBS</w:t>
      </w:r>
    </w:p>
    <w:p w:rsidR="005D6FED" w:rsidRDefault="005D6FED" w:rsidP="005D6FED"/>
    <w:tbl>
      <w:tblPr>
        <w:tblStyle w:val="TableGrid"/>
        <w:tblW w:w="0" w:type="auto"/>
        <w:tblLook w:val="04A0" w:firstRow="1" w:lastRow="0" w:firstColumn="1" w:lastColumn="0" w:noHBand="0" w:noVBand="1"/>
      </w:tblPr>
      <w:tblGrid>
        <w:gridCol w:w="1228"/>
        <w:gridCol w:w="2282"/>
        <w:gridCol w:w="2126"/>
        <w:gridCol w:w="9"/>
        <w:gridCol w:w="1625"/>
        <w:gridCol w:w="1586"/>
      </w:tblGrid>
      <w:tr w:rsidR="00992C82" w:rsidTr="00BF45FD">
        <w:trPr>
          <w:cantSplit/>
          <w:trHeight w:val="213"/>
          <w:tblHeader/>
        </w:trPr>
        <w:tc>
          <w:tcPr>
            <w:tcW w:w="1228" w:type="dxa"/>
            <w:tcBorders>
              <w:bottom w:val="single" w:sz="4" w:space="0" w:color="auto"/>
            </w:tcBorders>
          </w:tcPr>
          <w:p w:rsidR="00992C82" w:rsidRPr="007902F5" w:rsidRDefault="00992C82" w:rsidP="00E06267">
            <w:pPr>
              <w:rPr>
                <w:b/>
              </w:rPr>
            </w:pPr>
            <w:r w:rsidRPr="007902F5">
              <w:rPr>
                <w:b/>
              </w:rPr>
              <w:t>Manual</w:t>
            </w:r>
          </w:p>
        </w:tc>
        <w:tc>
          <w:tcPr>
            <w:tcW w:w="2282" w:type="dxa"/>
            <w:tcBorders>
              <w:bottom w:val="single" w:sz="4" w:space="0" w:color="auto"/>
            </w:tcBorders>
          </w:tcPr>
          <w:p w:rsidR="00992C82" w:rsidRPr="007902F5" w:rsidRDefault="00992C82" w:rsidP="00E06267">
            <w:pPr>
              <w:rPr>
                <w:b/>
              </w:rPr>
            </w:pPr>
            <w:r w:rsidRPr="007902F5">
              <w:rPr>
                <w:b/>
              </w:rPr>
              <w:t>Name</w:t>
            </w:r>
          </w:p>
        </w:tc>
        <w:tc>
          <w:tcPr>
            <w:tcW w:w="2126" w:type="dxa"/>
            <w:tcBorders>
              <w:bottom w:val="single" w:sz="4" w:space="0" w:color="auto"/>
            </w:tcBorders>
          </w:tcPr>
          <w:p w:rsidR="00992C82" w:rsidRPr="007902F5" w:rsidRDefault="00992C82" w:rsidP="00E06267">
            <w:pPr>
              <w:rPr>
                <w:b/>
              </w:rPr>
            </w:pPr>
            <w:r>
              <w:rPr>
                <w:b/>
              </w:rPr>
              <w:t>Section</w:t>
            </w:r>
          </w:p>
        </w:tc>
        <w:tc>
          <w:tcPr>
            <w:tcW w:w="1634" w:type="dxa"/>
            <w:gridSpan w:val="2"/>
            <w:tcBorders>
              <w:bottom w:val="single" w:sz="4" w:space="0" w:color="auto"/>
            </w:tcBorders>
          </w:tcPr>
          <w:p w:rsidR="00992C82" w:rsidRPr="007902F5" w:rsidRDefault="00992C82" w:rsidP="00E06267">
            <w:pPr>
              <w:rPr>
                <w:b/>
              </w:rPr>
            </w:pPr>
            <w:r>
              <w:rPr>
                <w:b/>
              </w:rPr>
              <w:t>Team</w:t>
            </w:r>
          </w:p>
        </w:tc>
        <w:tc>
          <w:tcPr>
            <w:tcW w:w="1586" w:type="dxa"/>
            <w:tcBorders>
              <w:bottom w:val="single" w:sz="4" w:space="0" w:color="auto"/>
            </w:tcBorders>
          </w:tcPr>
          <w:p w:rsidR="00992C82" w:rsidRDefault="00992C82" w:rsidP="00E06267">
            <w:pPr>
              <w:rPr>
                <w:b/>
              </w:rPr>
            </w:pPr>
            <w:r>
              <w:rPr>
                <w:b/>
              </w:rPr>
              <w:t>Technical Specification</w:t>
            </w:r>
          </w:p>
        </w:tc>
      </w:tr>
      <w:tr w:rsidR="00992C82" w:rsidTr="00BF45FD">
        <w:trPr>
          <w:cantSplit/>
          <w:trHeight w:val="213"/>
        </w:trPr>
        <w:tc>
          <w:tcPr>
            <w:tcW w:w="8856" w:type="dxa"/>
            <w:gridSpan w:val="6"/>
          </w:tcPr>
          <w:p w:rsidR="00992C82" w:rsidRDefault="00992C82" w:rsidP="00E06267">
            <w:r w:rsidRPr="00AF3673">
              <w:rPr>
                <w:b/>
              </w:rPr>
              <w:t>OPAG IOS</w:t>
            </w:r>
          </w:p>
        </w:tc>
      </w:tr>
      <w:tr w:rsidR="00992C82" w:rsidTr="00BF45FD">
        <w:trPr>
          <w:cantSplit/>
          <w:trHeight w:val="213"/>
        </w:trPr>
        <w:tc>
          <w:tcPr>
            <w:tcW w:w="1228" w:type="dxa"/>
          </w:tcPr>
          <w:p w:rsidR="00992C82" w:rsidRPr="007902F5" w:rsidRDefault="00992C82" w:rsidP="00E06267">
            <w:r w:rsidRPr="007902F5">
              <w:t>WMO No. 1160</w:t>
            </w:r>
          </w:p>
        </w:tc>
        <w:tc>
          <w:tcPr>
            <w:tcW w:w="2282" w:type="dxa"/>
          </w:tcPr>
          <w:p w:rsidR="00992C82" w:rsidRPr="007902F5" w:rsidRDefault="00992C82" w:rsidP="00E06267">
            <w:r w:rsidRPr="007902F5">
              <w:t>Manual on the WMO Int</w:t>
            </w:r>
            <w:r>
              <w:t>egrated Global Observing System</w:t>
            </w:r>
          </w:p>
        </w:tc>
        <w:tc>
          <w:tcPr>
            <w:tcW w:w="2126" w:type="dxa"/>
          </w:tcPr>
          <w:p w:rsidR="00992C82" w:rsidRPr="007902F5" w:rsidRDefault="00992C82" w:rsidP="00E06267">
            <w:r>
              <w:t>All</w:t>
            </w:r>
          </w:p>
        </w:tc>
        <w:tc>
          <w:tcPr>
            <w:tcW w:w="1634" w:type="dxa"/>
            <w:gridSpan w:val="2"/>
          </w:tcPr>
          <w:p w:rsidR="00992C82" w:rsidRDefault="00992C82" w:rsidP="00E06267">
            <w:r>
              <w:t>IPET-WIFI</w:t>
            </w:r>
          </w:p>
        </w:tc>
        <w:tc>
          <w:tcPr>
            <w:tcW w:w="1586" w:type="dxa"/>
          </w:tcPr>
          <w:p w:rsidR="00992C82" w:rsidRDefault="00992C82" w:rsidP="00E06267"/>
        </w:tc>
      </w:tr>
      <w:tr w:rsidR="00992C82" w:rsidTr="00BF45FD">
        <w:trPr>
          <w:cantSplit/>
          <w:trHeight w:val="213"/>
        </w:trPr>
        <w:tc>
          <w:tcPr>
            <w:tcW w:w="1228" w:type="dxa"/>
          </w:tcPr>
          <w:p w:rsidR="00992C82" w:rsidRPr="007902F5" w:rsidRDefault="00992C82" w:rsidP="00E06267">
            <w:r w:rsidRPr="007902F5">
              <w:t>WMO No</w:t>
            </w:r>
            <w:proofErr w:type="gramStart"/>
            <w:r w:rsidRPr="007902F5">
              <w:t>. ??</w:t>
            </w:r>
            <w:proofErr w:type="gramEnd"/>
          </w:p>
        </w:tc>
        <w:tc>
          <w:tcPr>
            <w:tcW w:w="2282" w:type="dxa"/>
          </w:tcPr>
          <w:p w:rsidR="00992C82" w:rsidRPr="00FF65B9" w:rsidRDefault="00992C82" w:rsidP="00E06267">
            <w:r w:rsidRPr="007902F5">
              <w:t>Guide to the WMO Integrated Global Observing System</w:t>
            </w:r>
          </w:p>
        </w:tc>
        <w:tc>
          <w:tcPr>
            <w:tcW w:w="2126" w:type="dxa"/>
          </w:tcPr>
          <w:p w:rsidR="00992C82" w:rsidRPr="00FF65B9" w:rsidRDefault="00992C82" w:rsidP="00E06267">
            <w:r>
              <w:t>All</w:t>
            </w:r>
          </w:p>
        </w:tc>
        <w:tc>
          <w:tcPr>
            <w:tcW w:w="1634" w:type="dxa"/>
            <w:gridSpan w:val="2"/>
          </w:tcPr>
          <w:p w:rsidR="00992C82" w:rsidRDefault="00992C82" w:rsidP="00E06267">
            <w:r>
              <w:t>IPET-WIFI</w:t>
            </w:r>
          </w:p>
        </w:tc>
        <w:tc>
          <w:tcPr>
            <w:tcW w:w="1586" w:type="dxa"/>
          </w:tcPr>
          <w:p w:rsidR="00992C82" w:rsidRDefault="00992C82" w:rsidP="00E06267"/>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Introduction, Part I (General), Appendix</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ICT-IOS</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II (Requirements)</w:t>
            </w:r>
          </w:p>
        </w:tc>
        <w:tc>
          <w:tcPr>
            <w:tcW w:w="1634" w:type="dxa"/>
            <w:gridSpan w:val="2"/>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IPET-OSDE</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III (Surface-based)</w:t>
            </w:r>
          </w:p>
        </w:tc>
        <w:tc>
          <w:tcPr>
            <w:tcW w:w="1634" w:type="dxa"/>
            <w:gridSpan w:val="2"/>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ET-SBO</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III, 2.3.3, 2.12.10, 3.3.9, 3.3.10</w:t>
            </w:r>
          </w:p>
        </w:tc>
        <w:tc>
          <w:tcPr>
            <w:tcW w:w="1634" w:type="dxa"/>
            <w:gridSpan w:val="2"/>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ICT-IOS, in consultation with JCOMM</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III, 2.5, 2.12.6, 2.12.7</w:t>
            </w:r>
          </w:p>
        </w:tc>
        <w:tc>
          <w:tcPr>
            <w:tcW w:w="1634" w:type="dxa"/>
            <w:gridSpan w:val="2"/>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ET-ABO</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III, 2.9, 2.10</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ICT-IOS, in consultation with GCOS</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III, 2.11</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 xml:space="preserve">ICT-IOS, in consultation with </w:t>
            </w:r>
            <w:proofErr w:type="spellStart"/>
            <w:r>
              <w:rPr>
                <w:rFonts w:eastAsia="Cambria"/>
                <w:color w:val="000000"/>
                <w:szCs w:val="22"/>
              </w:rPr>
              <w:t>CAgM</w:t>
            </w:r>
            <w:proofErr w:type="spellEnd"/>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III, 2.12.18</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ICT-IOS, in consultation with CAS</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IV (Space-based), sections 1, and 2.1 to 2.6</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ET-SAT</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IV (Space-based), sections 2.7, 2.8, and 3</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IPET-SUP</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V (QC)</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ET-SBO</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WMO No. 488</w:t>
            </w: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Guide to the Global Observing System</w:t>
            </w: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Introduction, Part I (Purpose, …), Annex</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ICT-IOS</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II (Requirements)</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IPET-OSDE</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III (Surface-based), Part V (Reduction of level data), Part VI (QC), Part VII (Monitoring), Part VIII (QM)</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ET-SBO</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Appendices III.1, III.2, III.3</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ET-SBO</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3.2.1.3, 3.2.2.3, 3.3.2.7 (ASAP part), 3.6, 3.9.2.8</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JCOMM</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3.4, 3.9.2.4, 3.9.2.5</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ET-ABO</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3.5</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proofErr w:type="spellStart"/>
            <w:r>
              <w:rPr>
                <w:rFonts w:eastAsia="Cambria"/>
                <w:color w:val="000000"/>
                <w:szCs w:val="22"/>
              </w:rPr>
              <w:t>CAeM</w:t>
            </w:r>
            <w:proofErr w:type="spellEnd"/>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3.7</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proofErr w:type="spellStart"/>
            <w:r>
              <w:rPr>
                <w:rFonts w:eastAsia="Cambria"/>
                <w:color w:val="000000"/>
                <w:szCs w:val="22"/>
              </w:rPr>
              <w:t>CCl</w:t>
            </w:r>
            <w:proofErr w:type="spellEnd"/>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3.8</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proofErr w:type="spellStart"/>
            <w:r>
              <w:rPr>
                <w:rFonts w:eastAsia="Cambria"/>
                <w:color w:val="000000"/>
                <w:szCs w:val="22"/>
              </w:rPr>
              <w:t>CAgM</w:t>
            </w:r>
            <w:proofErr w:type="spellEnd"/>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3.9.2.6</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CAS</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1228"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282" w:type="dxa"/>
          </w:tcPr>
          <w:p w:rsidR="00992C82" w:rsidRPr="00033DF6" w:rsidRDefault="00992C82" w:rsidP="00E06267">
            <w:pPr>
              <w:widowControl w:val="0"/>
              <w:suppressAutoHyphens/>
              <w:autoSpaceDE w:val="0"/>
              <w:autoSpaceDN w:val="0"/>
              <w:adjustRightInd w:val="0"/>
              <w:textAlignment w:val="center"/>
              <w:rPr>
                <w:rFonts w:eastAsia="Cambria"/>
                <w:color w:val="000000"/>
                <w:szCs w:val="22"/>
              </w:rPr>
            </w:pPr>
          </w:p>
        </w:tc>
        <w:tc>
          <w:tcPr>
            <w:tcW w:w="2126" w:type="dxa"/>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Part IV (Space-based)</w:t>
            </w:r>
          </w:p>
        </w:tc>
        <w:tc>
          <w:tcPr>
            <w:tcW w:w="1634" w:type="dxa"/>
            <w:gridSpan w:val="2"/>
          </w:tcPr>
          <w:p w:rsidR="00992C82" w:rsidRDefault="00992C82" w:rsidP="00E06267">
            <w:pPr>
              <w:widowControl w:val="0"/>
              <w:suppressAutoHyphens/>
              <w:autoSpaceDE w:val="0"/>
              <w:autoSpaceDN w:val="0"/>
              <w:adjustRightInd w:val="0"/>
              <w:textAlignment w:val="center"/>
              <w:rPr>
                <w:rFonts w:eastAsia="Cambria"/>
                <w:color w:val="000000"/>
                <w:szCs w:val="22"/>
              </w:rPr>
            </w:pPr>
            <w:r>
              <w:rPr>
                <w:rFonts w:eastAsia="Cambria"/>
                <w:color w:val="000000"/>
                <w:szCs w:val="22"/>
              </w:rPr>
              <w:t>IPET-SUP</w:t>
            </w:r>
          </w:p>
        </w:tc>
        <w:tc>
          <w:tcPr>
            <w:tcW w:w="1586" w:type="dxa"/>
          </w:tcPr>
          <w:p w:rsidR="00992C82" w:rsidRDefault="00992C82" w:rsidP="00E06267">
            <w:pPr>
              <w:widowControl w:val="0"/>
              <w:suppressAutoHyphens/>
              <w:autoSpaceDE w:val="0"/>
              <w:autoSpaceDN w:val="0"/>
              <w:adjustRightInd w:val="0"/>
              <w:textAlignment w:val="center"/>
              <w:rPr>
                <w:rFonts w:eastAsia="Cambria"/>
                <w:color w:val="000000"/>
                <w:szCs w:val="22"/>
              </w:rPr>
            </w:pPr>
          </w:p>
        </w:tc>
      </w:tr>
      <w:tr w:rsidR="00992C82" w:rsidTr="00BF45FD">
        <w:trPr>
          <w:cantSplit/>
          <w:trHeight w:val="213"/>
        </w:trPr>
        <w:tc>
          <w:tcPr>
            <w:tcW w:w="8856" w:type="dxa"/>
            <w:gridSpan w:val="6"/>
          </w:tcPr>
          <w:p w:rsidR="00992C82" w:rsidRDefault="00992C82" w:rsidP="00E06267">
            <w:r w:rsidRPr="00AF3673">
              <w:rPr>
                <w:b/>
              </w:rPr>
              <w:t>OPAG ISS</w:t>
            </w:r>
          </w:p>
        </w:tc>
      </w:tr>
      <w:tr w:rsidR="00992C82" w:rsidTr="00BF45FD">
        <w:trPr>
          <w:cantSplit/>
          <w:trHeight w:val="213"/>
        </w:trPr>
        <w:tc>
          <w:tcPr>
            <w:tcW w:w="1228" w:type="dxa"/>
            <w:vMerge w:val="restart"/>
          </w:tcPr>
          <w:p w:rsidR="00992C82" w:rsidRPr="007902F5" w:rsidRDefault="00992C82" w:rsidP="00E06267">
            <w:r w:rsidRPr="007902F5">
              <w:t>WMO No. 1060</w:t>
            </w:r>
          </w:p>
        </w:tc>
        <w:tc>
          <w:tcPr>
            <w:tcW w:w="2282" w:type="dxa"/>
            <w:vMerge w:val="restart"/>
          </w:tcPr>
          <w:p w:rsidR="00992C82" w:rsidRPr="007902F5" w:rsidRDefault="00992C82" w:rsidP="00E06267">
            <w:r w:rsidRPr="007902F5">
              <w:t>Manual on the WMO Information System</w:t>
            </w:r>
          </w:p>
        </w:tc>
        <w:tc>
          <w:tcPr>
            <w:tcW w:w="2126" w:type="dxa"/>
          </w:tcPr>
          <w:p w:rsidR="00992C82" w:rsidRDefault="00992C82" w:rsidP="00E06267">
            <w:r>
              <w:t>Requirements on centres (Parts I-IV)</w:t>
            </w:r>
          </w:p>
        </w:tc>
        <w:tc>
          <w:tcPr>
            <w:tcW w:w="1634" w:type="dxa"/>
            <w:gridSpan w:val="2"/>
          </w:tcPr>
          <w:p w:rsidR="00992C82" w:rsidRPr="007902F5" w:rsidRDefault="00992C82" w:rsidP="00E06267">
            <w:r>
              <w:t>ET-WISC</w:t>
            </w:r>
          </w:p>
        </w:tc>
        <w:tc>
          <w:tcPr>
            <w:tcW w:w="1586" w:type="dxa"/>
          </w:tcPr>
          <w:p w:rsidR="00992C82" w:rsidRDefault="00BF45FD" w:rsidP="006E7055">
            <w:r>
              <w:t xml:space="preserve">Appendix A, </w:t>
            </w:r>
          </w:p>
        </w:tc>
      </w:tr>
      <w:tr w:rsidR="00992C82" w:rsidRPr="00BF45FD" w:rsidTr="00BF45FD">
        <w:trPr>
          <w:cantSplit/>
          <w:trHeight w:val="213"/>
        </w:trPr>
        <w:tc>
          <w:tcPr>
            <w:tcW w:w="1228" w:type="dxa"/>
            <w:vMerge/>
          </w:tcPr>
          <w:p w:rsidR="00992C82" w:rsidRPr="007902F5" w:rsidRDefault="00992C82" w:rsidP="00E06267"/>
        </w:tc>
        <w:tc>
          <w:tcPr>
            <w:tcW w:w="2282" w:type="dxa"/>
            <w:vMerge/>
          </w:tcPr>
          <w:p w:rsidR="00992C82" w:rsidRPr="007902F5" w:rsidRDefault="00992C82" w:rsidP="00E06267"/>
        </w:tc>
        <w:tc>
          <w:tcPr>
            <w:tcW w:w="2126" w:type="dxa"/>
          </w:tcPr>
          <w:p w:rsidR="00992C82" w:rsidRDefault="00992C82" w:rsidP="00E06267">
            <w:r>
              <w:t>WIS Discovery Metadata (Part V)</w:t>
            </w:r>
          </w:p>
        </w:tc>
        <w:tc>
          <w:tcPr>
            <w:tcW w:w="1634" w:type="dxa"/>
            <w:gridSpan w:val="2"/>
          </w:tcPr>
          <w:p w:rsidR="00992C82" w:rsidRDefault="00992C82" w:rsidP="00E06267">
            <w:r>
              <w:t>IPET-MDRD</w:t>
            </w:r>
          </w:p>
        </w:tc>
        <w:tc>
          <w:tcPr>
            <w:tcW w:w="1586" w:type="dxa"/>
          </w:tcPr>
          <w:p w:rsidR="00BF45FD" w:rsidRPr="00BF45FD" w:rsidRDefault="00BF45FD" w:rsidP="00BF45FD">
            <w:pPr>
              <w:jc w:val="left"/>
              <w:rPr>
                <w:lang w:val="fr-CH"/>
              </w:rPr>
            </w:pPr>
            <w:proofErr w:type="spellStart"/>
            <w:r>
              <w:rPr>
                <w:lang w:val="fr-CH"/>
              </w:rPr>
              <w:t>Append</w:t>
            </w:r>
            <w:r w:rsidRPr="00BF45FD">
              <w:rPr>
                <w:lang w:val="fr-CH"/>
              </w:rPr>
              <w:t>ix</w:t>
            </w:r>
            <w:proofErr w:type="spellEnd"/>
            <w:r w:rsidRPr="00BF45FD">
              <w:rPr>
                <w:lang w:val="fr-CH"/>
              </w:rPr>
              <w:t xml:space="preserve"> C Part 2 section 3 (</w:t>
            </w:r>
            <w:r>
              <w:rPr>
                <w:lang w:val="fr-CH"/>
              </w:rPr>
              <w:t xml:space="preserve">Data </w:t>
            </w:r>
            <w:proofErr w:type="spellStart"/>
            <w:r>
              <w:rPr>
                <w:lang w:val="fr-CH"/>
              </w:rPr>
              <w:t>Dictionary</w:t>
            </w:r>
            <w:proofErr w:type="spellEnd"/>
            <w:r w:rsidRPr="00BF45FD">
              <w:rPr>
                <w:lang w:val="fr-CH"/>
              </w:rPr>
              <w:t>)</w:t>
            </w:r>
          </w:p>
        </w:tc>
      </w:tr>
      <w:tr w:rsidR="006E7055" w:rsidTr="00BF45FD">
        <w:trPr>
          <w:cantSplit/>
          <w:trHeight w:val="213"/>
        </w:trPr>
        <w:tc>
          <w:tcPr>
            <w:tcW w:w="1228" w:type="dxa"/>
            <w:vMerge w:val="restart"/>
          </w:tcPr>
          <w:p w:rsidR="006E7055" w:rsidRPr="007902F5" w:rsidRDefault="006E7055" w:rsidP="00E06267">
            <w:r w:rsidRPr="007902F5">
              <w:t>WMO No.</w:t>
            </w:r>
            <w:r>
              <w:t xml:space="preserve"> 1061</w:t>
            </w:r>
          </w:p>
        </w:tc>
        <w:tc>
          <w:tcPr>
            <w:tcW w:w="2282" w:type="dxa"/>
            <w:vMerge w:val="restart"/>
          </w:tcPr>
          <w:p w:rsidR="006E7055" w:rsidRPr="007902F5" w:rsidRDefault="006E7055" w:rsidP="00E06267">
            <w:r w:rsidRPr="007902F5">
              <w:t>Guide to the WMO Information System</w:t>
            </w:r>
          </w:p>
        </w:tc>
        <w:tc>
          <w:tcPr>
            <w:tcW w:w="2126" w:type="dxa"/>
          </w:tcPr>
          <w:p w:rsidR="006E7055" w:rsidRDefault="006E7055" w:rsidP="00E06267">
            <w:r>
              <w:t>Requirements on centres (Parts I-IV)</w:t>
            </w:r>
          </w:p>
        </w:tc>
        <w:tc>
          <w:tcPr>
            <w:tcW w:w="1634" w:type="dxa"/>
            <w:gridSpan w:val="2"/>
          </w:tcPr>
          <w:p w:rsidR="006E7055" w:rsidRPr="007902F5" w:rsidRDefault="006E7055" w:rsidP="00E06267">
            <w:r>
              <w:t>ET-WISC</w:t>
            </w:r>
          </w:p>
        </w:tc>
        <w:tc>
          <w:tcPr>
            <w:tcW w:w="1586" w:type="dxa"/>
          </w:tcPr>
          <w:p w:rsidR="006E7055" w:rsidRDefault="006E7055" w:rsidP="00E06267"/>
        </w:tc>
      </w:tr>
      <w:tr w:rsidR="006E7055" w:rsidTr="00BF45FD">
        <w:trPr>
          <w:cantSplit/>
          <w:trHeight w:val="213"/>
        </w:trPr>
        <w:tc>
          <w:tcPr>
            <w:tcW w:w="1228" w:type="dxa"/>
            <w:vMerge/>
          </w:tcPr>
          <w:p w:rsidR="006E7055" w:rsidRPr="007902F5" w:rsidRDefault="006E7055" w:rsidP="00E06267"/>
        </w:tc>
        <w:tc>
          <w:tcPr>
            <w:tcW w:w="2282" w:type="dxa"/>
            <w:vMerge/>
          </w:tcPr>
          <w:p w:rsidR="006E7055" w:rsidRPr="007902F5" w:rsidRDefault="006E7055" w:rsidP="00E06267"/>
        </w:tc>
        <w:tc>
          <w:tcPr>
            <w:tcW w:w="2126" w:type="dxa"/>
          </w:tcPr>
          <w:p w:rsidR="006E7055" w:rsidRDefault="006E7055" w:rsidP="00E06267">
            <w:r>
              <w:t>WIS Discovery Metadata (Part V)</w:t>
            </w:r>
          </w:p>
        </w:tc>
        <w:tc>
          <w:tcPr>
            <w:tcW w:w="1634" w:type="dxa"/>
            <w:gridSpan w:val="2"/>
          </w:tcPr>
          <w:p w:rsidR="006E7055" w:rsidRDefault="006E7055" w:rsidP="00E06267">
            <w:r>
              <w:t>IPET-MDRD</w:t>
            </w:r>
          </w:p>
        </w:tc>
        <w:tc>
          <w:tcPr>
            <w:tcW w:w="1586" w:type="dxa"/>
          </w:tcPr>
          <w:p w:rsidR="006E7055" w:rsidRDefault="006E7055" w:rsidP="00BF45FD">
            <w:pPr>
              <w:jc w:val="left"/>
            </w:pPr>
            <w:r>
              <w:t>Part V metadata guidance</w:t>
            </w:r>
          </w:p>
        </w:tc>
      </w:tr>
      <w:tr w:rsidR="006E7055" w:rsidTr="00BF45FD">
        <w:trPr>
          <w:cantSplit/>
          <w:trHeight w:val="213"/>
        </w:trPr>
        <w:tc>
          <w:tcPr>
            <w:tcW w:w="1228" w:type="dxa"/>
            <w:vMerge/>
          </w:tcPr>
          <w:p w:rsidR="006E7055" w:rsidRPr="007902F5" w:rsidRDefault="006E7055" w:rsidP="00E06267"/>
        </w:tc>
        <w:tc>
          <w:tcPr>
            <w:tcW w:w="2282" w:type="dxa"/>
            <w:vMerge/>
          </w:tcPr>
          <w:p w:rsidR="006E7055" w:rsidRPr="007902F5" w:rsidRDefault="006E7055" w:rsidP="00E06267"/>
        </w:tc>
        <w:tc>
          <w:tcPr>
            <w:tcW w:w="2126" w:type="dxa"/>
          </w:tcPr>
          <w:p w:rsidR="006E7055" w:rsidRDefault="006E7055" w:rsidP="00E06267">
            <w:r>
              <w:t>Training and Learning Guide</w:t>
            </w:r>
          </w:p>
        </w:tc>
        <w:tc>
          <w:tcPr>
            <w:tcW w:w="1634" w:type="dxa"/>
            <w:gridSpan w:val="2"/>
          </w:tcPr>
          <w:p w:rsidR="006E7055" w:rsidRDefault="006E7055" w:rsidP="00E06267">
            <w:r>
              <w:t>ICT-ISS</w:t>
            </w:r>
            <w:bookmarkStart w:id="0" w:name="_GoBack"/>
            <w:bookmarkEnd w:id="0"/>
          </w:p>
        </w:tc>
        <w:tc>
          <w:tcPr>
            <w:tcW w:w="1586" w:type="dxa"/>
          </w:tcPr>
          <w:p w:rsidR="006E7055" w:rsidRDefault="006E7055" w:rsidP="00BF45FD">
            <w:r>
              <w:t>Annex D</w:t>
            </w:r>
          </w:p>
        </w:tc>
      </w:tr>
      <w:tr w:rsidR="00992C82" w:rsidTr="00BF45FD">
        <w:trPr>
          <w:cantSplit/>
          <w:trHeight w:val="213"/>
        </w:trPr>
        <w:tc>
          <w:tcPr>
            <w:tcW w:w="1228" w:type="dxa"/>
            <w:vMerge w:val="restart"/>
          </w:tcPr>
          <w:p w:rsidR="00992C82" w:rsidRPr="007902F5" w:rsidRDefault="00992C82" w:rsidP="00E06267">
            <w:r w:rsidRPr="007902F5">
              <w:t>WMO No. 386</w:t>
            </w:r>
          </w:p>
        </w:tc>
        <w:tc>
          <w:tcPr>
            <w:tcW w:w="2282" w:type="dxa"/>
            <w:vMerge w:val="restart"/>
          </w:tcPr>
          <w:p w:rsidR="00992C82" w:rsidRPr="007902F5" w:rsidRDefault="00992C82" w:rsidP="00BF45FD">
            <w:pPr>
              <w:jc w:val="left"/>
            </w:pPr>
            <w:r w:rsidRPr="007902F5">
              <w:t>Manual on the Global Telecommunications System,</w:t>
            </w:r>
          </w:p>
        </w:tc>
        <w:tc>
          <w:tcPr>
            <w:tcW w:w="2126" w:type="dxa"/>
          </w:tcPr>
          <w:p w:rsidR="00992C82" w:rsidRPr="007902F5" w:rsidRDefault="00992C82" w:rsidP="00E06267">
            <w:r>
              <w:t>Attachment II-5</w:t>
            </w:r>
          </w:p>
        </w:tc>
        <w:tc>
          <w:tcPr>
            <w:tcW w:w="1634" w:type="dxa"/>
            <w:gridSpan w:val="2"/>
          </w:tcPr>
          <w:p w:rsidR="00992C82" w:rsidRPr="007902F5" w:rsidRDefault="00992C82" w:rsidP="00E06267">
            <w:r>
              <w:t>IPET-DRMM</w:t>
            </w:r>
          </w:p>
        </w:tc>
        <w:tc>
          <w:tcPr>
            <w:tcW w:w="1586" w:type="dxa"/>
          </w:tcPr>
          <w:p w:rsidR="00992C82" w:rsidRDefault="00BF45FD" w:rsidP="00E06267">
            <w:r>
              <w:t>Attachment II-5</w:t>
            </w:r>
          </w:p>
        </w:tc>
      </w:tr>
      <w:tr w:rsidR="00992C82" w:rsidTr="00BF45FD">
        <w:trPr>
          <w:cantSplit/>
          <w:trHeight w:val="213"/>
        </w:trPr>
        <w:tc>
          <w:tcPr>
            <w:tcW w:w="1228" w:type="dxa"/>
            <w:vMerge/>
          </w:tcPr>
          <w:p w:rsidR="00992C82" w:rsidRPr="007902F5" w:rsidRDefault="00992C82" w:rsidP="00E06267"/>
        </w:tc>
        <w:tc>
          <w:tcPr>
            <w:tcW w:w="2282" w:type="dxa"/>
            <w:vMerge/>
          </w:tcPr>
          <w:p w:rsidR="00992C82" w:rsidRPr="007902F5" w:rsidRDefault="00992C82" w:rsidP="00E06267"/>
        </w:tc>
        <w:tc>
          <w:tcPr>
            <w:tcW w:w="2126" w:type="dxa"/>
          </w:tcPr>
          <w:p w:rsidR="00992C82" w:rsidRDefault="00992C82" w:rsidP="00E06267">
            <w:r>
              <w:t>WWW monitoring</w:t>
            </w:r>
          </w:p>
        </w:tc>
        <w:tc>
          <w:tcPr>
            <w:tcW w:w="1634" w:type="dxa"/>
            <w:gridSpan w:val="2"/>
          </w:tcPr>
          <w:p w:rsidR="00992C82" w:rsidRDefault="00992C82" w:rsidP="00E06267">
            <w:r>
              <w:t>ICT-ISS</w:t>
            </w:r>
          </w:p>
        </w:tc>
        <w:tc>
          <w:tcPr>
            <w:tcW w:w="1586" w:type="dxa"/>
          </w:tcPr>
          <w:p w:rsidR="00992C82" w:rsidRDefault="00992C82" w:rsidP="00E06267"/>
        </w:tc>
      </w:tr>
      <w:tr w:rsidR="00992C82" w:rsidTr="00BF45FD">
        <w:trPr>
          <w:cantSplit/>
          <w:trHeight w:val="213"/>
        </w:trPr>
        <w:tc>
          <w:tcPr>
            <w:tcW w:w="1228" w:type="dxa"/>
            <w:vMerge/>
          </w:tcPr>
          <w:p w:rsidR="00992C82" w:rsidRPr="007902F5" w:rsidRDefault="00992C82" w:rsidP="00E06267"/>
        </w:tc>
        <w:tc>
          <w:tcPr>
            <w:tcW w:w="2282" w:type="dxa"/>
            <w:vMerge/>
          </w:tcPr>
          <w:p w:rsidR="00992C82" w:rsidRPr="007902F5" w:rsidRDefault="00992C82" w:rsidP="00E06267"/>
        </w:tc>
        <w:tc>
          <w:tcPr>
            <w:tcW w:w="2126" w:type="dxa"/>
          </w:tcPr>
          <w:p w:rsidR="00992C82" w:rsidRDefault="00992C82" w:rsidP="00E06267">
            <w:r>
              <w:t>Remainder</w:t>
            </w:r>
          </w:p>
        </w:tc>
        <w:tc>
          <w:tcPr>
            <w:tcW w:w="1634" w:type="dxa"/>
            <w:gridSpan w:val="2"/>
          </w:tcPr>
          <w:p w:rsidR="00992C82" w:rsidRDefault="00992C82" w:rsidP="00E06267">
            <w:r>
              <w:t>ET-CTS</w:t>
            </w:r>
          </w:p>
        </w:tc>
        <w:tc>
          <w:tcPr>
            <w:tcW w:w="1586" w:type="dxa"/>
          </w:tcPr>
          <w:p w:rsidR="00992C82" w:rsidRDefault="006E7055" w:rsidP="00E06267">
            <w:r>
              <w:t>Attachments I-1 and I-2</w:t>
            </w:r>
          </w:p>
        </w:tc>
      </w:tr>
      <w:tr w:rsidR="00992C82" w:rsidTr="00BF45FD">
        <w:trPr>
          <w:cantSplit/>
        </w:trPr>
        <w:tc>
          <w:tcPr>
            <w:tcW w:w="1228" w:type="dxa"/>
          </w:tcPr>
          <w:p w:rsidR="00992C82" w:rsidRPr="007902F5" w:rsidRDefault="00992C82" w:rsidP="00E06267">
            <w:r w:rsidRPr="007902F5">
              <w:t>WMO No.</w:t>
            </w:r>
            <w:r>
              <w:t xml:space="preserve"> 1115</w:t>
            </w:r>
          </w:p>
        </w:tc>
        <w:tc>
          <w:tcPr>
            <w:tcW w:w="2282" w:type="dxa"/>
          </w:tcPr>
          <w:p w:rsidR="00992C82" w:rsidRPr="007902F5" w:rsidRDefault="00992C82" w:rsidP="00E06267">
            <w:r w:rsidRPr="007902F5">
              <w:t>Guide to Information Technology Security</w:t>
            </w:r>
          </w:p>
        </w:tc>
        <w:tc>
          <w:tcPr>
            <w:tcW w:w="2135" w:type="dxa"/>
            <w:gridSpan w:val="2"/>
          </w:tcPr>
          <w:p w:rsidR="00992C82" w:rsidRPr="007902F5" w:rsidRDefault="00992C82" w:rsidP="00E06267"/>
        </w:tc>
        <w:tc>
          <w:tcPr>
            <w:tcW w:w="1625" w:type="dxa"/>
          </w:tcPr>
          <w:p w:rsidR="00992C82" w:rsidRPr="007902F5" w:rsidRDefault="00992C82" w:rsidP="00E06267">
            <w:r>
              <w:t>ET-CTS</w:t>
            </w:r>
          </w:p>
        </w:tc>
        <w:tc>
          <w:tcPr>
            <w:tcW w:w="1586" w:type="dxa"/>
          </w:tcPr>
          <w:p w:rsidR="00992C82" w:rsidRDefault="00BF45FD" w:rsidP="00E06267">
            <w:r>
              <w:t>Whole document</w:t>
            </w:r>
          </w:p>
        </w:tc>
      </w:tr>
      <w:tr w:rsidR="00992C82" w:rsidTr="00BF45FD">
        <w:trPr>
          <w:cantSplit/>
        </w:trPr>
        <w:tc>
          <w:tcPr>
            <w:tcW w:w="1228" w:type="dxa"/>
          </w:tcPr>
          <w:p w:rsidR="00992C82" w:rsidRPr="007902F5" w:rsidRDefault="00992C82" w:rsidP="00E06267">
            <w:r w:rsidRPr="007902F5">
              <w:t>WMO No</w:t>
            </w:r>
            <w:r>
              <w:t>. 1116</w:t>
            </w:r>
          </w:p>
        </w:tc>
        <w:tc>
          <w:tcPr>
            <w:tcW w:w="2282" w:type="dxa"/>
          </w:tcPr>
          <w:p w:rsidR="00992C82" w:rsidRPr="007902F5" w:rsidRDefault="00992C82" w:rsidP="00E06267">
            <w:r w:rsidRPr="007902F5">
              <w:t>Guide to Virtual Private Networks (VPN) via the Internet between GTS centres</w:t>
            </w:r>
          </w:p>
        </w:tc>
        <w:tc>
          <w:tcPr>
            <w:tcW w:w="2135" w:type="dxa"/>
            <w:gridSpan w:val="2"/>
          </w:tcPr>
          <w:p w:rsidR="00992C82" w:rsidRPr="007902F5" w:rsidRDefault="00992C82" w:rsidP="00E06267"/>
        </w:tc>
        <w:tc>
          <w:tcPr>
            <w:tcW w:w="1625" w:type="dxa"/>
          </w:tcPr>
          <w:p w:rsidR="00992C82" w:rsidRPr="007902F5" w:rsidRDefault="00992C82" w:rsidP="00E06267">
            <w:r>
              <w:t>ET-CTS</w:t>
            </w:r>
          </w:p>
        </w:tc>
        <w:tc>
          <w:tcPr>
            <w:tcW w:w="1586" w:type="dxa"/>
          </w:tcPr>
          <w:p w:rsidR="00992C82" w:rsidRDefault="00BF45FD" w:rsidP="00E06267">
            <w:r>
              <w:t>Whole document</w:t>
            </w:r>
          </w:p>
        </w:tc>
      </w:tr>
      <w:tr w:rsidR="00992C82" w:rsidTr="00BF45FD">
        <w:trPr>
          <w:cantSplit/>
          <w:trHeight w:val="281"/>
        </w:trPr>
        <w:tc>
          <w:tcPr>
            <w:tcW w:w="1228" w:type="dxa"/>
            <w:vMerge w:val="restart"/>
          </w:tcPr>
          <w:p w:rsidR="00992C82" w:rsidRPr="007902F5" w:rsidRDefault="00992C82" w:rsidP="00E06267">
            <w:r w:rsidRPr="007902F5">
              <w:t>WMO No. 306</w:t>
            </w:r>
          </w:p>
        </w:tc>
        <w:tc>
          <w:tcPr>
            <w:tcW w:w="2282" w:type="dxa"/>
            <w:vMerge w:val="restart"/>
          </w:tcPr>
          <w:p w:rsidR="00992C82" w:rsidRPr="007902F5" w:rsidRDefault="00992C82" w:rsidP="00E06267">
            <w:r>
              <w:t>Manual on Codes</w:t>
            </w:r>
          </w:p>
        </w:tc>
        <w:tc>
          <w:tcPr>
            <w:tcW w:w="2126" w:type="dxa"/>
          </w:tcPr>
          <w:p w:rsidR="00992C82" w:rsidRPr="007902F5" w:rsidRDefault="00992C82" w:rsidP="00E06267">
            <w:proofErr w:type="spellStart"/>
            <w:r>
              <w:t>Vol</w:t>
            </w:r>
            <w:proofErr w:type="spellEnd"/>
            <w:r>
              <w:t xml:space="preserve"> I.1</w:t>
            </w:r>
          </w:p>
        </w:tc>
        <w:tc>
          <w:tcPr>
            <w:tcW w:w="1634" w:type="dxa"/>
            <w:gridSpan w:val="2"/>
          </w:tcPr>
          <w:p w:rsidR="00992C82" w:rsidRPr="007902F5" w:rsidRDefault="00992C82" w:rsidP="00E06267">
            <w:r>
              <w:t>IPET-DRMM</w:t>
            </w:r>
          </w:p>
        </w:tc>
        <w:tc>
          <w:tcPr>
            <w:tcW w:w="1586" w:type="dxa"/>
          </w:tcPr>
          <w:p w:rsidR="00992C82" w:rsidRDefault="00BF45FD" w:rsidP="00BF45FD">
            <w:pPr>
              <w:jc w:val="left"/>
            </w:pPr>
            <w:r>
              <w:t xml:space="preserve">FM 15, FM 16, FM 51, FM 53, FM 54, table 4678 </w:t>
            </w:r>
          </w:p>
        </w:tc>
      </w:tr>
      <w:tr w:rsidR="00992C82" w:rsidTr="00BF45FD">
        <w:trPr>
          <w:cantSplit/>
          <w:trHeight w:val="279"/>
        </w:trPr>
        <w:tc>
          <w:tcPr>
            <w:tcW w:w="1228" w:type="dxa"/>
            <w:vMerge/>
          </w:tcPr>
          <w:p w:rsidR="00992C82" w:rsidRPr="007902F5" w:rsidRDefault="00992C82" w:rsidP="00E06267"/>
        </w:tc>
        <w:tc>
          <w:tcPr>
            <w:tcW w:w="2282" w:type="dxa"/>
            <w:vMerge/>
          </w:tcPr>
          <w:p w:rsidR="00992C82" w:rsidRDefault="00992C82" w:rsidP="00E06267"/>
        </w:tc>
        <w:tc>
          <w:tcPr>
            <w:tcW w:w="2126" w:type="dxa"/>
          </w:tcPr>
          <w:p w:rsidR="00992C82" w:rsidRDefault="00992C82" w:rsidP="00E06267">
            <w:proofErr w:type="spellStart"/>
            <w:r>
              <w:t>Vol</w:t>
            </w:r>
            <w:proofErr w:type="spellEnd"/>
            <w:r>
              <w:t xml:space="preserve"> I.2</w:t>
            </w:r>
          </w:p>
        </w:tc>
        <w:tc>
          <w:tcPr>
            <w:tcW w:w="1634" w:type="dxa"/>
            <w:gridSpan w:val="2"/>
          </w:tcPr>
          <w:p w:rsidR="00992C82" w:rsidRDefault="00992C82" w:rsidP="00E06267">
            <w:r>
              <w:t>IPET-DRMM</w:t>
            </w:r>
          </w:p>
        </w:tc>
        <w:tc>
          <w:tcPr>
            <w:tcW w:w="1586" w:type="dxa"/>
          </w:tcPr>
          <w:p w:rsidR="00992C82" w:rsidRDefault="00BF45FD" w:rsidP="00BF45FD">
            <w:pPr>
              <w:jc w:val="left"/>
            </w:pPr>
            <w:r>
              <w:t>All code tables</w:t>
            </w:r>
          </w:p>
        </w:tc>
      </w:tr>
      <w:tr w:rsidR="00992C82" w:rsidTr="00BF45FD">
        <w:trPr>
          <w:cantSplit/>
          <w:trHeight w:val="279"/>
        </w:trPr>
        <w:tc>
          <w:tcPr>
            <w:tcW w:w="1228" w:type="dxa"/>
            <w:vMerge/>
          </w:tcPr>
          <w:p w:rsidR="00992C82" w:rsidRPr="007902F5" w:rsidRDefault="00992C82" w:rsidP="00E06267"/>
        </w:tc>
        <w:tc>
          <w:tcPr>
            <w:tcW w:w="2282" w:type="dxa"/>
            <w:vMerge/>
          </w:tcPr>
          <w:p w:rsidR="00992C82" w:rsidRDefault="00992C82" w:rsidP="00E06267"/>
        </w:tc>
        <w:tc>
          <w:tcPr>
            <w:tcW w:w="2126" w:type="dxa"/>
          </w:tcPr>
          <w:p w:rsidR="00992C82" w:rsidRDefault="00992C82" w:rsidP="00E06267">
            <w:r>
              <w:t>Vol. I.3</w:t>
            </w:r>
          </w:p>
        </w:tc>
        <w:tc>
          <w:tcPr>
            <w:tcW w:w="1634" w:type="dxa"/>
            <w:gridSpan w:val="2"/>
          </w:tcPr>
          <w:p w:rsidR="00992C82" w:rsidRDefault="00992C82" w:rsidP="00E06267">
            <w:r>
              <w:t>IPET-MDRD</w:t>
            </w:r>
          </w:p>
        </w:tc>
        <w:tc>
          <w:tcPr>
            <w:tcW w:w="1586" w:type="dxa"/>
          </w:tcPr>
          <w:p w:rsidR="00992C82" w:rsidRDefault="00BF45FD" w:rsidP="00BF45FD">
            <w:pPr>
              <w:jc w:val="left"/>
            </w:pPr>
            <w:r>
              <w:t>All code tables</w:t>
            </w:r>
          </w:p>
        </w:tc>
      </w:tr>
      <w:tr w:rsidR="00992C82" w:rsidTr="00BF45FD">
        <w:trPr>
          <w:cantSplit/>
        </w:trPr>
        <w:tc>
          <w:tcPr>
            <w:tcW w:w="1228" w:type="dxa"/>
          </w:tcPr>
          <w:p w:rsidR="00992C82" w:rsidRPr="007902F5" w:rsidRDefault="00992C82" w:rsidP="00E06267">
            <w:r w:rsidRPr="007902F5">
              <w:t>WMO No. 788</w:t>
            </w:r>
          </w:p>
        </w:tc>
        <w:tc>
          <w:tcPr>
            <w:tcW w:w="2282" w:type="dxa"/>
          </w:tcPr>
          <w:p w:rsidR="00992C82" w:rsidRPr="007902F5" w:rsidRDefault="00992C82" w:rsidP="00E06267">
            <w:r w:rsidRPr="007902F5">
              <w:t>Guide on World Weather Watch Data Management</w:t>
            </w:r>
          </w:p>
        </w:tc>
        <w:tc>
          <w:tcPr>
            <w:tcW w:w="2135" w:type="dxa"/>
            <w:gridSpan w:val="2"/>
          </w:tcPr>
          <w:p w:rsidR="00992C82" w:rsidRPr="007902F5" w:rsidRDefault="00992C82" w:rsidP="00E06267"/>
        </w:tc>
        <w:tc>
          <w:tcPr>
            <w:tcW w:w="1625" w:type="dxa"/>
          </w:tcPr>
          <w:p w:rsidR="00992C82" w:rsidRPr="007902F5" w:rsidRDefault="00992C82" w:rsidP="00E06267">
            <w:r>
              <w:t>ICT-ISS</w:t>
            </w:r>
          </w:p>
        </w:tc>
        <w:tc>
          <w:tcPr>
            <w:tcW w:w="1586" w:type="dxa"/>
          </w:tcPr>
          <w:p w:rsidR="00992C82" w:rsidRDefault="00992C82" w:rsidP="00E06267"/>
        </w:tc>
      </w:tr>
      <w:tr w:rsidR="00992C82" w:rsidRPr="007902F5" w:rsidTr="00BF45FD">
        <w:trPr>
          <w:cantSplit/>
        </w:trPr>
        <w:tc>
          <w:tcPr>
            <w:tcW w:w="8856" w:type="dxa"/>
            <w:gridSpan w:val="6"/>
          </w:tcPr>
          <w:p w:rsidR="00992C82" w:rsidRPr="007902F5" w:rsidRDefault="00992C82" w:rsidP="00E06267">
            <w:pPr>
              <w:rPr>
                <w:b/>
              </w:rPr>
            </w:pPr>
            <w:r w:rsidRPr="007902F5">
              <w:rPr>
                <w:b/>
              </w:rPr>
              <w:t>OPAG DPFS</w:t>
            </w:r>
          </w:p>
        </w:tc>
      </w:tr>
      <w:tr w:rsidR="00992C82" w:rsidTr="00BF45FD">
        <w:trPr>
          <w:cantSplit/>
        </w:trPr>
        <w:tc>
          <w:tcPr>
            <w:tcW w:w="1228" w:type="dxa"/>
          </w:tcPr>
          <w:p w:rsidR="00992C82" w:rsidRPr="007902F5" w:rsidRDefault="00992C82" w:rsidP="00E06267">
            <w:r w:rsidRPr="007902F5">
              <w:lastRenderedPageBreak/>
              <w:t>WMO No 485</w:t>
            </w:r>
          </w:p>
        </w:tc>
        <w:tc>
          <w:tcPr>
            <w:tcW w:w="2282" w:type="dxa"/>
          </w:tcPr>
          <w:p w:rsidR="00992C82" w:rsidRPr="007902F5" w:rsidRDefault="00992C82" w:rsidP="00E06267">
            <w:r w:rsidRPr="007902F5">
              <w:t>Manual on the Global Data-processing and Forecasting System</w:t>
            </w:r>
          </w:p>
        </w:tc>
        <w:tc>
          <w:tcPr>
            <w:tcW w:w="2135" w:type="dxa"/>
            <w:gridSpan w:val="2"/>
          </w:tcPr>
          <w:p w:rsidR="00992C82" w:rsidRPr="007902F5" w:rsidRDefault="00992C82" w:rsidP="00E06267"/>
        </w:tc>
        <w:tc>
          <w:tcPr>
            <w:tcW w:w="1625" w:type="dxa"/>
          </w:tcPr>
          <w:p w:rsidR="00992C82" w:rsidRPr="007902F5" w:rsidRDefault="00992C82" w:rsidP="00E06267">
            <w:r>
              <w:t>ICT-DPFS</w:t>
            </w:r>
          </w:p>
        </w:tc>
        <w:tc>
          <w:tcPr>
            <w:tcW w:w="1586" w:type="dxa"/>
          </w:tcPr>
          <w:p w:rsidR="00992C82" w:rsidRDefault="00992C82" w:rsidP="00E06267"/>
        </w:tc>
      </w:tr>
      <w:tr w:rsidR="00992C82" w:rsidTr="00BF45FD">
        <w:trPr>
          <w:cantSplit/>
        </w:trPr>
        <w:tc>
          <w:tcPr>
            <w:tcW w:w="1228" w:type="dxa"/>
          </w:tcPr>
          <w:p w:rsidR="00992C82" w:rsidRPr="007902F5" w:rsidRDefault="00992C82" w:rsidP="00E06267">
            <w:r w:rsidRPr="007902F5">
              <w:t>WMO No. 305</w:t>
            </w:r>
          </w:p>
        </w:tc>
        <w:tc>
          <w:tcPr>
            <w:tcW w:w="2282" w:type="dxa"/>
          </w:tcPr>
          <w:p w:rsidR="00992C82" w:rsidRPr="007902F5" w:rsidRDefault="00992C82" w:rsidP="00E06267">
            <w:r w:rsidRPr="007902F5">
              <w:t>Guide on the Global Data-processing System</w:t>
            </w:r>
          </w:p>
        </w:tc>
        <w:tc>
          <w:tcPr>
            <w:tcW w:w="2135" w:type="dxa"/>
            <w:gridSpan w:val="2"/>
          </w:tcPr>
          <w:p w:rsidR="00992C82" w:rsidRPr="007902F5" w:rsidRDefault="00992C82" w:rsidP="00E06267"/>
        </w:tc>
        <w:tc>
          <w:tcPr>
            <w:tcW w:w="1625" w:type="dxa"/>
          </w:tcPr>
          <w:p w:rsidR="00992C82" w:rsidRPr="007902F5" w:rsidRDefault="00992C82" w:rsidP="00E06267">
            <w:r>
              <w:t>ICT-DPFS</w:t>
            </w:r>
          </w:p>
        </w:tc>
        <w:tc>
          <w:tcPr>
            <w:tcW w:w="1586" w:type="dxa"/>
          </w:tcPr>
          <w:p w:rsidR="00992C82" w:rsidRDefault="00992C82" w:rsidP="00E06267"/>
        </w:tc>
      </w:tr>
      <w:tr w:rsidR="00992C82" w:rsidTr="00BF45FD">
        <w:trPr>
          <w:cantSplit/>
        </w:trPr>
        <w:tc>
          <w:tcPr>
            <w:tcW w:w="1228" w:type="dxa"/>
          </w:tcPr>
          <w:p w:rsidR="00992C82" w:rsidRPr="007902F5" w:rsidRDefault="00992C82" w:rsidP="00E06267">
            <w:r w:rsidRPr="007902F5">
              <w:t>WMO No. 636</w:t>
            </w:r>
          </w:p>
        </w:tc>
        <w:tc>
          <w:tcPr>
            <w:tcW w:w="2282" w:type="dxa"/>
          </w:tcPr>
          <w:p w:rsidR="00992C82" w:rsidRPr="007902F5" w:rsidRDefault="00992C82" w:rsidP="00E06267">
            <w:r w:rsidRPr="007902F5">
              <w:t>Guide on the Automation of Data-processing Centres</w:t>
            </w:r>
          </w:p>
        </w:tc>
        <w:tc>
          <w:tcPr>
            <w:tcW w:w="2135" w:type="dxa"/>
            <w:gridSpan w:val="2"/>
          </w:tcPr>
          <w:p w:rsidR="00992C82" w:rsidRPr="007902F5" w:rsidRDefault="00992C82" w:rsidP="00E06267"/>
        </w:tc>
        <w:tc>
          <w:tcPr>
            <w:tcW w:w="1625" w:type="dxa"/>
          </w:tcPr>
          <w:p w:rsidR="00992C82" w:rsidRPr="007902F5" w:rsidRDefault="00992C82" w:rsidP="00E06267">
            <w:r>
              <w:t>ICT-DPFS</w:t>
            </w:r>
          </w:p>
        </w:tc>
        <w:tc>
          <w:tcPr>
            <w:tcW w:w="1586" w:type="dxa"/>
          </w:tcPr>
          <w:p w:rsidR="00992C82" w:rsidRDefault="00992C82" w:rsidP="00E06267"/>
        </w:tc>
      </w:tr>
      <w:tr w:rsidR="00992C82" w:rsidRPr="007902F5" w:rsidTr="00BF45FD">
        <w:trPr>
          <w:cantSplit/>
        </w:trPr>
        <w:tc>
          <w:tcPr>
            <w:tcW w:w="8856" w:type="dxa"/>
            <w:gridSpan w:val="6"/>
          </w:tcPr>
          <w:p w:rsidR="00992C82" w:rsidRPr="007902F5" w:rsidRDefault="00992C82" w:rsidP="00E06267">
            <w:pPr>
              <w:rPr>
                <w:b/>
              </w:rPr>
            </w:pPr>
            <w:r w:rsidRPr="007902F5">
              <w:rPr>
                <w:b/>
              </w:rPr>
              <w:t>OPAG PWS</w:t>
            </w:r>
          </w:p>
        </w:tc>
      </w:tr>
      <w:tr w:rsidR="00992C82" w:rsidTr="00BF45FD">
        <w:trPr>
          <w:cantSplit/>
        </w:trPr>
        <w:tc>
          <w:tcPr>
            <w:tcW w:w="1228" w:type="dxa"/>
          </w:tcPr>
          <w:p w:rsidR="00992C82" w:rsidRPr="007902F5" w:rsidRDefault="00992C82" w:rsidP="00E06267">
            <w:r w:rsidRPr="007902F5">
              <w:t>WMO No.</w:t>
            </w:r>
            <w:r>
              <w:t xml:space="preserve"> 834</w:t>
            </w:r>
          </w:p>
        </w:tc>
        <w:tc>
          <w:tcPr>
            <w:tcW w:w="2282" w:type="dxa"/>
          </w:tcPr>
          <w:p w:rsidR="00992C82" w:rsidRPr="007902F5" w:rsidRDefault="00992C82" w:rsidP="00E06267">
            <w:r w:rsidRPr="007902F5">
              <w:t>Guide to Public Weather Services Practices</w:t>
            </w:r>
          </w:p>
        </w:tc>
        <w:tc>
          <w:tcPr>
            <w:tcW w:w="2135" w:type="dxa"/>
            <w:gridSpan w:val="2"/>
          </w:tcPr>
          <w:p w:rsidR="00992C82" w:rsidRPr="007902F5" w:rsidRDefault="00992C82" w:rsidP="00E06267"/>
        </w:tc>
        <w:tc>
          <w:tcPr>
            <w:tcW w:w="1625" w:type="dxa"/>
          </w:tcPr>
          <w:p w:rsidR="00992C82" w:rsidRPr="007902F5" w:rsidRDefault="00992C82" w:rsidP="00E06267">
            <w:r>
              <w:t>ICT-PWS</w:t>
            </w:r>
          </w:p>
        </w:tc>
        <w:tc>
          <w:tcPr>
            <w:tcW w:w="1586" w:type="dxa"/>
          </w:tcPr>
          <w:p w:rsidR="00992C82" w:rsidRDefault="00992C82" w:rsidP="00E06267"/>
        </w:tc>
      </w:tr>
    </w:tbl>
    <w:p w:rsidR="005D6FED" w:rsidRDefault="005D6FED" w:rsidP="005D6FED"/>
    <w:sectPr w:rsidR="005D6FED" w:rsidSect="0020095E">
      <w:headerReference w:type="default" r:id="rId8"/>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4A3" w:rsidRDefault="00D754A3">
      <w:r>
        <w:separator/>
      </w:r>
    </w:p>
    <w:p w:rsidR="00D754A3" w:rsidRDefault="00D754A3"/>
  </w:endnote>
  <w:endnote w:type="continuationSeparator" w:id="0">
    <w:p w:rsidR="00D754A3" w:rsidRDefault="00D754A3">
      <w:r>
        <w:continuationSeparator/>
      </w:r>
    </w:p>
    <w:p w:rsidR="00D754A3" w:rsidRDefault="00D754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4A3" w:rsidRDefault="00D754A3">
      <w:r>
        <w:separator/>
      </w:r>
    </w:p>
    <w:p w:rsidR="00D754A3" w:rsidRDefault="00D754A3"/>
  </w:footnote>
  <w:footnote w:type="continuationSeparator" w:id="0">
    <w:p w:rsidR="00D754A3" w:rsidRDefault="00D754A3">
      <w:r>
        <w:continuationSeparator/>
      </w:r>
    </w:p>
    <w:p w:rsidR="00D754A3" w:rsidRDefault="00D754A3"/>
  </w:footnote>
  <w:footnote w:id="1">
    <w:p w:rsidR="00D754A3" w:rsidRPr="00F80011" w:rsidRDefault="00D754A3" w:rsidP="0020095E">
      <w:pPr>
        <w:pStyle w:val="FootnoteText"/>
        <w:spacing w:before="120"/>
        <w:ind w:left="360" w:hanging="360"/>
        <w:rPr>
          <w:lang w:val="en-US"/>
        </w:rPr>
      </w:pPr>
      <w:r w:rsidRPr="00F80011">
        <w:rPr>
          <w:rStyle w:val="FootnoteReference"/>
        </w:rPr>
        <w:t>*</w:t>
      </w:r>
      <w:r w:rsidRPr="00F80011">
        <w:t xml:space="preserve"> </w:t>
      </w:r>
      <w:r w:rsidRPr="00F80011">
        <w:tab/>
      </w:r>
      <w:r w:rsidRPr="00F80011">
        <w:rPr>
          <w:sz w:val="18"/>
          <w:szCs w:val="18"/>
        </w:rPr>
        <w:t>In MS Word 200</w:t>
      </w:r>
      <w:r>
        <w:rPr>
          <w:sz w:val="18"/>
          <w:szCs w:val="18"/>
        </w:rPr>
        <w:t>7</w:t>
      </w:r>
      <w:r w:rsidRPr="00F80011">
        <w:rPr>
          <w:sz w:val="18"/>
          <w:szCs w:val="18"/>
        </w:rPr>
        <w:t xml:space="preserve"> or 200</w:t>
      </w:r>
      <w:r>
        <w:rPr>
          <w:sz w:val="18"/>
          <w:szCs w:val="18"/>
        </w:rPr>
        <w:t>3</w:t>
      </w:r>
      <w:r w:rsidRPr="00F80011">
        <w:rPr>
          <w:sz w:val="18"/>
          <w:szCs w:val="18"/>
        </w:rPr>
        <w:t>, go to “View” &gt; “Document Map”.</w:t>
      </w:r>
      <w:r>
        <w:rPr>
          <w:sz w:val="18"/>
          <w:szCs w:val="18"/>
        </w:rPr>
        <w:t xml:space="preserve">  </w:t>
      </w:r>
      <w:r w:rsidRPr="00F80011">
        <w:rPr>
          <w:sz w:val="18"/>
          <w:szCs w:val="18"/>
        </w:rPr>
        <w:t>In MS Word 2010, go to “View” &gt; “Navigation Pane</w:t>
      </w:r>
      <w:r>
        <w:rPr>
          <w:sz w:val="18"/>
          <w:szCs w:val="18"/>
        </w:rPr>
        <w:t xml:space="preserve">”. </w:t>
      </w:r>
      <w:r>
        <w:rPr>
          <w:sz w:val="18"/>
          <w:szCs w:val="18"/>
          <w:lang w:val="en-US"/>
        </w:rPr>
        <w:t xml:space="preserve"> </w:t>
      </w:r>
      <w:r>
        <w:rPr>
          <w:sz w:val="18"/>
          <w:szCs w:val="18"/>
          <w:lang w:val="en-US"/>
        </w:rPr>
        <w:br/>
        <w:t>In MS Word on</w:t>
      </w:r>
      <w:r w:rsidRPr="00F80011">
        <w:rPr>
          <w:sz w:val="18"/>
          <w:szCs w:val="18"/>
        </w:rPr>
        <w:t xml:space="preserve"> a Mac, go to “View” &gt; “Navigation </w:t>
      </w:r>
      <w:r w:rsidRPr="00E60546">
        <w:rPr>
          <w:sz w:val="18"/>
          <w:szCs w:val="18"/>
        </w:rPr>
        <w:t>Pane</w:t>
      </w:r>
      <w:r w:rsidRPr="00F80011">
        <w:rPr>
          <w:sz w:val="18"/>
          <w:szCs w:val="18"/>
        </w:rPr>
        <w:t>”, select “Document Map” in the drop-down list on the left.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4A3" w:rsidRPr="00CB43A7" w:rsidRDefault="00D754A3" w:rsidP="001C5462">
    <w:pPr>
      <w:pStyle w:val="Header"/>
      <w:tabs>
        <w:tab w:val="clear" w:pos="1134"/>
        <w:tab w:val="clear" w:pos="4153"/>
        <w:tab w:val="clear" w:pos="8306"/>
      </w:tabs>
      <w:spacing w:after="360"/>
      <w:rPr>
        <w:lang w:val="en-US"/>
      </w:rPr>
    </w:pPr>
    <w:r>
      <w:rPr>
        <w:lang w:val="de-DE"/>
      </w:rPr>
      <w:t>CBS-MG-16/Doc. D22</w:t>
    </w:r>
    <w:r w:rsidRPr="00AC0FD2">
      <w:rPr>
        <w:lang w:val="de-DE"/>
      </w:rPr>
      <w:t xml:space="preserve">, </w:t>
    </w:r>
    <w:r>
      <w:rPr>
        <w:lang w:val="de-DE"/>
      </w:rPr>
      <w:t>DRAFT 1</w:t>
    </w:r>
    <w:r w:rsidRPr="00AC0FD2">
      <w:rPr>
        <w:lang w:val="de-DE"/>
      </w:rPr>
      <w:t xml:space="preserve">, p. </w:t>
    </w:r>
    <w:r>
      <w:rPr>
        <w:rStyle w:val="PageNumber"/>
      </w:rPr>
      <w:fldChar w:fldCharType="begin"/>
    </w:r>
    <w:r w:rsidRPr="00AC0FD2">
      <w:rPr>
        <w:rStyle w:val="PageNumber"/>
        <w:lang w:val="de-DE"/>
      </w:rPr>
      <w:instrText xml:space="preserve"> PAGE </w:instrText>
    </w:r>
    <w:r>
      <w:rPr>
        <w:rStyle w:val="PageNumber"/>
      </w:rPr>
      <w:fldChar w:fldCharType="separate"/>
    </w:r>
    <w:r w:rsidR="006E7055">
      <w:rPr>
        <w:rStyle w:val="PageNumber"/>
        <w:noProof/>
        <w:lang w:val="de-DE"/>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6">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8">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2">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4">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6">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3">
    <w:nsid w:val="7DB31E2E"/>
    <w:multiLevelType w:val="multilevel"/>
    <w:tmpl w:val="0409001F"/>
    <w:numStyleLink w:val="111111"/>
  </w:abstractNum>
  <w:abstractNum w:abstractNumId="44">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44"/>
  </w:num>
  <w:num w:numId="3">
    <w:abstractNumId w:val="28"/>
  </w:num>
  <w:num w:numId="4">
    <w:abstractNumId w:val="36"/>
  </w:num>
  <w:num w:numId="5">
    <w:abstractNumId w:val="18"/>
  </w:num>
  <w:num w:numId="6">
    <w:abstractNumId w:val="23"/>
  </w:num>
  <w:num w:numId="7">
    <w:abstractNumId w:val="19"/>
  </w:num>
  <w:num w:numId="8">
    <w:abstractNumId w:val="30"/>
  </w:num>
  <w:num w:numId="9">
    <w:abstractNumId w:val="22"/>
  </w:num>
  <w:num w:numId="10">
    <w:abstractNumId w:val="21"/>
  </w:num>
  <w:num w:numId="11">
    <w:abstractNumId w:val="35"/>
  </w:num>
  <w:num w:numId="12">
    <w:abstractNumId w:val="11"/>
  </w:num>
  <w:num w:numId="13">
    <w:abstractNumId w:val="26"/>
  </w:num>
  <w:num w:numId="14">
    <w:abstractNumId w:val="39"/>
  </w:num>
  <w:num w:numId="15">
    <w:abstractNumId w:val="20"/>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0"/>
  </w:num>
  <w:num w:numId="27">
    <w:abstractNumId w:val="31"/>
  </w:num>
  <w:num w:numId="28">
    <w:abstractNumId w:val="24"/>
  </w:num>
  <w:num w:numId="29">
    <w:abstractNumId w:val="32"/>
  </w:num>
  <w:num w:numId="30">
    <w:abstractNumId w:val="33"/>
  </w:num>
  <w:num w:numId="31">
    <w:abstractNumId w:val="14"/>
  </w:num>
  <w:num w:numId="32">
    <w:abstractNumId w:val="38"/>
  </w:num>
  <w:num w:numId="33">
    <w:abstractNumId w:val="37"/>
  </w:num>
  <w:num w:numId="34">
    <w:abstractNumId w:val="25"/>
  </w:num>
  <w:num w:numId="35">
    <w:abstractNumId w:val="27"/>
  </w:num>
  <w:num w:numId="36">
    <w:abstractNumId w:val="41"/>
  </w:num>
  <w:num w:numId="37">
    <w:abstractNumId w:val="34"/>
  </w:num>
  <w:num w:numId="38">
    <w:abstractNumId w:val="12"/>
  </w:num>
  <w:num w:numId="39">
    <w:abstractNumId w:val="13"/>
  </w:num>
  <w:num w:numId="40">
    <w:abstractNumId w:val="16"/>
  </w:num>
  <w:num w:numId="41">
    <w:abstractNumId w:val="10"/>
  </w:num>
  <w:num w:numId="42">
    <w:abstractNumId w:val="43"/>
  </w:num>
  <w:num w:numId="43">
    <w:abstractNumId w:val="17"/>
  </w:num>
  <w:num w:numId="44">
    <w:abstractNumId w:val="42"/>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1FE"/>
    <w:rsid w:val="000573AD"/>
    <w:rsid w:val="000806D8"/>
    <w:rsid w:val="00083847"/>
    <w:rsid w:val="00083C36"/>
    <w:rsid w:val="000A69BF"/>
    <w:rsid w:val="000F7A87"/>
    <w:rsid w:val="00111034"/>
    <w:rsid w:val="00111BFD"/>
    <w:rsid w:val="00123140"/>
    <w:rsid w:val="00180771"/>
    <w:rsid w:val="001C5462"/>
    <w:rsid w:val="001D6302"/>
    <w:rsid w:val="001F533C"/>
    <w:rsid w:val="0020095E"/>
    <w:rsid w:val="00295593"/>
    <w:rsid w:val="002E3FAD"/>
    <w:rsid w:val="0032424A"/>
    <w:rsid w:val="00394A05"/>
    <w:rsid w:val="00397880"/>
    <w:rsid w:val="003F7B3F"/>
    <w:rsid w:val="0041078D"/>
    <w:rsid w:val="004A140B"/>
    <w:rsid w:val="004B7BAA"/>
    <w:rsid w:val="004C2DF7"/>
    <w:rsid w:val="004C4E0B"/>
    <w:rsid w:val="004F6B46"/>
    <w:rsid w:val="00546D8E"/>
    <w:rsid w:val="00571AE1"/>
    <w:rsid w:val="005D6FED"/>
    <w:rsid w:val="00615AB0"/>
    <w:rsid w:val="006508EA"/>
    <w:rsid w:val="006A492A"/>
    <w:rsid w:val="006B21FE"/>
    <w:rsid w:val="006E7055"/>
    <w:rsid w:val="00716951"/>
    <w:rsid w:val="00771A68"/>
    <w:rsid w:val="007E7D21"/>
    <w:rsid w:val="007F482F"/>
    <w:rsid w:val="00807CC5"/>
    <w:rsid w:val="00831751"/>
    <w:rsid w:val="0083441B"/>
    <w:rsid w:val="00835B42"/>
    <w:rsid w:val="00847D99"/>
    <w:rsid w:val="0086271D"/>
    <w:rsid w:val="00875465"/>
    <w:rsid w:val="008B7FC7"/>
    <w:rsid w:val="008E1E4A"/>
    <w:rsid w:val="008F0615"/>
    <w:rsid w:val="008F1FDB"/>
    <w:rsid w:val="00975D76"/>
    <w:rsid w:val="00982E51"/>
    <w:rsid w:val="00992C82"/>
    <w:rsid w:val="009C4C04"/>
    <w:rsid w:val="009F7566"/>
    <w:rsid w:val="00A06BFE"/>
    <w:rsid w:val="00A35DDF"/>
    <w:rsid w:val="00A60FE6"/>
    <w:rsid w:val="00A95415"/>
    <w:rsid w:val="00AF638A"/>
    <w:rsid w:val="00B009AA"/>
    <w:rsid w:val="00B030C8"/>
    <w:rsid w:val="00B056E7"/>
    <w:rsid w:val="00B10035"/>
    <w:rsid w:val="00B165E6"/>
    <w:rsid w:val="00B548A2"/>
    <w:rsid w:val="00BF45FD"/>
    <w:rsid w:val="00C13EEC"/>
    <w:rsid w:val="00C42C95"/>
    <w:rsid w:val="00C47E45"/>
    <w:rsid w:val="00C720A4"/>
    <w:rsid w:val="00C7611C"/>
    <w:rsid w:val="00CA7330"/>
    <w:rsid w:val="00D02DB1"/>
    <w:rsid w:val="00D05E6F"/>
    <w:rsid w:val="00D44BAD"/>
    <w:rsid w:val="00D7097B"/>
    <w:rsid w:val="00D754A3"/>
    <w:rsid w:val="00DB1AB2"/>
    <w:rsid w:val="00E00498"/>
    <w:rsid w:val="00E2617A"/>
    <w:rsid w:val="00E538E6"/>
    <w:rsid w:val="00E802A2"/>
    <w:rsid w:val="00ED67AF"/>
    <w:rsid w:val="00EE128C"/>
    <w:rsid w:val="00EF66D9"/>
    <w:rsid w:val="00EF780D"/>
    <w:rsid w:val="00F0267E"/>
    <w:rsid w:val="00F474C9"/>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BF45FD"/>
    <w:pPr>
      <w:tabs>
        <w:tab w:val="left" w:pos="1134"/>
      </w:tabs>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Normal"/>
    <w:rsid w:val="00C13EEC"/>
    <w:pPr>
      <w:spacing w:before="280"/>
      <w:ind w:left="0" w:firstLine="0"/>
    </w:pPr>
  </w:style>
  <w:style w:type="paragraph" w:customStyle="1" w:styleId="Comment">
    <w:name w:val="Comment"/>
    <w:basedOn w:val="Normal"/>
    <w:next w:val="Normal"/>
    <w:rsid w:val="00ED771C"/>
    <w:pPr>
      <w:spacing w:before="240"/>
    </w:pPr>
    <w:rPr>
      <w:i/>
      <w:szCs w:val="22"/>
    </w:rPr>
  </w:style>
  <w:style w:type="paragraph" w:customStyle="1" w:styleId="CharCharCharChar">
    <w:name w:val="Char Char Char Char"/>
    <w:basedOn w:val="Normal"/>
    <w:rsid w:val="00480313"/>
    <w:rPr>
      <w:rFonts w:ascii="Times New Roman" w:hAnsi="Times New Roman"/>
      <w:sz w:val="24"/>
      <w:szCs w:val="24"/>
      <w:lang w:val="pl-PL" w:eastAsia="pl-PL"/>
    </w:rPr>
  </w:style>
  <w:style w:type="paragraph" w:customStyle="1" w:styleId="CharChar">
    <w:name w:val="Знак Знак Char Char"/>
    <w:basedOn w:val="Normal"/>
    <w:rsid w:val="000B5E64"/>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qFormat/>
    <w:rsid w:val="0083441B"/>
    <w:pPr>
      <w:tabs>
        <w:tab w:val="clear" w:pos="1134"/>
      </w:tabs>
      <w:spacing w:before="240"/>
    </w:pPr>
    <w:rPr>
      <w:rFonts w:eastAsiaTheme="minorHAnsi" w:cs="Times New Roman"/>
      <w:szCs w:val="24"/>
    </w:rPr>
  </w:style>
  <w:style w:type="paragraph" w:customStyle="1" w:styleId="WMOList1">
    <w:name w:val="WMO_List1"/>
    <w:basedOn w:val="Normal"/>
    <w:rsid w:val="00C13EEC"/>
    <w:pPr>
      <w:spacing w:before="240"/>
      <w:ind w:left="1134" w:hanging="1134"/>
    </w:pPr>
    <w:rPr>
      <w:szCs w:val="22"/>
      <w:lang w:eastAsia="zh-TW"/>
    </w:rPr>
  </w:style>
  <w:style w:type="paragraph" w:customStyle="1" w:styleId="WMOList2">
    <w:name w:val="WMO_List2"/>
    <w:basedOn w:val="Normal"/>
    <w:rsid w:val="00C13EEC"/>
    <w:pPr>
      <w:tabs>
        <w:tab w:val="left" w:pos="1701"/>
      </w:tabs>
      <w:spacing w:before="240"/>
      <w:ind w:left="1701" w:hanging="567"/>
    </w:pPr>
    <w:rPr>
      <w:szCs w:val="22"/>
      <w:lang w:eastAsia="zh-TW"/>
    </w:rPr>
  </w:style>
  <w:style w:type="paragraph" w:customStyle="1" w:styleId="WMOSubTitle2">
    <w:name w:val="WMO_SubTitle2"/>
    <w:basedOn w:val="Heading5"/>
    <w:next w:val="Normal"/>
    <w:rsid w:val="00831751"/>
    <w:pPr>
      <w:keepNext/>
      <w:keepLines/>
      <w:tabs>
        <w:tab w:val="clear" w:pos="1080"/>
      </w:tabs>
      <w:spacing w:before="280"/>
      <w:ind w:left="0" w:firstLine="0"/>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Normal"/>
    <w:next w:val="WMOBodyText"/>
    <w:rsid w:val="0083441B"/>
    <w:pPr>
      <w:spacing w:before="240"/>
      <w:jc w:val="center"/>
    </w:pPr>
    <w:rPr>
      <w:szCs w:val="22"/>
      <w:lang w:eastAsia="zh-TW"/>
    </w:rPr>
  </w:style>
  <w:style w:type="paragraph" w:styleId="FootnoteText">
    <w:name w:val="footnote text"/>
    <w:basedOn w:val="Normal"/>
    <w:semiHidden/>
    <w:rsid w:val="00FC3538"/>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Normal"/>
    <w:next w:val="WMOBodyText"/>
    <w:rsid w:val="0083441B"/>
    <w:pPr>
      <w:pBdr>
        <w:top w:val="single" w:sz="4" w:space="12" w:color="auto"/>
        <w:left w:val="single" w:sz="4" w:space="5" w:color="auto"/>
        <w:bottom w:val="single" w:sz="4" w:space="12" w:color="auto"/>
        <w:right w:val="single" w:sz="4" w:space="5" w:color="auto"/>
      </w:pBdr>
      <w:spacing w:before="240"/>
    </w:pPr>
    <w:rPr>
      <w:szCs w:val="22"/>
      <w:lang w:eastAsia="zh-TW"/>
    </w:r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Addedtext">
    <w:name w:val="_Added text"/>
    <w:rsid w:val="005D6FED"/>
    <w:rPr>
      <w:color w:val="008000"/>
      <w:u w:val="dash"/>
    </w:rPr>
  </w:style>
  <w:style w:type="numbering" w:styleId="111111">
    <w:name w:val="Outline List 2"/>
    <w:basedOn w:val="NoList"/>
    <w:rsid w:val="005D6FED"/>
    <w:pPr>
      <w:numPr>
        <w:numId w:val="44"/>
      </w:numPr>
    </w:pPr>
  </w:style>
  <w:style w:type="paragraph" w:customStyle="1" w:styleId="BodyTextNumbered">
    <w:name w:val="_Body Text Numbered"/>
    <w:basedOn w:val="Normal"/>
    <w:rsid w:val="005D6FED"/>
    <w:pPr>
      <w:numPr>
        <w:numId w:val="44"/>
      </w:numPr>
      <w:tabs>
        <w:tab w:val="clear" w:pos="1134"/>
        <w:tab w:val="left" w:pos="1140"/>
        <w:tab w:val="center" w:pos="4513"/>
      </w:tabs>
      <w:suppressAutoHyphens/>
      <w:spacing w:after="120"/>
    </w:pPr>
    <w:rPr>
      <w:rFonts w:eastAsia="SimSun"/>
      <w:bCs/>
      <w:szCs w:val="24"/>
      <w:lang w:eastAsia="zh-CN"/>
    </w:rPr>
  </w:style>
  <w:style w:type="paragraph" w:customStyle="1" w:styleId="Decision">
    <w:name w:val="_Decision"/>
    <w:basedOn w:val="Normal"/>
    <w:next w:val="BodyTextNumbered"/>
    <w:rsid w:val="00C47E45"/>
    <w:pPr>
      <w:numPr>
        <w:numId w:val="43"/>
      </w:numPr>
      <w:tabs>
        <w:tab w:val="clear" w:pos="1134"/>
        <w:tab w:val="left" w:pos="680"/>
        <w:tab w:val="left" w:pos="1140"/>
        <w:tab w:val="left" w:pos="2041"/>
        <w:tab w:val="left" w:pos="2722"/>
        <w:tab w:val="left" w:pos="3402"/>
        <w:tab w:val="center" w:pos="4513"/>
      </w:tabs>
      <w:suppressAutoHyphens/>
      <w:spacing w:after="120"/>
    </w:pPr>
    <w:rPr>
      <w:rFonts w:eastAsia="MS Mincho" w:cs="Times New Roman"/>
      <w:bCs/>
      <w:szCs w:val="22"/>
      <w:lang w:eastAsia="ja-JP"/>
    </w:rPr>
  </w:style>
  <w:style w:type="character" w:customStyle="1" w:styleId="Deletedtext">
    <w:name w:val="_Deleted text"/>
    <w:rsid w:val="005D6FED"/>
    <w:rPr>
      <w:strike/>
      <w:dstrike w:val="0"/>
      <w:color w:val="FF0000"/>
    </w:rPr>
  </w:style>
  <w:style w:type="table" w:customStyle="1" w:styleId="TableGrid1">
    <w:name w:val="Table Grid1"/>
    <w:basedOn w:val="TableNormal"/>
    <w:next w:val="TableGrid"/>
    <w:rsid w:val="005D6FED"/>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tion">
    <w:name w:val="_Action"/>
    <w:basedOn w:val="BodyText"/>
    <w:next w:val="BodyTextNumbered"/>
    <w:rsid w:val="00992C82"/>
    <w:pPr>
      <w:numPr>
        <w:numId w:val="45"/>
      </w:numPr>
      <w:tabs>
        <w:tab w:val="clear" w:pos="1134"/>
        <w:tab w:val="left" w:pos="680"/>
        <w:tab w:val="left" w:pos="2041"/>
        <w:tab w:val="left" w:pos="2722"/>
        <w:tab w:val="left" w:pos="3402"/>
      </w:tabs>
      <w:spacing w:after="120"/>
    </w:pPr>
    <w:rPr>
      <w:rFonts w:eastAsia="MS Mincho" w:cs="Times New Roman"/>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BF45FD"/>
    <w:pPr>
      <w:tabs>
        <w:tab w:val="left" w:pos="1134"/>
      </w:tabs>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Normal"/>
    <w:rsid w:val="00C13EEC"/>
    <w:pPr>
      <w:spacing w:before="280"/>
      <w:ind w:left="0" w:firstLine="0"/>
    </w:pPr>
  </w:style>
  <w:style w:type="paragraph" w:customStyle="1" w:styleId="Comment">
    <w:name w:val="Comment"/>
    <w:basedOn w:val="Normal"/>
    <w:next w:val="Normal"/>
    <w:rsid w:val="00ED771C"/>
    <w:pPr>
      <w:spacing w:before="240"/>
    </w:pPr>
    <w:rPr>
      <w:i/>
      <w:szCs w:val="22"/>
    </w:rPr>
  </w:style>
  <w:style w:type="paragraph" w:customStyle="1" w:styleId="CharCharCharChar">
    <w:name w:val="Char Char Char Char"/>
    <w:basedOn w:val="Normal"/>
    <w:rsid w:val="00480313"/>
    <w:rPr>
      <w:rFonts w:ascii="Times New Roman" w:hAnsi="Times New Roman"/>
      <w:sz w:val="24"/>
      <w:szCs w:val="24"/>
      <w:lang w:val="pl-PL" w:eastAsia="pl-PL"/>
    </w:rPr>
  </w:style>
  <w:style w:type="paragraph" w:customStyle="1" w:styleId="CharChar">
    <w:name w:val="Знак Знак Char Char"/>
    <w:basedOn w:val="Normal"/>
    <w:rsid w:val="000B5E64"/>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qFormat/>
    <w:rsid w:val="0083441B"/>
    <w:pPr>
      <w:tabs>
        <w:tab w:val="clear" w:pos="1134"/>
      </w:tabs>
      <w:spacing w:before="240"/>
    </w:pPr>
    <w:rPr>
      <w:rFonts w:eastAsiaTheme="minorHAnsi" w:cs="Times New Roman"/>
      <w:szCs w:val="24"/>
    </w:rPr>
  </w:style>
  <w:style w:type="paragraph" w:customStyle="1" w:styleId="WMOList1">
    <w:name w:val="WMO_List1"/>
    <w:basedOn w:val="Normal"/>
    <w:rsid w:val="00C13EEC"/>
    <w:pPr>
      <w:spacing w:before="240"/>
      <w:ind w:left="1134" w:hanging="1134"/>
    </w:pPr>
    <w:rPr>
      <w:szCs w:val="22"/>
      <w:lang w:eastAsia="zh-TW"/>
    </w:rPr>
  </w:style>
  <w:style w:type="paragraph" w:customStyle="1" w:styleId="WMOList2">
    <w:name w:val="WMO_List2"/>
    <w:basedOn w:val="Normal"/>
    <w:rsid w:val="00C13EEC"/>
    <w:pPr>
      <w:tabs>
        <w:tab w:val="left" w:pos="1701"/>
      </w:tabs>
      <w:spacing w:before="240"/>
      <w:ind w:left="1701" w:hanging="567"/>
    </w:pPr>
    <w:rPr>
      <w:szCs w:val="22"/>
      <w:lang w:eastAsia="zh-TW"/>
    </w:rPr>
  </w:style>
  <w:style w:type="paragraph" w:customStyle="1" w:styleId="WMOSubTitle2">
    <w:name w:val="WMO_SubTitle2"/>
    <w:basedOn w:val="Heading5"/>
    <w:next w:val="Normal"/>
    <w:rsid w:val="00831751"/>
    <w:pPr>
      <w:keepNext/>
      <w:keepLines/>
      <w:tabs>
        <w:tab w:val="clear" w:pos="1080"/>
      </w:tabs>
      <w:spacing w:before="280"/>
      <w:ind w:left="0" w:firstLine="0"/>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Normal"/>
    <w:next w:val="WMOBodyText"/>
    <w:rsid w:val="0083441B"/>
    <w:pPr>
      <w:spacing w:before="240"/>
      <w:jc w:val="center"/>
    </w:pPr>
    <w:rPr>
      <w:szCs w:val="22"/>
      <w:lang w:eastAsia="zh-TW"/>
    </w:rPr>
  </w:style>
  <w:style w:type="paragraph" w:styleId="FootnoteText">
    <w:name w:val="footnote text"/>
    <w:basedOn w:val="Normal"/>
    <w:semiHidden/>
    <w:rsid w:val="00FC3538"/>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Normal"/>
    <w:next w:val="WMOBodyText"/>
    <w:rsid w:val="0083441B"/>
    <w:pPr>
      <w:pBdr>
        <w:top w:val="single" w:sz="4" w:space="12" w:color="auto"/>
        <w:left w:val="single" w:sz="4" w:space="5" w:color="auto"/>
        <w:bottom w:val="single" w:sz="4" w:space="12" w:color="auto"/>
        <w:right w:val="single" w:sz="4" w:space="5" w:color="auto"/>
      </w:pBdr>
      <w:spacing w:before="240"/>
    </w:pPr>
    <w:rPr>
      <w:szCs w:val="22"/>
      <w:lang w:eastAsia="zh-TW"/>
    </w:r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Addedtext">
    <w:name w:val="_Added text"/>
    <w:rsid w:val="005D6FED"/>
    <w:rPr>
      <w:color w:val="008000"/>
      <w:u w:val="dash"/>
    </w:rPr>
  </w:style>
  <w:style w:type="numbering" w:styleId="111111">
    <w:name w:val="Outline List 2"/>
    <w:basedOn w:val="NoList"/>
    <w:rsid w:val="005D6FED"/>
    <w:pPr>
      <w:numPr>
        <w:numId w:val="44"/>
      </w:numPr>
    </w:pPr>
  </w:style>
  <w:style w:type="paragraph" w:customStyle="1" w:styleId="BodyTextNumbered">
    <w:name w:val="_Body Text Numbered"/>
    <w:basedOn w:val="Normal"/>
    <w:rsid w:val="005D6FED"/>
    <w:pPr>
      <w:numPr>
        <w:numId w:val="44"/>
      </w:numPr>
      <w:tabs>
        <w:tab w:val="clear" w:pos="1134"/>
        <w:tab w:val="left" w:pos="1140"/>
        <w:tab w:val="center" w:pos="4513"/>
      </w:tabs>
      <w:suppressAutoHyphens/>
      <w:spacing w:after="120"/>
    </w:pPr>
    <w:rPr>
      <w:rFonts w:eastAsia="SimSun"/>
      <w:bCs/>
      <w:szCs w:val="24"/>
      <w:lang w:eastAsia="zh-CN"/>
    </w:rPr>
  </w:style>
  <w:style w:type="paragraph" w:customStyle="1" w:styleId="Decision">
    <w:name w:val="_Decision"/>
    <w:basedOn w:val="Normal"/>
    <w:next w:val="BodyTextNumbered"/>
    <w:rsid w:val="00C47E45"/>
    <w:pPr>
      <w:numPr>
        <w:numId w:val="43"/>
      </w:numPr>
      <w:tabs>
        <w:tab w:val="clear" w:pos="1134"/>
        <w:tab w:val="left" w:pos="680"/>
        <w:tab w:val="left" w:pos="1140"/>
        <w:tab w:val="left" w:pos="2041"/>
        <w:tab w:val="left" w:pos="2722"/>
        <w:tab w:val="left" w:pos="3402"/>
        <w:tab w:val="center" w:pos="4513"/>
      </w:tabs>
      <w:suppressAutoHyphens/>
      <w:spacing w:after="120"/>
    </w:pPr>
    <w:rPr>
      <w:rFonts w:eastAsia="MS Mincho" w:cs="Times New Roman"/>
      <w:bCs/>
      <w:szCs w:val="22"/>
      <w:lang w:eastAsia="ja-JP"/>
    </w:rPr>
  </w:style>
  <w:style w:type="character" w:customStyle="1" w:styleId="Deletedtext">
    <w:name w:val="_Deleted text"/>
    <w:rsid w:val="005D6FED"/>
    <w:rPr>
      <w:strike/>
      <w:dstrike w:val="0"/>
      <w:color w:val="FF0000"/>
    </w:rPr>
  </w:style>
  <w:style w:type="table" w:customStyle="1" w:styleId="TableGrid1">
    <w:name w:val="Table Grid1"/>
    <w:basedOn w:val="TableNormal"/>
    <w:next w:val="TableGrid"/>
    <w:rsid w:val="005D6FED"/>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tion">
    <w:name w:val="_Action"/>
    <w:basedOn w:val="BodyText"/>
    <w:next w:val="BodyTextNumbered"/>
    <w:rsid w:val="00992C82"/>
    <w:pPr>
      <w:numPr>
        <w:numId w:val="45"/>
      </w:numPr>
      <w:tabs>
        <w:tab w:val="clear" w:pos="1134"/>
        <w:tab w:val="left" w:pos="680"/>
        <w:tab w:val="left" w:pos="2041"/>
        <w:tab w:val="left" w:pos="2722"/>
        <w:tab w:val="left" w:pos="3402"/>
      </w:tabs>
      <w:spacing w:after="120"/>
    </w:pPr>
    <w:rPr>
      <w:rFonts w:eastAsia="MS Mincho" w:cs="Times New Roman"/>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WMO-Session-Template_en.dotx</Template>
  <TotalTime>85</TotalTime>
  <Pages>5</Pages>
  <Words>955</Words>
  <Characters>5446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6389</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Steve Foreman</cp:lastModifiedBy>
  <cp:revision>9</cp:revision>
  <cp:lastPrinted>2016-01-28T13:15:00Z</cp:lastPrinted>
  <dcterms:created xsi:type="dcterms:W3CDTF">2016-01-28T12:53:00Z</dcterms:created>
  <dcterms:modified xsi:type="dcterms:W3CDTF">2016-01-29T12:01:00Z</dcterms:modified>
</cp:coreProperties>
</file>