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384BDA">
            <w:pPr>
              <w:jc w:val="right"/>
              <w:rPr>
                <w:b/>
                <w:bCs/>
                <w:szCs w:val="22"/>
              </w:rPr>
            </w:pPr>
            <w:r w:rsidRPr="006B21FE">
              <w:rPr>
                <w:b/>
                <w:bCs/>
              </w:rPr>
              <w:t>CBS-MG-16</w:t>
            </w:r>
            <w:r w:rsidR="00083C36" w:rsidRPr="006B21FE">
              <w:rPr>
                <w:b/>
                <w:bCs/>
              </w:rPr>
              <w:t>/</w:t>
            </w:r>
            <w:r w:rsidR="0020095E" w:rsidRPr="006B21FE">
              <w:rPr>
                <w:b/>
                <w:bCs/>
              </w:rPr>
              <w:t xml:space="preserve">Doc. </w:t>
            </w:r>
            <w:r w:rsidR="00384BDA">
              <w:rPr>
                <w:b/>
                <w:bCs/>
              </w:rPr>
              <w:t>5</w:t>
            </w:r>
            <w:r w:rsidR="0020095E" w:rsidRPr="006B21FE">
              <w:rPr>
                <w:b/>
                <w:bCs/>
              </w:rPr>
              <w:t>.</w:t>
            </w:r>
            <w:r w:rsidR="00384BDA">
              <w:rPr>
                <w:b/>
                <w:bCs/>
              </w:rPr>
              <w:t>5</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20095E" w:rsidP="00EE128C">
            <w:pPr>
              <w:spacing w:before="60"/>
              <w:jc w:val="right"/>
              <w:rPr>
                <w:szCs w:val="22"/>
              </w:rPr>
            </w:pPr>
            <w:r w:rsidRPr="000573AD">
              <w:rPr>
                <w:szCs w:val="22"/>
              </w:rPr>
              <w:t>...</w:t>
            </w:r>
            <w:r w:rsidR="00EE128C">
              <w:rPr>
                <w:szCs w:val="22"/>
              </w:rPr>
              <w:t>X</w:t>
            </w:r>
            <w:r w:rsidRPr="000573AD">
              <w:rPr>
                <w:szCs w:val="22"/>
              </w:rPr>
              <w:t>.201</w:t>
            </w:r>
            <w:r w:rsidR="00180771">
              <w:rPr>
                <w:szCs w:val="22"/>
              </w:rPr>
              <w:t>5</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Pr="000573AD" w:rsidRDefault="0020095E" w:rsidP="00C13EEC">
      <w:pPr>
        <w:pStyle w:val="Heading2"/>
        <w:tabs>
          <w:tab w:val="clear" w:pos="1134"/>
        </w:tabs>
        <w:ind w:left="0" w:firstLine="0"/>
        <w:jc w:val="center"/>
      </w:pPr>
      <w:r w:rsidRPr="000573AD">
        <w:t xml:space="preserve">Agenda Item </w:t>
      </w:r>
      <w:r w:rsidR="00384BDA">
        <w:t>5</w:t>
      </w:r>
      <w:r w:rsidRPr="000573AD">
        <w:t xml:space="preserve">: </w:t>
      </w:r>
      <w:r w:rsidR="00384BDA">
        <w:rPr>
          <w:noProof/>
        </w:rPr>
        <w:t>Strengthening CBS Contributions to WMO Strategic Priorities</w:t>
      </w:r>
    </w:p>
    <w:p w:rsidR="0020095E" w:rsidRDefault="0020095E" w:rsidP="00C13EEC">
      <w:pPr>
        <w:pStyle w:val="Heading2"/>
        <w:tabs>
          <w:tab w:val="clear" w:pos="1134"/>
        </w:tabs>
        <w:ind w:left="0" w:firstLine="0"/>
        <w:jc w:val="center"/>
        <w:rPr>
          <w:noProof/>
        </w:rPr>
      </w:pPr>
      <w:r w:rsidRPr="000573AD">
        <w:t xml:space="preserve">Agenda Item </w:t>
      </w:r>
      <w:r w:rsidR="00384BDA">
        <w:t>5.5</w:t>
      </w:r>
      <w:r w:rsidRPr="000573AD">
        <w:t xml:space="preserve">: </w:t>
      </w:r>
      <w:r w:rsidR="00384BDA">
        <w:rPr>
          <w:noProof/>
        </w:rPr>
        <w:t>Polar and High Mountain regions</w:t>
      </w:r>
    </w:p>
    <w:p w:rsidR="0020095E" w:rsidRPr="000573AD" w:rsidRDefault="00384BDA" w:rsidP="00982E51">
      <w:pPr>
        <w:pStyle w:val="Heading1"/>
        <w:spacing w:before="480"/>
      </w:pPr>
      <w:r>
        <w:rPr>
          <w:noProof/>
        </w:rPr>
        <w:t>Polar and High Mountain Regions</w:t>
      </w:r>
    </w:p>
    <w:p w:rsidR="00180771" w:rsidRPr="00624768" w:rsidRDefault="00180771" w:rsidP="00982E51">
      <w:pPr>
        <w:pStyle w:val="Heading1"/>
        <w:spacing w:before="480"/>
      </w:pPr>
      <w:r w:rsidRPr="00624768">
        <w:t>SUMMARY</w:t>
      </w:r>
    </w:p>
    <w:p w:rsidR="00180771" w:rsidRPr="00AF2D08" w:rsidRDefault="006B21FE" w:rsidP="00180771">
      <w:pPr>
        <w:pStyle w:val="WMOBodyText"/>
        <w:jc w:val="center"/>
        <w:rPr>
          <w:b/>
          <w:bCs/>
          <w:color w:val="000000"/>
        </w:rPr>
      </w:pPr>
      <w:r>
        <w:rPr>
          <w:b/>
          <w:bCs/>
          <w:color w:val="000000"/>
          <w:shd w:val="clear" w:color="auto" w:fill="FFFFFF"/>
        </w:rPr>
        <w:t>Brief summary of the document</w:t>
      </w:r>
    </w:p>
    <w:p w:rsidR="00180771" w:rsidRPr="00624768" w:rsidRDefault="00180771" w:rsidP="00180771">
      <w:pPr>
        <w:pStyle w:val="Heading3"/>
      </w:pPr>
      <w:r w:rsidRPr="00624768">
        <w:t>DECISIONS/ACTIONS REQUIRED:</w:t>
      </w:r>
    </w:p>
    <w:p w:rsidR="0020095E" w:rsidRPr="000573AD" w:rsidRDefault="00384BDA" w:rsidP="00180771">
      <w:pPr>
        <w:pStyle w:val="WMOResList1"/>
      </w:pPr>
      <w:r>
        <w:t>(a)</w:t>
      </w:r>
      <w:r>
        <w:tab/>
        <w:t>Request the MG to consider reviewing GCW Regulatory Materials and Guidance materials for inclusion in the WIGOS Manual and Guide respectively</w:t>
      </w:r>
      <w:r w:rsidR="0020095E" w:rsidRPr="000573AD">
        <w:t>;</w:t>
      </w:r>
    </w:p>
    <w:p w:rsidR="0020095E" w:rsidRDefault="0020095E" w:rsidP="0020095E">
      <w:pPr>
        <w:pStyle w:val="WMOResList1"/>
      </w:pPr>
      <w:r w:rsidRPr="000573AD">
        <w:t>(b)</w:t>
      </w:r>
      <w:r w:rsidRPr="000573AD">
        <w:tab/>
      </w:r>
      <w:r w:rsidR="00384BDA">
        <w:t>Consider proposing experts for participating in the GCW working structure, in particular in the Integrated Products Working Group</w:t>
      </w:r>
      <w:r w:rsidRPr="000573AD">
        <w:t>;</w:t>
      </w:r>
    </w:p>
    <w:p w:rsidR="0020095E" w:rsidRDefault="0020095E" w:rsidP="0020095E">
      <w:pPr>
        <w:pStyle w:val="WMOResList1"/>
      </w:pPr>
      <w:r w:rsidRPr="00384BDA">
        <w:t>(c)</w:t>
      </w:r>
      <w:r w:rsidRPr="00384BDA">
        <w:tab/>
      </w:r>
      <w:r w:rsidR="00384BDA">
        <w:t>Request OPAG IOS to provide guidance and assistance to the GCW regarding provision of WIGOS metadata concerning GCW Sites to the OSCAR/Surface;</w:t>
      </w:r>
    </w:p>
    <w:p w:rsidR="00384BDA" w:rsidRDefault="00384BDA" w:rsidP="0020095E">
      <w:pPr>
        <w:pStyle w:val="WMOResList1"/>
      </w:pPr>
      <w:r>
        <w:t xml:space="preserve">(d) </w:t>
      </w:r>
      <w:r>
        <w:tab/>
        <w:t xml:space="preserve">Request OPAG-ISS to assist with regard to the transition to table driven codes concerning the real-time distribution of </w:t>
      </w:r>
      <w:proofErr w:type="spellStart"/>
      <w:r>
        <w:t>AntON</w:t>
      </w:r>
      <w:proofErr w:type="spellEnd"/>
      <w:r>
        <w:t xml:space="preserve"> data;</w:t>
      </w:r>
    </w:p>
    <w:p w:rsidR="00384BDA" w:rsidRDefault="00384BDA" w:rsidP="0020095E">
      <w:pPr>
        <w:pStyle w:val="WMOResList1"/>
      </w:pPr>
      <w:r>
        <w:t>(e)</w:t>
      </w:r>
      <w:r>
        <w:tab/>
        <w:t>Propose a mechanism for CBS contribution to the rev</w:t>
      </w:r>
      <w:r w:rsidR="004B30F4">
        <w:t>iew of the Services White Paper;</w:t>
      </w:r>
    </w:p>
    <w:p w:rsidR="004B30F4" w:rsidRDefault="004B30F4" w:rsidP="0020095E">
      <w:pPr>
        <w:pStyle w:val="WMOResList1"/>
      </w:pPr>
      <w:r>
        <w:t>(f)</w:t>
      </w:r>
      <w:r>
        <w:tab/>
        <w:t xml:space="preserve">Request all OPAGs to consider the few </w:t>
      </w:r>
      <w:r>
        <w:rPr>
          <w:color w:val="1A1A1A"/>
        </w:rPr>
        <w:t xml:space="preserve">elements coming from the YOPP summit that require a specific involvement from global </w:t>
      </w:r>
      <w:proofErr w:type="spellStart"/>
      <w:r>
        <w:rPr>
          <w:color w:val="1A1A1A"/>
        </w:rPr>
        <w:t>centers</w:t>
      </w:r>
      <w:proofErr w:type="spellEnd"/>
      <w:r>
        <w:rPr>
          <w:color w:val="1A1A1A"/>
        </w:rPr>
        <w:t xml:space="preserve"> and that could be considered by CBS-16 (Annex I).</w:t>
      </w:r>
    </w:p>
    <w:p w:rsidR="0020095E" w:rsidRPr="000573AD" w:rsidRDefault="0020095E" w:rsidP="0020095E">
      <w:pPr>
        <w:pStyle w:val="Heading3"/>
      </w:pPr>
      <w:r w:rsidRPr="000573AD">
        <w:t xml:space="preserve">CONTENT OF DOCUMENT: </w:t>
      </w:r>
    </w:p>
    <w:p w:rsidR="0020095E" w:rsidRPr="000573AD"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4B7BAA" w:rsidRDefault="00384BDA" w:rsidP="0020095E">
      <w:pPr>
        <w:pStyle w:val="Heading2"/>
      </w:pPr>
      <w:bookmarkStart w:id="2" w:name="_Toc319327007"/>
      <w:r>
        <w:t>5</w:t>
      </w:r>
      <w:r w:rsidR="0020095E" w:rsidRPr="000573AD">
        <w:t>.</w:t>
      </w:r>
      <w:r w:rsidR="0020095E" w:rsidRPr="000573AD">
        <w:tab/>
      </w:r>
      <w:r>
        <w:t>Strengthening CBS Contributions to WMO Strategic Priorities</w:t>
      </w:r>
      <w:r w:rsidR="0020095E" w:rsidRPr="000573AD">
        <w:rPr>
          <w:b w:val="0"/>
        </w:rPr>
        <w:t xml:space="preserve"> </w:t>
      </w:r>
      <w:r w:rsidR="00D44BAD" w:rsidRPr="00D44BAD">
        <w:rPr>
          <w:rStyle w:val="WMOAgendaItem"/>
          <w:b w:val="0"/>
          <w:bCs w:val="0"/>
          <w:iCs w:val="0"/>
          <w:caps w:val="0"/>
          <w:color w:val="000000"/>
          <w:szCs w:val="20"/>
        </w:rPr>
        <w:t>(agenda item </w:t>
      </w:r>
      <w:r>
        <w:rPr>
          <w:rStyle w:val="WMOAgendaItem"/>
          <w:b w:val="0"/>
          <w:bCs w:val="0"/>
          <w:iCs w:val="0"/>
          <w:caps w:val="0"/>
          <w:color w:val="000000"/>
          <w:szCs w:val="20"/>
        </w:rPr>
        <w:t>5</w:t>
      </w:r>
      <w:r w:rsidR="00D44BAD" w:rsidRPr="00D44BAD">
        <w:rPr>
          <w:rStyle w:val="WMOAgendaItem"/>
          <w:b w:val="0"/>
          <w:bCs w:val="0"/>
          <w:iCs w:val="0"/>
          <w:caps w:val="0"/>
          <w:color w:val="000000"/>
          <w:szCs w:val="20"/>
        </w:rPr>
        <w:t>)</w:t>
      </w:r>
      <w:bookmarkEnd w:id="2"/>
    </w:p>
    <w:p w:rsidR="0020095E" w:rsidRPr="004B7BAA" w:rsidRDefault="00384BDA" w:rsidP="0020095E">
      <w:pPr>
        <w:pStyle w:val="Heading3"/>
      </w:pPr>
      <w:bookmarkStart w:id="3" w:name="_Toc319327008"/>
      <w:r>
        <w:t>5.5</w:t>
      </w:r>
      <w:r w:rsidR="0020095E" w:rsidRPr="000573AD">
        <w:tab/>
      </w:r>
      <w:r>
        <w:t>Polar and High Mountain Regions</w:t>
      </w:r>
      <w:r w:rsidR="0020095E" w:rsidRPr="000573AD">
        <w:rPr>
          <w:b w:val="0"/>
        </w:rPr>
        <w:t xml:space="preserve"> </w:t>
      </w:r>
      <w:bookmarkEnd w:id="3"/>
      <w:r>
        <w:rPr>
          <w:rStyle w:val="WMOAgendaItem"/>
          <w:b w:val="0"/>
        </w:rPr>
        <w:t>(agenda item 5.5</w:t>
      </w:r>
      <w:r w:rsidR="00D44BAD" w:rsidRPr="00D44BAD">
        <w:rPr>
          <w:rStyle w:val="WMOAgendaItem"/>
          <w:b w:val="0"/>
        </w:rPr>
        <w:t>)</w:t>
      </w:r>
    </w:p>
    <w:p w:rsidR="0020095E" w:rsidRPr="000573AD" w:rsidRDefault="00384BDA" w:rsidP="0020095E">
      <w:pPr>
        <w:pStyle w:val="WMOSubTitle1"/>
      </w:pPr>
      <w:r>
        <w:t>Global Cryosphere Watch (GCW)</w:t>
      </w:r>
    </w:p>
    <w:p w:rsidR="00384BDA" w:rsidRDefault="00384BDA" w:rsidP="00384BDA">
      <w:pPr>
        <w:pStyle w:val="WMOBodyText"/>
      </w:pPr>
      <w:r>
        <w:t>The Management Group recalled that following the completion of the development phase of the GCW (2012-2015), and Cg-17 decisions we have now entered in the GCWP Implementation Phase (2016-2019). The Group recalled that through Resolution 43(Cg-17), Cg-17 requested the Regional Associations and the Technical Commissions to include GCW on their work programme in order to fully accommodate the cross-programme nature of GCW. The Group noted the following progress:</w:t>
      </w:r>
    </w:p>
    <w:p w:rsidR="00384BDA" w:rsidRDefault="00384BDA" w:rsidP="00384BDA">
      <w:pPr>
        <w:pStyle w:val="ListParagraph"/>
        <w:spacing w:after="240"/>
        <w:jc w:val="both"/>
        <w:rPr>
          <w:rFonts w:ascii="Arial" w:eastAsia="Times New Roman" w:hAnsi="Arial" w:cs="Arial"/>
          <w:sz w:val="22"/>
          <w:szCs w:val="22"/>
          <w:lang w:val="en-GB" w:eastAsia="zh-TW"/>
        </w:rPr>
      </w:pPr>
    </w:p>
    <w:p w:rsidR="00384BDA" w:rsidRDefault="00384BDA" w:rsidP="00384BDA">
      <w:pPr>
        <w:pStyle w:val="ListParagraph"/>
        <w:numPr>
          <w:ilvl w:val="0"/>
          <w:numId w:val="42"/>
        </w:numPr>
        <w:spacing w:after="240"/>
        <w:jc w:val="both"/>
        <w:rPr>
          <w:rFonts w:ascii="Arial" w:eastAsia="Times New Roman" w:hAnsi="Arial" w:cs="Arial"/>
          <w:sz w:val="22"/>
          <w:szCs w:val="22"/>
          <w:lang w:val="en-GB" w:eastAsia="zh-TW"/>
        </w:rPr>
      </w:pPr>
      <w:r>
        <w:rPr>
          <w:rFonts w:ascii="Arial" w:eastAsia="Times New Roman" w:hAnsi="Arial" w:cs="Arial"/>
          <w:sz w:val="22"/>
          <w:szCs w:val="22"/>
          <w:lang w:val="en-GB" w:eastAsia="zh-TW"/>
        </w:rPr>
        <w:t xml:space="preserve">The </w:t>
      </w:r>
      <w:r w:rsidRPr="00483E37">
        <w:rPr>
          <w:rFonts w:ascii="Arial" w:eastAsia="Times New Roman" w:hAnsi="Arial" w:cs="Arial"/>
          <w:sz w:val="22"/>
          <w:szCs w:val="22"/>
          <w:lang w:val="en-GB" w:eastAsia="zh-TW"/>
        </w:rPr>
        <w:t>GCW Working Structure is almost completed with GCW Steering Group (</w:t>
      </w:r>
      <w:r>
        <w:rPr>
          <w:rFonts w:ascii="Arial" w:eastAsia="Times New Roman" w:hAnsi="Arial" w:cs="Arial"/>
          <w:sz w:val="22"/>
          <w:szCs w:val="22"/>
          <w:lang w:val="en-GB" w:eastAsia="zh-TW"/>
        </w:rPr>
        <w:t xml:space="preserve">GSG, </w:t>
      </w:r>
      <w:r w:rsidRPr="00483E37">
        <w:rPr>
          <w:rFonts w:ascii="Arial" w:eastAsia="Times New Roman" w:hAnsi="Arial" w:cs="Arial"/>
          <w:sz w:val="22"/>
          <w:szCs w:val="22"/>
          <w:lang w:val="en-GB" w:eastAsia="zh-TW"/>
        </w:rPr>
        <w:t xml:space="preserve">Chair: </w:t>
      </w:r>
      <w:proofErr w:type="spellStart"/>
      <w:r w:rsidRPr="008005FA">
        <w:rPr>
          <w:rFonts w:ascii="Arial" w:eastAsia="Times New Roman" w:hAnsi="Arial" w:cs="Arial"/>
          <w:sz w:val="22"/>
          <w:szCs w:val="22"/>
          <w:lang w:val="en-GB" w:eastAsia="zh-TW"/>
        </w:rPr>
        <w:t>Arni</w:t>
      </w:r>
      <w:proofErr w:type="spellEnd"/>
      <w:r w:rsidRPr="008005FA">
        <w:rPr>
          <w:rFonts w:ascii="Arial" w:eastAsia="Times New Roman" w:hAnsi="Arial" w:cs="Arial"/>
          <w:sz w:val="22"/>
          <w:szCs w:val="22"/>
          <w:lang w:val="en-GB" w:eastAsia="zh-TW"/>
        </w:rPr>
        <w:t xml:space="preserve"> </w:t>
      </w:r>
      <w:proofErr w:type="spellStart"/>
      <w:r w:rsidRPr="008005FA">
        <w:rPr>
          <w:rFonts w:ascii="Arial" w:eastAsia="Times New Roman" w:hAnsi="Arial" w:cs="Arial"/>
          <w:sz w:val="22"/>
          <w:szCs w:val="22"/>
          <w:lang w:val="en-GB" w:eastAsia="zh-TW"/>
        </w:rPr>
        <w:t>Snorrason</w:t>
      </w:r>
      <w:proofErr w:type="spellEnd"/>
      <w:r w:rsidRPr="008005FA">
        <w:rPr>
          <w:rFonts w:ascii="Arial" w:eastAsia="Times New Roman" w:hAnsi="Arial" w:cs="Arial"/>
          <w:sz w:val="22"/>
          <w:szCs w:val="22"/>
          <w:lang w:val="en-GB" w:eastAsia="zh-TW"/>
        </w:rPr>
        <w:t xml:space="preserve">, vice-Chair: Barry </w:t>
      </w:r>
      <w:proofErr w:type="spellStart"/>
      <w:r w:rsidRPr="008005FA">
        <w:rPr>
          <w:rFonts w:ascii="Arial" w:eastAsia="Times New Roman" w:hAnsi="Arial" w:cs="Arial"/>
          <w:sz w:val="22"/>
          <w:szCs w:val="22"/>
          <w:lang w:val="en-GB" w:eastAsia="zh-TW"/>
        </w:rPr>
        <w:t>Goodison</w:t>
      </w:r>
      <w:proofErr w:type="spellEnd"/>
      <w:r w:rsidRPr="00483E37">
        <w:rPr>
          <w:rFonts w:ascii="Arial" w:eastAsia="Times New Roman" w:hAnsi="Arial" w:cs="Arial"/>
          <w:sz w:val="22"/>
          <w:szCs w:val="22"/>
          <w:lang w:val="en-GB" w:eastAsia="zh-TW"/>
        </w:rPr>
        <w:t xml:space="preserve">), Observations Working Group (Chair: Wolfgang </w:t>
      </w:r>
      <w:proofErr w:type="spellStart"/>
      <w:r w:rsidRPr="00483E37">
        <w:rPr>
          <w:rFonts w:ascii="Arial" w:eastAsia="Times New Roman" w:hAnsi="Arial" w:cs="Arial"/>
          <w:sz w:val="22"/>
          <w:szCs w:val="22"/>
          <w:lang w:val="en-GB" w:eastAsia="zh-TW"/>
        </w:rPr>
        <w:t>Schöner</w:t>
      </w:r>
      <w:proofErr w:type="spellEnd"/>
      <w:r w:rsidRPr="00483E37">
        <w:rPr>
          <w:rFonts w:ascii="Arial" w:eastAsia="Times New Roman" w:hAnsi="Arial" w:cs="Arial"/>
          <w:sz w:val="22"/>
          <w:szCs w:val="22"/>
          <w:lang w:val="en-GB" w:eastAsia="zh-TW"/>
        </w:rPr>
        <w:t xml:space="preserve">, co-Chair: Michele </w:t>
      </w:r>
      <w:proofErr w:type="spellStart"/>
      <w:r w:rsidRPr="00483E37">
        <w:rPr>
          <w:rFonts w:ascii="Arial" w:eastAsia="Times New Roman" w:hAnsi="Arial" w:cs="Arial"/>
          <w:sz w:val="22"/>
          <w:szCs w:val="22"/>
          <w:lang w:val="en-GB" w:eastAsia="zh-TW"/>
        </w:rPr>
        <w:t>Citterio</w:t>
      </w:r>
      <w:proofErr w:type="spellEnd"/>
      <w:r w:rsidRPr="00483E37">
        <w:rPr>
          <w:rFonts w:ascii="Arial" w:eastAsia="Times New Roman" w:hAnsi="Arial" w:cs="Arial"/>
          <w:sz w:val="22"/>
          <w:szCs w:val="22"/>
          <w:lang w:val="en-GB" w:eastAsia="zh-TW"/>
        </w:rPr>
        <w:t xml:space="preserve">), Information and Services Working Group (Chair: </w:t>
      </w:r>
      <w:proofErr w:type="spellStart"/>
      <w:r w:rsidRPr="008005FA">
        <w:rPr>
          <w:rFonts w:ascii="Arial" w:eastAsia="Times New Roman" w:hAnsi="Arial" w:cs="Arial"/>
          <w:sz w:val="22"/>
          <w:szCs w:val="22"/>
          <w:lang w:val="en-GB" w:eastAsia="zh-TW"/>
        </w:rPr>
        <w:t>Oystein</w:t>
      </w:r>
      <w:proofErr w:type="spellEnd"/>
      <w:r w:rsidRPr="008005FA">
        <w:rPr>
          <w:rFonts w:ascii="Arial" w:eastAsia="Times New Roman" w:hAnsi="Arial" w:cs="Arial"/>
          <w:sz w:val="22"/>
          <w:szCs w:val="22"/>
          <w:lang w:val="en-GB" w:eastAsia="zh-TW"/>
        </w:rPr>
        <w:t xml:space="preserve"> Godoy</w:t>
      </w:r>
      <w:r w:rsidRPr="00483E37">
        <w:rPr>
          <w:rFonts w:ascii="Arial" w:eastAsia="Times New Roman" w:hAnsi="Arial" w:cs="Arial"/>
          <w:sz w:val="22"/>
          <w:szCs w:val="22"/>
          <w:lang w:val="en-GB" w:eastAsia="zh-TW"/>
        </w:rPr>
        <w:t xml:space="preserve">, co-Chair: J. Key), and Integrated Products Working Group (Chair: TBD, co-Chairs: Kari </w:t>
      </w:r>
      <w:proofErr w:type="spellStart"/>
      <w:r w:rsidRPr="00483E37">
        <w:rPr>
          <w:rFonts w:ascii="Arial" w:eastAsia="Times New Roman" w:hAnsi="Arial" w:cs="Arial"/>
          <w:sz w:val="22"/>
          <w:szCs w:val="22"/>
          <w:lang w:val="en-GB" w:eastAsia="zh-TW"/>
        </w:rPr>
        <w:t>Luojus</w:t>
      </w:r>
      <w:proofErr w:type="spellEnd"/>
      <w:r w:rsidRPr="00483E37">
        <w:rPr>
          <w:rFonts w:ascii="Arial" w:eastAsia="Times New Roman" w:hAnsi="Arial" w:cs="Arial"/>
          <w:sz w:val="22"/>
          <w:szCs w:val="22"/>
          <w:lang w:val="en-GB" w:eastAsia="zh-TW"/>
        </w:rPr>
        <w:t xml:space="preserve">, </w:t>
      </w:r>
      <w:proofErr w:type="spellStart"/>
      <w:r w:rsidRPr="00483E37">
        <w:rPr>
          <w:rFonts w:ascii="Arial" w:eastAsia="Times New Roman" w:hAnsi="Arial" w:cs="Arial"/>
          <w:sz w:val="22"/>
          <w:szCs w:val="22"/>
          <w:lang w:val="en-GB" w:eastAsia="zh-TW"/>
        </w:rPr>
        <w:t>Vasily</w:t>
      </w:r>
      <w:proofErr w:type="spellEnd"/>
      <w:r w:rsidRPr="00483E37">
        <w:rPr>
          <w:rFonts w:ascii="Arial" w:eastAsia="Times New Roman" w:hAnsi="Arial" w:cs="Arial"/>
          <w:sz w:val="22"/>
          <w:szCs w:val="22"/>
          <w:lang w:val="en-GB" w:eastAsia="zh-TW"/>
        </w:rPr>
        <w:t xml:space="preserve"> </w:t>
      </w:r>
      <w:proofErr w:type="spellStart"/>
      <w:r w:rsidRPr="00483E37">
        <w:rPr>
          <w:rFonts w:ascii="Arial" w:eastAsia="Times New Roman" w:hAnsi="Arial" w:cs="Arial"/>
          <w:sz w:val="22"/>
          <w:szCs w:val="22"/>
          <w:lang w:val="en-GB" w:eastAsia="zh-TW"/>
        </w:rPr>
        <w:t>Smolyanitsky</w:t>
      </w:r>
      <w:proofErr w:type="spellEnd"/>
      <w:r w:rsidRPr="00483E37">
        <w:rPr>
          <w:rFonts w:ascii="Arial" w:eastAsia="Times New Roman" w:hAnsi="Arial" w:cs="Arial"/>
          <w:sz w:val="22"/>
          <w:szCs w:val="22"/>
          <w:lang w:val="en-GB" w:eastAsia="zh-TW"/>
        </w:rPr>
        <w:t>).</w:t>
      </w:r>
      <w:r>
        <w:rPr>
          <w:rFonts w:ascii="Arial" w:eastAsia="Times New Roman" w:hAnsi="Arial" w:cs="Arial"/>
          <w:sz w:val="22"/>
          <w:szCs w:val="22"/>
          <w:lang w:val="en-GB" w:eastAsia="zh-TW"/>
        </w:rPr>
        <w:t xml:space="preserve"> </w:t>
      </w:r>
      <w:r w:rsidRPr="008005FA">
        <w:rPr>
          <w:rFonts w:ascii="Arial" w:eastAsia="Times New Roman" w:hAnsi="Arial" w:cs="Arial"/>
          <w:sz w:val="22"/>
          <w:szCs w:val="22"/>
          <w:lang w:val="en-GB" w:eastAsia="zh-TW"/>
        </w:rPr>
        <w:t xml:space="preserve">Best Practices and Terminology Teams proposed new teams for sea ice, permafrost and glaciers and to conduct gap analyses to refine what and how GCW can best contribute. </w:t>
      </w:r>
      <w:r>
        <w:rPr>
          <w:rFonts w:ascii="Arial" w:eastAsia="Times New Roman" w:hAnsi="Arial" w:cs="Arial"/>
          <w:sz w:val="22"/>
          <w:szCs w:val="22"/>
          <w:lang w:val="en-GB" w:eastAsia="zh-TW"/>
        </w:rPr>
        <w:t xml:space="preserve">Efforts remain to be made to develop working structure at the regional level, starting with </w:t>
      </w:r>
      <w:proofErr w:type="spellStart"/>
      <w:r>
        <w:rPr>
          <w:rFonts w:ascii="Arial" w:eastAsia="Times New Roman" w:hAnsi="Arial" w:cs="Arial"/>
          <w:sz w:val="22"/>
          <w:szCs w:val="22"/>
          <w:lang w:val="en-GB" w:eastAsia="zh-TW"/>
        </w:rPr>
        <w:t>Cryonet</w:t>
      </w:r>
      <w:proofErr w:type="spellEnd"/>
      <w:r>
        <w:rPr>
          <w:rFonts w:ascii="Arial" w:eastAsia="Times New Roman" w:hAnsi="Arial" w:cs="Arial"/>
          <w:sz w:val="22"/>
          <w:szCs w:val="22"/>
          <w:lang w:val="en-GB" w:eastAsia="zh-TW"/>
        </w:rPr>
        <w:t>/Asia workshop in Feb. 2016. Updated structure will be submitted to EC-PHORS-7 (Jan. 2017).</w:t>
      </w:r>
    </w:p>
    <w:p w:rsidR="00384BDA" w:rsidRDefault="00384BDA" w:rsidP="00384BDA">
      <w:pPr>
        <w:pStyle w:val="ListParagraph"/>
        <w:numPr>
          <w:ilvl w:val="0"/>
          <w:numId w:val="42"/>
        </w:numPr>
        <w:spacing w:after="240"/>
        <w:jc w:val="both"/>
        <w:rPr>
          <w:rFonts w:ascii="Arial" w:eastAsia="Times New Roman" w:hAnsi="Arial" w:cs="Arial"/>
          <w:sz w:val="22"/>
          <w:szCs w:val="22"/>
          <w:lang w:val="en-GB" w:eastAsia="zh-TW"/>
        </w:rPr>
      </w:pPr>
      <w:r>
        <w:rPr>
          <w:rFonts w:ascii="Arial" w:eastAsia="Times New Roman" w:hAnsi="Arial" w:cs="Arial"/>
          <w:sz w:val="22"/>
          <w:szCs w:val="22"/>
          <w:lang w:val="en-GB" w:eastAsia="zh-TW"/>
        </w:rPr>
        <w:t xml:space="preserve">While the definition of GCW </w:t>
      </w:r>
      <w:proofErr w:type="spellStart"/>
      <w:r>
        <w:rPr>
          <w:rFonts w:ascii="Arial" w:eastAsia="Times New Roman" w:hAnsi="Arial" w:cs="Arial"/>
          <w:sz w:val="22"/>
          <w:szCs w:val="22"/>
          <w:lang w:val="en-GB" w:eastAsia="zh-TW"/>
        </w:rPr>
        <w:t>Cryonet</w:t>
      </w:r>
      <w:proofErr w:type="spellEnd"/>
      <w:r>
        <w:rPr>
          <w:rFonts w:ascii="Arial" w:eastAsia="Times New Roman" w:hAnsi="Arial" w:cs="Arial"/>
          <w:sz w:val="22"/>
          <w:szCs w:val="22"/>
          <w:lang w:val="en-GB" w:eastAsia="zh-TW"/>
        </w:rPr>
        <w:t xml:space="preserve"> Sites has been included in the WIGOS Manual, the GCW is proposing some changes, and developing minimum requirements for the </w:t>
      </w:r>
      <w:proofErr w:type="spellStart"/>
      <w:r>
        <w:rPr>
          <w:rFonts w:ascii="Arial" w:eastAsia="Times New Roman" w:hAnsi="Arial" w:cs="Arial"/>
          <w:sz w:val="22"/>
          <w:szCs w:val="22"/>
          <w:lang w:val="en-GB" w:eastAsia="zh-TW"/>
        </w:rPr>
        <w:t>Cryonet</w:t>
      </w:r>
      <w:proofErr w:type="spellEnd"/>
      <w:r>
        <w:rPr>
          <w:rFonts w:ascii="Arial" w:eastAsia="Times New Roman" w:hAnsi="Arial" w:cs="Arial"/>
          <w:sz w:val="22"/>
          <w:szCs w:val="22"/>
          <w:lang w:val="en-GB" w:eastAsia="zh-TW"/>
        </w:rPr>
        <w:t xml:space="preserve"> Sites, and Site selection criteria. These will be reflected in future update of WIGOS Regulatory Materials. The GCW regulatory materials, including proposed revision of WIGOS Manual, should be available by September 2016, and then proposed to be reviewed by the CBS-16.</w:t>
      </w:r>
    </w:p>
    <w:p w:rsidR="00384BDA" w:rsidRDefault="00384BDA" w:rsidP="00384BDA">
      <w:pPr>
        <w:pStyle w:val="ListParagraph"/>
        <w:numPr>
          <w:ilvl w:val="0"/>
          <w:numId w:val="42"/>
        </w:numPr>
        <w:spacing w:after="240"/>
        <w:jc w:val="both"/>
        <w:rPr>
          <w:rFonts w:ascii="Arial" w:eastAsia="Times New Roman" w:hAnsi="Arial" w:cs="Arial"/>
          <w:sz w:val="22"/>
          <w:szCs w:val="22"/>
          <w:lang w:val="en-GB" w:eastAsia="zh-TW"/>
        </w:rPr>
      </w:pPr>
      <w:r w:rsidRPr="00483E37">
        <w:rPr>
          <w:rFonts w:ascii="Arial" w:eastAsia="Times New Roman" w:hAnsi="Arial" w:cs="Arial"/>
          <w:sz w:val="22"/>
          <w:szCs w:val="22"/>
          <w:lang w:val="en-GB" w:eastAsia="zh-TW"/>
        </w:rPr>
        <w:t xml:space="preserve">The future recording of </w:t>
      </w:r>
      <w:proofErr w:type="spellStart"/>
      <w:r>
        <w:rPr>
          <w:rFonts w:ascii="Arial" w:eastAsia="Times New Roman" w:hAnsi="Arial" w:cs="Arial"/>
          <w:sz w:val="22"/>
          <w:szCs w:val="22"/>
          <w:lang w:val="en-GB" w:eastAsia="zh-TW"/>
        </w:rPr>
        <w:t>Cryonet</w:t>
      </w:r>
      <w:proofErr w:type="spellEnd"/>
      <w:r w:rsidRPr="00483E37">
        <w:rPr>
          <w:rFonts w:ascii="Arial" w:eastAsia="Times New Roman" w:hAnsi="Arial" w:cs="Arial"/>
          <w:sz w:val="22"/>
          <w:szCs w:val="22"/>
          <w:lang w:val="en-GB" w:eastAsia="zh-TW"/>
        </w:rPr>
        <w:t xml:space="preserve"> Sites metadata consistent with </w:t>
      </w:r>
      <w:r>
        <w:rPr>
          <w:rFonts w:ascii="Arial" w:eastAsia="Times New Roman" w:hAnsi="Arial" w:cs="Arial"/>
          <w:sz w:val="22"/>
          <w:szCs w:val="22"/>
          <w:lang w:val="en-GB" w:eastAsia="zh-TW"/>
        </w:rPr>
        <w:t xml:space="preserve">the </w:t>
      </w:r>
      <w:r w:rsidRPr="00483E37">
        <w:rPr>
          <w:rFonts w:ascii="Arial" w:eastAsia="Times New Roman" w:hAnsi="Arial" w:cs="Arial"/>
          <w:sz w:val="22"/>
          <w:szCs w:val="22"/>
          <w:lang w:val="en-GB" w:eastAsia="zh-TW"/>
        </w:rPr>
        <w:t xml:space="preserve">WIGOS </w:t>
      </w:r>
      <w:r>
        <w:rPr>
          <w:rFonts w:ascii="Arial" w:eastAsia="Times New Roman" w:hAnsi="Arial" w:cs="Arial"/>
          <w:sz w:val="22"/>
          <w:szCs w:val="22"/>
          <w:lang w:val="en-GB" w:eastAsia="zh-TW"/>
        </w:rPr>
        <w:t>Metadata Standard (</w:t>
      </w:r>
      <w:r w:rsidRPr="00483E37">
        <w:rPr>
          <w:rFonts w:ascii="Arial" w:eastAsia="Times New Roman" w:hAnsi="Arial" w:cs="Arial"/>
          <w:sz w:val="22"/>
          <w:szCs w:val="22"/>
          <w:lang w:val="en-GB" w:eastAsia="zh-TW"/>
        </w:rPr>
        <w:t>MDS</w:t>
      </w:r>
      <w:r>
        <w:rPr>
          <w:rFonts w:ascii="Arial" w:eastAsia="Times New Roman" w:hAnsi="Arial" w:cs="Arial"/>
          <w:sz w:val="22"/>
          <w:szCs w:val="22"/>
          <w:lang w:val="en-GB" w:eastAsia="zh-TW"/>
        </w:rPr>
        <w:t>)</w:t>
      </w:r>
      <w:r w:rsidRPr="00483E37">
        <w:rPr>
          <w:rFonts w:ascii="Arial" w:eastAsia="Times New Roman" w:hAnsi="Arial" w:cs="Arial"/>
          <w:sz w:val="22"/>
          <w:szCs w:val="22"/>
          <w:lang w:val="en-GB" w:eastAsia="zh-TW"/>
        </w:rPr>
        <w:t xml:space="preserve"> in OSCAR/Surface is under discussion. The CBS MG may wish to provide some guidance in this regard.</w:t>
      </w:r>
    </w:p>
    <w:p w:rsidR="00384BDA" w:rsidRPr="00483E37" w:rsidRDefault="00384BDA" w:rsidP="00384BDA">
      <w:pPr>
        <w:pStyle w:val="ListParagraph"/>
        <w:numPr>
          <w:ilvl w:val="0"/>
          <w:numId w:val="42"/>
        </w:numPr>
        <w:spacing w:after="240"/>
        <w:jc w:val="both"/>
        <w:rPr>
          <w:rFonts w:ascii="Arial" w:eastAsia="Times New Roman" w:hAnsi="Arial" w:cs="Arial"/>
          <w:sz w:val="22"/>
          <w:szCs w:val="22"/>
          <w:lang w:val="en-GB" w:eastAsia="zh-TW"/>
        </w:rPr>
      </w:pPr>
      <w:r>
        <w:rPr>
          <w:rFonts w:ascii="Arial" w:eastAsia="Times New Roman" w:hAnsi="Arial" w:cs="Arial"/>
          <w:sz w:val="22"/>
          <w:szCs w:val="22"/>
          <w:lang w:val="en-GB" w:eastAsia="zh-TW"/>
        </w:rPr>
        <w:t xml:space="preserve">GCW is working at establishing closer links between the operational and research communities. </w:t>
      </w:r>
    </w:p>
    <w:p w:rsidR="00384BDA" w:rsidRDefault="00384BDA" w:rsidP="00384BDA">
      <w:pPr>
        <w:pStyle w:val="ListParagraph"/>
        <w:numPr>
          <w:ilvl w:val="0"/>
          <w:numId w:val="42"/>
        </w:numPr>
        <w:spacing w:after="240"/>
        <w:jc w:val="both"/>
        <w:rPr>
          <w:rFonts w:ascii="Arial" w:eastAsia="Times New Roman" w:hAnsi="Arial" w:cs="Arial"/>
          <w:sz w:val="22"/>
          <w:szCs w:val="22"/>
          <w:lang w:val="en-GB" w:eastAsia="zh-TW"/>
        </w:rPr>
      </w:pPr>
      <w:r>
        <w:rPr>
          <w:rFonts w:ascii="Arial" w:eastAsia="Times New Roman" w:hAnsi="Arial" w:cs="Arial"/>
          <w:sz w:val="22"/>
          <w:szCs w:val="22"/>
          <w:lang w:val="en-GB" w:eastAsia="zh-TW"/>
        </w:rPr>
        <w:t>A side event on GCW is proposed for EC-68.</w:t>
      </w:r>
    </w:p>
    <w:p w:rsidR="00384BDA" w:rsidRPr="008005FA" w:rsidRDefault="00384BDA" w:rsidP="00384BDA">
      <w:pPr>
        <w:pStyle w:val="ListParagraph"/>
        <w:numPr>
          <w:ilvl w:val="0"/>
          <w:numId w:val="42"/>
        </w:numPr>
        <w:spacing w:after="240"/>
        <w:jc w:val="both"/>
        <w:rPr>
          <w:rFonts w:ascii="Arial" w:eastAsia="Times New Roman" w:hAnsi="Arial" w:cs="Arial"/>
          <w:sz w:val="22"/>
          <w:szCs w:val="22"/>
          <w:lang w:val="en-GB" w:eastAsia="zh-TW"/>
        </w:rPr>
      </w:pPr>
      <w:r w:rsidRPr="00483E37">
        <w:rPr>
          <w:rFonts w:ascii="Arial" w:eastAsia="Times New Roman" w:hAnsi="Arial" w:cs="Arial"/>
          <w:sz w:val="22"/>
          <w:szCs w:val="22"/>
          <w:lang w:val="en-GB" w:eastAsia="zh-TW"/>
        </w:rPr>
        <w:t>There are issue</w:t>
      </w:r>
      <w:r>
        <w:rPr>
          <w:rFonts w:ascii="Arial" w:eastAsia="Times New Roman" w:hAnsi="Arial" w:cs="Arial"/>
          <w:sz w:val="22"/>
          <w:szCs w:val="22"/>
          <w:lang w:val="en-GB" w:eastAsia="zh-TW"/>
        </w:rPr>
        <w:t>s</w:t>
      </w:r>
      <w:r w:rsidRPr="00483E37">
        <w:rPr>
          <w:rFonts w:ascii="Arial" w:eastAsia="Times New Roman" w:hAnsi="Arial" w:cs="Arial"/>
          <w:sz w:val="22"/>
          <w:szCs w:val="22"/>
          <w:lang w:val="en-GB" w:eastAsia="zh-TW"/>
        </w:rPr>
        <w:t xml:space="preserve"> with regard to migration to Table Driven Codes and distribution of </w:t>
      </w:r>
      <w:proofErr w:type="spellStart"/>
      <w:r w:rsidRPr="00483E37">
        <w:rPr>
          <w:rFonts w:ascii="Arial" w:eastAsia="Times New Roman" w:hAnsi="Arial" w:cs="Arial"/>
          <w:sz w:val="22"/>
          <w:szCs w:val="22"/>
          <w:lang w:val="en-GB" w:eastAsia="zh-TW"/>
        </w:rPr>
        <w:t>AntON</w:t>
      </w:r>
      <w:proofErr w:type="spellEnd"/>
      <w:r w:rsidRPr="00483E37">
        <w:rPr>
          <w:rFonts w:ascii="Arial" w:eastAsia="Times New Roman" w:hAnsi="Arial" w:cs="Arial"/>
          <w:sz w:val="22"/>
          <w:szCs w:val="22"/>
          <w:lang w:val="en-GB" w:eastAsia="zh-TW"/>
        </w:rPr>
        <w:t xml:space="preserve"> data (BAS has to convert data back from BUFR to TAC).</w:t>
      </w:r>
      <w:r>
        <w:rPr>
          <w:rFonts w:ascii="Arial" w:eastAsia="Times New Roman" w:hAnsi="Arial" w:cs="Arial"/>
          <w:sz w:val="22"/>
          <w:szCs w:val="22"/>
          <w:lang w:val="en-GB" w:eastAsia="zh-TW"/>
        </w:rPr>
        <w:t xml:space="preserve"> CBS may wish to propose some assistance in this regard.</w:t>
      </w:r>
    </w:p>
    <w:p w:rsidR="00384BDA" w:rsidRPr="00384BDA" w:rsidRDefault="00384BDA" w:rsidP="00384BDA">
      <w:pPr>
        <w:pStyle w:val="ListParagraph"/>
        <w:numPr>
          <w:ilvl w:val="0"/>
          <w:numId w:val="42"/>
        </w:numPr>
        <w:spacing w:after="240"/>
        <w:jc w:val="both"/>
      </w:pPr>
      <w:r w:rsidRPr="00384BDA">
        <w:rPr>
          <w:rFonts w:ascii="Arial" w:eastAsia="Times New Roman" w:hAnsi="Arial" w:cs="Arial"/>
          <w:sz w:val="22"/>
          <w:szCs w:val="22"/>
          <w:lang w:val="en-GB" w:eastAsia="zh-TW"/>
        </w:rPr>
        <w:t xml:space="preserve">The GSG reviewed the significant progress made by the Snow Watch Team including real-time data exchange of snow depth and the </w:t>
      </w:r>
      <w:proofErr w:type="spellStart"/>
      <w:r w:rsidRPr="00384BDA">
        <w:rPr>
          <w:rFonts w:ascii="Arial" w:eastAsia="Times New Roman" w:hAnsi="Arial" w:cs="Arial"/>
          <w:sz w:val="22"/>
          <w:szCs w:val="22"/>
          <w:lang w:val="en-GB" w:eastAsia="zh-TW"/>
        </w:rPr>
        <w:t>SnowPEx</w:t>
      </w:r>
      <w:proofErr w:type="spellEnd"/>
      <w:r w:rsidRPr="00384BDA">
        <w:rPr>
          <w:rFonts w:ascii="Arial" w:eastAsia="Times New Roman" w:hAnsi="Arial" w:cs="Arial"/>
          <w:sz w:val="22"/>
          <w:szCs w:val="22"/>
          <w:lang w:val="en-GB" w:eastAsia="zh-TW"/>
        </w:rPr>
        <w:t xml:space="preserve"> </w:t>
      </w:r>
      <w:proofErr w:type="spellStart"/>
      <w:r w:rsidRPr="00384BDA">
        <w:rPr>
          <w:rFonts w:ascii="Arial" w:eastAsia="Times New Roman" w:hAnsi="Arial" w:cs="Arial"/>
          <w:sz w:val="22"/>
          <w:szCs w:val="22"/>
          <w:lang w:val="en-GB" w:eastAsia="zh-TW"/>
        </w:rPr>
        <w:t>intercomparison</w:t>
      </w:r>
      <w:proofErr w:type="spellEnd"/>
      <w:r w:rsidRPr="00384BDA">
        <w:rPr>
          <w:rFonts w:ascii="Arial" w:eastAsia="Times New Roman" w:hAnsi="Arial" w:cs="Arial"/>
          <w:sz w:val="22"/>
          <w:szCs w:val="22"/>
          <w:lang w:val="en-GB" w:eastAsia="zh-TW"/>
        </w:rPr>
        <w:t xml:space="preserve"> of satellite products (supported by ESA) were notable. </w:t>
      </w:r>
    </w:p>
    <w:p w:rsidR="00384BDA" w:rsidRDefault="00384BDA" w:rsidP="00384BDA">
      <w:pPr>
        <w:spacing w:after="240"/>
      </w:pPr>
      <w:r w:rsidRPr="00384BDA">
        <w:rPr>
          <w:u w:val="single"/>
        </w:rPr>
        <w:t>Decision</w:t>
      </w:r>
      <w:r>
        <w:t>: The Group concurred with the need for a CBS review of GCW Regulatory and Guidance materials for inclusion in the WIGOS Manual and Guide respectively. Those materials shall be submitted by the GCW Steering Group.</w:t>
      </w:r>
    </w:p>
    <w:p w:rsidR="00384BDA" w:rsidRDefault="00384BDA" w:rsidP="00384BDA">
      <w:pPr>
        <w:pStyle w:val="WMOBodyText"/>
      </w:pPr>
      <w:r w:rsidRPr="00384BDA">
        <w:rPr>
          <w:u w:val="single"/>
        </w:rPr>
        <w:t>Action</w:t>
      </w:r>
      <w:r>
        <w:t xml:space="preserve">: </w:t>
      </w:r>
      <w:r>
        <w:rPr>
          <w:lang w:eastAsia="en-US"/>
        </w:rPr>
        <w:t xml:space="preserve">The Group requested the OPAG-DPFS to consider nominating experts to participate in the GCW Working Structure, and in particular in the </w:t>
      </w:r>
      <w:r>
        <w:t>Integrated Products Working Group.</w:t>
      </w:r>
    </w:p>
    <w:p w:rsidR="00384BDA" w:rsidRDefault="00384BDA" w:rsidP="00384BDA">
      <w:pPr>
        <w:pStyle w:val="WMOBodyText"/>
      </w:pPr>
      <w:r w:rsidRPr="00384BDA">
        <w:rPr>
          <w:u w:val="single"/>
        </w:rPr>
        <w:t>Action</w:t>
      </w:r>
      <w:r>
        <w:t>: The Group requested the OPAG IOS to provide guidance and assistance to the GCW regarding provision of WIGOS metadata concerning GCW Sites to the OSCAR/Surface.</w:t>
      </w:r>
    </w:p>
    <w:p w:rsidR="00384BDA" w:rsidRPr="00384BDA" w:rsidRDefault="00384BDA" w:rsidP="00384BDA">
      <w:pPr>
        <w:pStyle w:val="WMOBodyText"/>
        <w:rPr>
          <w:lang w:eastAsia="en-US"/>
        </w:rPr>
      </w:pPr>
      <w:r w:rsidRPr="00384BDA">
        <w:rPr>
          <w:u w:val="single"/>
        </w:rPr>
        <w:lastRenderedPageBreak/>
        <w:t>Action</w:t>
      </w:r>
      <w:r>
        <w:t xml:space="preserve">: The Group requested OPAG-ISS to assist with regard to the transition to table driven codes concerning the real-time distribution of </w:t>
      </w:r>
      <w:proofErr w:type="spellStart"/>
      <w:r>
        <w:t>AntON</w:t>
      </w:r>
      <w:proofErr w:type="spellEnd"/>
      <w:r>
        <w:t xml:space="preserve"> data.</w:t>
      </w:r>
    </w:p>
    <w:p w:rsidR="00384BDA" w:rsidRDefault="00384BDA" w:rsidP="002529C1">
      <w:pPr>
        <w:pStyle w:val="WMOSubTitle1"/>
        <w:rPr>
          <w:szCs w:val="22"/>
        </w:rPr>
      </w:pPr>
      <w:r w:rsidRPr="00384BDA">
        <w:t xml:space="preserve">Polar </w:t>
      </w:r>
      <w:r>
        <w:t>Space Task Group</w:t>
      </w:r>
      <w:r w:rsidR="002529C1">
        <w:t xml:space="preserve"> (PSTG)</w:t>
      </w:r>
    </w:p>
    <w:p w:rsidR="002529C1" w:rsidRDefault="002529C1" w:rsidP="002529C1">
      <w:pPr>
        <w:pStyle w:val="WMOBodyText"/>
        <w:rPr>
          <w:lang w:eastAsia="en-US"/>
        </w:rPr>
      </w:pPr>
      <w:r>
        <w:rPr>
          <w:lang w:eastAsia="en-US"/>
        </w:rPr>
        <w:t xml:space="preserve">The Group recalled that the PSTG reports to Executive Council Panel of Experts on Polar, High Mountain Observation Research and Services (EC-PHORS) and has strong links to GCW and many other user communities. </w:t>
      </w:r>
    </w:p>
    <w:p w:rsidR="002529C1" w:rsidRDefault="002529C1" w:rsidP="002529C1">
      <w:pPr>
        <w:pStyle w:val="WMOBodyText"/>
        <w:rPr>
          <w:lang w:eastAsia="en-US"/>
        </w:rPr>
      </w:pPr>
      <w:r>
        <w:rPr>
          <w:lang w:eastAsia="en-US"/>
        </w:rPr>
        <w:t>Information on PSTG achievements and plans can be found in the new 2015-2018 PSTG strategic plan</w:t>
      </w:r>
      <w:r>
        <w:rPr>
          <w:rStyle w:val="FootnoteReference"/>
          <w:lang w:eastAsia="en-US"/>
        </w:rPr>
        <w:footnoteReference w:id="2"/>
      </w:r>
      <w:r>
        <w:rPr>
          <w:lang w:eastAsia="en-US"/>
        </w:rPr>
        <w:t xml:space="preserve"> that was adopted by Cg-17.</w:t>
      </w:r>
    </w:p>
    <w:p w:rsidR="002529C1" w:rsidRPr="002529C1" w:rsidRDefault="002529C1" w:rsidP="002529C1">
      <w:pPr>
        <w:pStyle w:val="WMOBodyText"/>
        <w:rPr>
          <w:lang w:eastAsia="en-US"/>
        </w:rPr>
      </w:pPr>
      <w:r>
        <w:rPr>
          <w:lang w:eastAsia="en-US"/>
        </w:rPr>
        <w:t>The Group noted that some sites considered in CryoNet are useful ground reference for satellite measurements considered in PSTG.</w:t>
      </w:r>
    </w:p>
    <w:p w:rsidR="00384BDA" w:rsidRDefault="00384BDA" w:rsidP="00384BDA">
      <w:pPr>
        <w:pStyle w:val="WMOSubTitle1"/>
        <w:rPr>
          <w:rFonts w:eastAsia="Times New Roman"/>
          <w:szCs w:val="22"/>
        </w:rPr>
      </w:pPr>
      <w:r w:rsidRPr="00384BDA">
        <w:t xml:space="preserve">Solid Precipitation </w:t>
      </w:r>
      <w:proofErr w:type="spellStart"/>
      <w:r w:rsidRPr="00384BDA">
        <w:t>Intercomparison</w:t>
      </w:r>
      <w:proofErr w:type="spellEnd"/>
      <w:r w:rsidRPr="00384BDA">
        <w:t xml:space="preserve"> Experiment (SPICE)</w:t>
      </w:r>
    </w:p>
    <w:p w:rsidR="00384BDA" w:rsidRDefault="00384BDA" w:rsidP="00384BDA">
      <w:pPr>
        <w:pStyle w:val="WMOBodyText"/>
      </w:pPr>
      <w:r w:rsidRPr="00384BDA">
        <w:t xml:space="preserve">The meeting was informed that the final report of the WMO Solid Precipitation </w:t>
      </w:r>
      <w:proofErr w:type="spellStart"/>
      <w:r w:rsidRPr="00384BDA">
        <w:t>Intercomparison</w:t>
      </w:r>
      <w:proofErr w:type="spellEnd"/>
      <w:r w:rsidRPr="00384BDA">
        <w:t xml:space="preserve"> Experiment (SPICE) is expected to be available in September 2016. The main data collection phase has been completed and the team is currently working on the data analysis, applying similar procedures on the data originating from all sites which are covering a range of different climates.</w:t>
      </w:r>
    </w:p>
    <w:p w:rsidR="0016346C" w:rsidRPr="0016346C" w:rsidRDefault="00384BDA" w:rsidP="0016346C">
      <w:pPr>
        <w:pStyle w:val="WMOBodyText"/>
        <w:rPr>
          <w:b/>
          <w:i/>
        </w:rPr>
      </w:pPr>
      <w:proofErr w:type="gramStart"/>
      <w:r w:rsidRPr="0016346C">
        <w:rPr>
          <w:b/>
          <w:i/>
        </w:rPr>
        <w:t>Services</w:t>
      </w:r>
      <w:r w:rsidR="0016346C" w:rsidRPr="0016346C">
        <w:rPr>
          <w:b/>
          <w:i/>
        </w:rPr>
        <w:t>,</w:t>
      </w:r>
      <w:proofErr w:type="gramEnd"/>
      <w:r w:rsidR="0016346C" w:rsidRPr="0016346C">
        <w:rPr>
          <w:b/>
          <w:i/>
        </w:rPr>
        <w:t xml:space="preserve"> and </w:t>
      </w:r>
      <w:r w:rsidR="0016346C" w:rsidRPr="0016346C">
        <w:rPr>
          <w:b/>
          <w:i/>
        </w:rPr>
        <w:t>OPAG on Data Processing and Forecasting Systems (OPAG-DPFS)</w:t>
      </w:r>
    </w:p>
    <w:p w:rsidR="00384BDA" w:rsidRPr="00384BDA" w:rsidRDefault="00384BDA" w:rsidP="00384BDA">
      <w:pPr>
        <w:pStyle w:val="WMOBodyText"/>
      </w:pPr>
      <w:r>
        <w:t>Regarding the services framework of EC-PHORS, the Group noted the following recent developments:</w:t>
      </w:r>
    </w:p>
    <w:p w:rsidR="00384BDA" w:rsidRDefault="00384BDA" w:rsidP="00384BDA">
      <w:pPr>
        <w:pStyle w:val="ListParagraph"/>
        <w:spacing w:after="240"/>
        <w:jc w:val="both"/>
        <w:rPr>
          <w:rFonts w:ascii="Arial" w:eastAsia="Times New Roman" w:hAnsi="Arial" w:cs="Arial"/>
          <w:sz w:val="22"/>
          <w:szCs w:val="22"/>
          <w:lang w:val="en-GB" w:eastAsia="zh-TW"/>
        </w:rPr>
      </w:pPr>
    </w:p>
    <w:p w:rsidR="00384BDA" w:rsidRPr="00657BF6" w:rsidRDefault="00384BDA" w:rsidP="00384BDA">
      <w:pPr>
        <w:pStyle w:val="ListParagraph"/>
        <w:numPr>
          <w:ilvl w:val="0"/>
          <w:numId w:val="44"/>
        </w:numPr>
        <w:spacing w:after="240"/>
        <w:jc w:val="both"/>
        <w:rPr>
          <w:rFonts w:ascii="Arial" w:eastAsia="Times New Roman" w:hAnsi="Arial" w:cs="Arial"/>
          <w:sz w:val="22"/>
          <w:szCs w:val="22"/>
          <w:lang w:val="en-GB" w:eastAsia="zh-TW"/>
        </w:rPr>
      </w:pPr>
      <w:r w:rsidRPr="00657BF6">
        <w:rPr>
          <w:rFonts w:ascii="Arial" w:eastAsia="Times New Roman" w:hAnsi="Arial" w:cs="Arial"/>
          <w:sz w:val="22"/>
          <w:szCs w:val="22"/>
          <w:lang w:val="en-GB" w:eastAsia="zh-TW"/>
        </w:rPr>
        <w:t>A Scoping Workshop to investigate a Polar Regional Climate Centres</w:t>
      </w:r>
      <w:r>
        <w:rPr>
          <w:rFonts w:ascii="Arial" w:eastAsia="Times New Roman" w:hAnsi="Arial" w:cs="Arial"/>
          <w:sz w:val="22"/>
          <w:szCs w:val="22"/>
          <w:lang w:val="en-GB" w:eastAsia="zh-TW"/>
        </w:rPr>
        <w:t xml:space="preserve"> (</w:t>
      </w:r>
      <w:r w:rsidRPr="00657BF6">
        <w:rPr>
          <w:rFonts w:ascii="Arial" w:eastAsia="Times New Roman" w:hAnsi="Arial" w:cs="Arial"/>
          <w:sz w:val="22"/>
          <w:szCs w:val="22"/>
          <w:lang w:val="en-GB" w:eastAsia="zh-TW"/>
        </w:rPr>
        <w:t>PRCC</w:t>
      </w:r>
      <w:r>
        <w:rPr>
          <w:rFonts w:ascii="Arial" w:eastAsia="Times New Roman" w:hAnsi="Arial" w:cs="Arial"/>
          <w:sz w:val="22"/>
          <w:szCs w:val="22"/>
          <w:lang w:val="en-GB" w:eastAsia="zh-TW"/>
        </w:rPr>
        <w:t>)</w:t>
      </w:r>
      <w:r w:rsidRPr="00657BF6">
        <w:rPr>
          <w:rFonts w:ascii="Arial" w:eastAsia="Times New Roman" w:hAnsi="Arial" w:cs="Arial"/>
          <w:sz w:val="22"/>
          <w:szCs w:val="22"/>
          <w:lang w:val="en-GB" w:eastAsia="zh-TW"/>
        </w:rPr>
        <w:t xml:space="preserve"> and Polar Regional Climate Outlook Forum (PCOF) for the Arctic took place November 17-19). A formal letter from WMO </w:t>
      </w:r>
      <w:r>
        <w:rPr>
          <w:rFonts w:ascii="Arial" w:eastAsia="Times New Roman" w:hAnsi="Arial" w:cs="Arial"/>
          <w:sz w:val="22"/>
          <w:szCs w:val="22"/>
          <w:lang w:val="en-GB" w:eastAsia="zh-TW"/>
        </w:rPr>
        <w:t>is seeking</w:t>
      </w:r>
      <w:r w:rsidRPr="00657BF6">
        <w:rPr>
          <w:rFonts w:ascii="Arial" w:eastAsia="Times New Roman" w:hAnsi="Arial" w:cs="Arial"/>
          <w:sz w:val="22"/>
          <w:szCs w:val="22"/>
          <w:lang w:val="en-GB" w:eastAsia="zh-TW"/>
        </w:rPr>
        <w:t xml:space="preserve"> to clarify national contributions and narrow down consensus on products and services for an Arctic-RCC-Network amongst other matters by mid-February 2016. Once aggregated, a first draft of the Concept Paper on PRCC implementation will be developed by mid-March 2016. If successful, it would then be possible to develop an Arctic-RCC-Network Implementation Plan with contributions from experts by September 2016 and seek formal commitment of contributing countries and start a demonstration project to seek formal WMO RCC Designation in early 2017.  The IICWG Co-chairs have provided a letter of support for PRCCs. </w:t>
      </w:r>
    </w:p>
    <w:p w:rsidR="00384BDA" w:rsidRPr="00657BF6" w:rsidRDefault="00384BDA" w:rsidP="00384BDA">
      <w:pPr>
        <w:pStyle w:val="ListParagraph"/>
        <w:numPr>
          <w:ilvl w:val="0"/>
          <w:numId w:val="44"/>
        </w:numPr>
        <w:spacing w:after="240"/>
        <w:jc w:val="both"/>
        <w:rPr>
          <w:rFonts w:ascii="Arial" w:eastAsia="Times New Roman" w:hAnsi="Arial" w:cs="Arial"/>
          <w:sz w:val="22"/>
          <w:szCs w:val="22"/>
          <w:lang w:val="en-GB" w:eastAsia="zh-TW"/>
        </w:rPr>
      </w:pPr>
      <w:r w:rsidRPr="00657BF6">
        <w:rPr>
          <w:rFonts w:ascii="Arial" w:eastAsia="Times New Roman" w:hAnsi="Arial" w:cs="Arial"/>
          <w:sz w:val="22"/>
          <w:szCs w:val="22"/>
          <w:lang w:val="en-GB" w:eastAsia="zh-TW"/>
        </w:rPr>
        <w:t xml:space="preserve">The </w:t>
      </w:r>
      <w:r>
        <w:rPr>
          <w:rFonts w:ascii="Arial" w:eastAsia="Times New Roman" w:hAnsi="Arial" w:cs="Arial"/>
          <w:sz w:val="22"/>
          <w:szCs w:val="22"/>
          <w:lang w:val="en-GB" w:eastAsia="zh-TW"/>
        </w:rPr>
        <w:t xml:space="preserve">Services </w:t>
      </w:r>
      <w:r w:rsidRPr="00657BF6">
        <w:rPr>
          <w:rFonts w:ascii="Arial" w:eastAsia="Times New Roman" w:hAnsi="Arial" w:cs="Arial"/>
          <w:sz w:val="22"/>
          <w:szCs w:val="22"/>
          <w:lang w:val="en-GB" w:eastAsia="zh-TW"/>
        </w:rPr>
        <w:t>White Paper will undergo a final review and adoption so it can be the intended EC-PHORS reference document for service requirements.  Planning should commence for a workshop to finalize the white paper in the first quarter of 2016.</w:t>
      </w:r>
      <w:r>
        <w:rPr>
          <w:rFonts w:ascii="Arial" w:eastAsia="Times New Roman" w:hAnsi="Arial" w:cs="Arial"/>
          <w:sz w:val="22"/>
          <w:szCs w:val="22"/>
          <w:lang w:val="en-GB" w:eastAsia="zh-TW"/>
        </w:rPr>
        <w:t xml:space="preserve"> The Group is invited to propose a mechanism for a CBS review of the White paper.</w:t>
      </w:r>
    </w:p>
    <w:p w:rsidR="0016346C" w:rsidRDefault="00384BDA" w:rsidP="00A94F31">
      <w:pPr>
        <w:pStyle w:val="WMOBodyText"/>
      </w:pPr>
      <w:r w:rsidRPr="00384BDA">
        <w:rPr>
          <w:u w:val="single"/>
        </w:rPr>
        <w:t>Action</w:t>
      </w:r>
      <w:r>
        <w:t>: The Group requested the OPAG-DPFS to undertake a CBS review of the Services White Paper.</w:t>
      </w:r>
    </w:p>
    <w:p w:rsidR="00A94F31" w:rsidRDefault="00A94F31" w:rsidP="00A94F31">
      <w:pPr>
        <w:pStyle w:val="WMOBodyText"/>
      </w:pPr>
      <w:r>
        <w:t>Regarding PHORS related activities of the OPAG-DPFS, the Group noted the following developments:</w:t>
      </w:r>
      <w:bookmarkStart w:id="4" w:name="_GoBack"/>
      <w:bookmarkEnd w:id="4"/>
    </w:p>
    <w:p w:rsidR="00A94F31" w:rsidRPr="00A94F31" w:rsidRDefault="00A94F31" w:rsidP="00A94F31">
      <w:pPr>
        <w:pStyle w:val="WMOBodyText"/>
      </w:pPr>
    </w:p>
    <w:p w:rsidR="0016346C" w:rsidRPr="00A94F31" w:rsidRDefault="0016346C" w:rsidP="00A94F31">
      <w:pPr>
        <w:pStyle w:val="ListParagraph"/>
        <w:numPr>
          <w:ilvl w:val="0"/>
          <w:numId w:val="47"/>
        </w:numPr>
        <w:spacing w:after="240"/>
        <w:jc w:val="both"/>
        <w:rPr>
          <w:rFonts w:ascii="Arial" w:eastAsia="Times New Roman" w:hAnsi="Arial" w:cs="Arial"/>
          <w:sz w:val="22"/>
          <w:szCs w:val="22"/>
          <w:lang w:val="en-GB" w:eastAsia="zh-TW"/>
        </w:rPr>
      </w:pPr>
      <w:r w:rsidRPr="00A94F31">
        <w:rPr>
          <w:rFonts w:ascii="Arial" w:eastAsia="Times New Roman" w:hAnsi="Arial" w:cs="Arial"/>
          <w:sz w:val="22"/>
          <w:szCs w:val="22"/>
          <w:lang w:val="en-GB" w:eastAsia="zh-TW"/>
        </w:rPr>
        <w:t xml:space="preserve">The ICT-DPFS recalled that CBS-15 recommended that the revised Manual on the GDPFS continue to be organized in such a way that it should allow the future incorporation of, and accommodate, technical aspects that may arise from the GIPPS initiative.  </w:t>
      </w:r>
    </w:p>
    <w:p w:rsidR="0016346C" w:rsidRPr="00A94F31" w:rsidRDefault="0016346C" w:rsidP="00A94F31">
      <w:pPr>
        <w:pStyle w:val="ListParagraph"/>
        <w:spacing w:after="240"/>
        <w:jc w:val="both"/>
        <w:rPr>
          <w:rFonts w:ascii="Arial" w:eastAsia="Times New Roman" w:hAnsi="Arial" w:cs="Arial"/>
          <w:sz w:val="22"/>
          <w:szCs w:val="22"/>
          <w:lang w:val="en-GB" w:eastAsia="zh-TW"/>
        </w:rPr>
      </w:pPr>
    </w:p>
    <w:p w:rsidR="0016346C" w:rsidRPr="00A94F31" w:rsidRDefault="0016346C" w:rsidP="00A94F31">
      <w:pPr>
        <w:pStyle w:val="ListParagraph"/>
        <w:numPr>
          <w:ilvl w:val="0"/>
          <w:numId w:val="47"/>
        </w:numPr>
        <w:spacing w:after="240"/>
        <w:jc w:val="both"/>
        <w:rPr>
          <w:rFonts w:ascii="Arial" w:eastAsia="Times New Roman" w:hAnsi="Arial" w:cs="Arial"/>
          <w:sz w:val="22"/>
          <w:szCs w:val="22"/>
          <w:lang w:val="en-GB" w:eastAsia="zh-TW"/>
        </w:rPr>
      </w:pPr>
      <w:r w:rsidRPr="00A94F31">
        <w:rPr>
          <w:rFonts w:ascii="Arial" w:eastAsia="Times New Roman" w:hAnsi="Arial" w:cs="Arial"/>
          <w:sz w:val="22"/>
          <w:szCs w:val="22"/>
          <w:lang w:val="en-GB" w:eastAsia="zh-TW"/>
        </w:rPr>
        <w:t>The ICT-DPFS noted that the mission statement of the World Weather Research Programme (WWRP) Polar Prediction Project (one component of GIPPS) was to promote cooperative international research enabling development of improved weather and environmental prediction services for the Polar Regions, on time scales from hourly to seasonal, as described in the Implementation Plan, which is available on the WMO web site</w:t>
      </w:r>
      <w:r w:rsidR="00A94F31">
        <w:rPr>
          <w:rStyle w:val="FootnoteReference"/>
          <w:rFonts w:ascii="Arial" w:eastAsia="Times New Roman" w:hAnsi="Arial" w:cs="Arial"/>
          <w:sz w:val="22"/>
          <w:szCs w:val="22"/>
          <w:lang w:val="en-GB" w:eastAsia="zh-TW"/>
        </w:rPr>
        <w:footnoteReference w:id="3"/>
      </w:r>
      <w:r w:rsidRPr="00A94F31">
        <w:rPr>
          <w:rFonts w:ascii="Arial" w:eastAsia="Times New Roman" w:hAnsi="Arial" w:cs="Arial"/>
          <w:sz w:val="22"/>
          <w:szCs w:val="22"/>
          <w:lang w:val="en-GB" w:eastAsia="zh-TW"/>
        </w:rPr>
        <w:t xml:space="preserve">.  The ICT-DPFS noted that the Year of Polar Prediction (YOPP) is one of the key activities of the Project, planned up to 2017-2018, as the intensive observational and modelling period to advance polar prediction capabilities. This would be augmented by research into forecast-stakeholder interaction, verification and a strong educational component.  </w:t>
      </w:r>
    </w:p>
    <w:p w:rsidR="0016346C" w:rsidRPr="00A94F31" w:rsidRDefault="0016346C" w:rsidP="00A94F31">
      <w:pPr>
        <w:pStyle w:val="ListParagraph"/>
        <w:spacing w:after="240"/>
        <w:jc w:val="both"/>
        <w:rPr>
          <w:rFonts w:ascii="Arial" w:eastAsia="Times New Roman" w:hAnsi="Arial" w:cs="Arial"/>
          <w:sz w:val="22"/>
          <w:szCs w:val="22"/>
          <w:lang w:val="en-GB" w:eastAsia="zh-TW"/>
        </w:rPr>
      </w:pPr>
    </w:p>
    <w:p w:rsidR="0016346C" w:rsidRPr="00A94F31" w:rsidRDefault="0016346C" w:rsidP="00A94F31">
      <w:pPr>
        <w:pStyle w:val="ListParagraph"/>
        <w:numPr>
          <w:ilvl w:val="0"/>
          <w:numId w:val="47"/>
        </w:numPr>
        <w:spacing w:after="240"/>
        <w:jc w:val="both"/>
        <w:rPr>
          <w:rFonts w:ascii="Arial" w:eastAsia="Times New Roman" w:hAnsi="Arial" w:cs="Arial"/>
          <w:sz w:val="22"/>
          <w:szCs w:val="22"/>
          <w:lang w:val="en-GB" w:eastAsia="zh-TW"/>
        </w:rPr>
      </w:pPr>
      <w:r w:rsidRPr="00A94F31">
        <w:rPr>
          <w:rFonts w:ascii="Arial" w:eastAsia="Times New Roman" w:hAnsi="Arial" w:cs="Arial"/>
          <w:sz w:val="22"/>
          <w:szCs w:val="22"/>
          <w:lang w:val="en-GB" w:eastAsia="zh-TW"/>
        </w:rPr>
        <w:t xml:space="preserve">The ICT-DPFS noted that the World Climate Research Project (WCRP) addresses the medium-term (from seasons to decades) and longer-term (centuries) time-scales of GIPPS. The medium-term contributions to GIPPS would be achieved by improving predictive skill of corresponding climate predictions and projections due to better understanding of factors determining predictability of polar climate and their exploitation and representation in observations, data assimilation and models. This is the main objective of the WCRP Polar Climate Predictability Initiative (PCPI), which is a sister project of the WWRP PPP. The practical outcomes of PCPI would be implemented via recommended improvement of operational practices at GDPFS centres and through a variety of improvements in models of scientific groups generating climate model runs for such WCRP projects as CHFP (Climate system Historical Forecast Project, seasonal scale), CMIP5 (Coupled Model Inter-comparison Project, Phase 5, decadal and centennial scale), and CORDEX (Coordinated Regional Downscaling Experiment). The scope of the longer-term component of GIPPS relates to factors associated with climate change in Polar Regions and the regional sea-level rise. </w:t>
      </w:r>
    </w:p>
    <w:p w:rsidR="0016346C" w:rsidRPr="00A94F31" w:rsidRDefault="0016346C" w:rsidP="00A94F31">
      <w:pPr>
        <w:pStyle w:val="ListParagraph"/>
        <w:spacing w:after="240"/>
        <w:jc w:val="both"/>
        <w:rPr>
          <w:rFonts w:ascii="Arial" w:eastAsia="Times New Roman" w:hAnsi="Arial" w:cs="Arial"/>
          <w:sz w:val="22"/>
          <w:szCs w:val="22"/>
          <w:lang w:val="en-GB" w:eastAsia="zh-TW"/>
        </w:rPr>
      </w:pPr>
    </w:p>
    <w:p w:rsidR="0016346C" w:rsidRPr="00A94F31" w:rsidRDefault="0016346C" w:rsidP="00A94F31">
      <w:pPr>
        <w:pStyle w:val="ListParagraph"/>
        <w:numPr>
          <w:ilvl w:val="0"/>
          <w:numId w:val="47"/>
        </w:numPr>
        <w:spacing w:after="240"/>
        <w:jc w:val="both"/>
        <w:rPr>
          <w:rFonts w:ascii="Arial" w:eastAsia="Times New Roman" w:hAnsi="Arial" w:cs="Arial"/>
          <w:sz w:val="22"/>
          <w:szCs w:val="22"/>
          <w:lang w:val="en-GB" w:eastAsia="zh-TW"/>
        </w:rPr>
      </w:pPr>
      <w:r w:rsidRPr="00A94F31">
        <w:rPr>
          <w:rFonts w:ascii="Arial" w:eastAsia="Times New Roman" w:hAnsi="Arial" w:cs="Arial"/>
          <w:sz w:val="22"/>
          <w:szCs w:val="22"/>
          <w:lang w:val="en-GB" w:eastAsia="zh-TW"/>
        </w:rPr>
        <w:t>The ICT-DPFS noted that the Executive Council Panel of Experts on Polar Observations, Research and Services (EC-PORS) carried out a survey to assess service requirements. It recommended that communication between science communities and operational services should be established since early stages of the GIPPS development. This would guide the research, and facilitate a smooth transfer of research achievements into operational practices.  In this context, the ICT-DPFS recommended CBS/DPFS involvement in GIPPS developments by nominating a representative of the Commission to participate in relevant meetings. The ICT-DPFS requested the Chair of the ET-OWFPS, Mr David Richardson (ECMWF), with the Secretariat for DPFS to follow up this issue.</w:t>
      </w:r>
    </w:p>
    <w:p w:rsidR="0016346C" w:rsidRPr="00A94F31" w:rsidRDefault="0016346C" w:rsidP="00A94F31">
      <w:pPr>
        <w:pStyle w:val="ListParagraph"/>
        <w:spacing w:after="240"/>
        <w:jc w:val="both"/>
        <w:rPr>
          <w:rFonts w:ascii="Arial" w:eastAsia="Times New Roman" w:hAnsi="Arial" w:cs="Arial"/>
          <w:sz w:val="22"/>
          <w:szCs w:val="22"/>
          <w:lang w:val="en-GB" w:eastAsia="zh-TW"/>
        </w:rPr>
      </w:pPr>
    </w:p>
    <w:p w:rsidR="0016346C" w:rsidRPr="00A94F31" w:rsidRDefault="0016346C" w:rsidP="00A94F31">
      <w:pPr>
        <w:pStyle w:val="ListParagraph"/>
        <w:numPr>
          <w:ilvl w:val="0"/>
          <w:numId w:val="47"/>
        </w:numPr>
        <w:spacing w:after="240"/>
        <w:jc w:val="both"/>
        <w:rPr>
          <w:rFonts w:ascii="Arial" w:eastAsia="Times New Roman" w:hAnsi="Arial" w:cs="Arial"/>
          <w:sz w:val="22"/>
          <w:szCs w:val="22"/>
          <w:lang w:val="en-GB" w:eastAsia="zh-TW"/>
        </w:rPr>
      </w:pPr>
      <w:r w:rsidRPr="00A94F31">
        <w:rPr>
          <w:rFonts w:ascii="Arial" w:eastAsia="Times New Roman" w:hAnsi="Arial" w:cs="Arial"/>
          <w:sz w:val="22"/>
          <w:szCs w:val="22"/>
          <w:lang w:val="en-GB" w:eastAsia="zh-TW"/>
        </w:rPr>
        <w:t xml:space="preserve">In this context, and considering the conclusions of the first World Weather Open Science Conference (WWOSC-2014, Montreal, Canada, August 2014), Cg-17 (2015) recognized that a seamless system spans multiple dimensions including: (a) timescales; (b) multi-hazard forecasts; and (c) supporting applications, including the use and propagation of NWP/EPS into high-impact weather forecasting and hazard risk management. Cg-17 noted that with technological advances, new areas of research addressing these dimensions will require transition to operations, including the PPP results.  </w:t>
      </w:r>
    </w:p>
    <w:p w:rsidR="0016346C" w:rsidRPr="00A94F31" w:rsidRDefault="0016346C" w:rsidP="00A94F31">
      <w:pPr>
        <w:pStyle w:val="ListParagraph"/>
        <w:spacing w:after="240"/>
        <w:jc w:val="both"/>
        <w:rPr>
          <w:rFonts w:ascii="Arial" w:eastAsia="Times New Roman" w:hAnsi="Arial" w:cs="Arial"/>
          <w:sz w:val="22"/>
          <w:szCs w:val="22"/>
          <w:lang w:val="en-GB" w:eastAsia="zh-TW"/>
        </w:rPr>
      </w:pPr>
    </w:p>
    <w:p w:rsidR="0016346C" w:rsidRPr="00A94F31" w:rsidRDefault="0016346C" w:rsidP="00A94F31">
      <w:pPr>
        <w:pStyle w:val="ListParagraph"/>
        <w:numPr>
          <w:ilvl w:val="0"/>
          <w:numId w:val="47"/>
        </w:numPr>
        <w:spacing w:after="240"/>
        <w:jc w:val="both"/>
        <w:rPr>
          <w:rFonts w:ascii="Arial" w:eastAsia="Times New Roman" w:hAnsi="Arial" w:cs="Arial"/>
          <w:sz w:val="22"/>
          <w:szCs w:val="22"/>
          <w:lang w:val="en-GB" w:eastAsia="zh-TW"/>
        </w:rPr>
      </w:pPr>
      <w:r w:rsidRPr="00A94F31">
        <w:rPr>
          <w:rFonts w:ascii="Arial" w:eastAsia="Times New Roman" w:hAnsi="Arial" w:cs="Arial"/>
          <w:sz w:val="22"/>
          <w:szCs w:val="22"/>
          <w:lang w:val="en-GB" w:eastAsia="zh-TW"/>
        </w:rPr>
        <w:t xml:space="preserve">Noting that the Global Data-processing and Forecasting System (GDPFS) is at the heart of the WMO operational system, and in order to support adequately such initiatives, the GDPFS is evolving, so that it can respond efficiently to current and emerging needs, and user’s requirements.  Cg-17 therefore agreed to initiate a process for the gradual establishment of a future enhanced integrated and seamless WMO Data-processing and Forecasting System, and adopted Resolution 11 (Cg-17) – Towards a future enhanced </w:t>
      </w:r>
      <w:r w:rsidRPr="00A94F31">
        <w:rPr>
          <w:rFonts w:ascii="Arial" w:eastAsia="Times New Roman" w:hAnsi="Arial" w:cs="Arial"/>
          <w:sz w:val="22"/>
          <w:szCs w:val="22"/>
          <w:lang w:val="en-GB" w:eastAsia="zh-TW"/>
        </w:rPr>
        <w:lastRenderedPageBreak/>
        <w:t>integrated and seamless WMO Data-processing and Forecasting System.  A meeting of Experts representing all Technical Commissions and WMO programmes will be held in Geneva, from 10 to 12 February 2016 to discuss a path forward. Expected outcomes include review of requirements and the DPFS activities carried out by the various Technical Commissions and WMO programmes; and the development of a Roadmap and a Plan for a White Paper, which will be presented to EC-68 for consideration.</w:t>
      </w:r>
    </w:p>
    <w:p w:rsidR="0016346C" w:rsidRPr="00A94F31" w:rsidRDefault="0016346C" w:rsidP="00A94F31">
      <w:pPr>
        <w:pStyle w:val="ListParagraph"/>
        <w:spacing w:after="240"/>
        <w:jc w:val="both"/>
        <w:rPr>
          <w:rFonts w:ascii="Arial" w:eastAsia="Times New Roman" w:hAnsi="Arial" w:cs="Arial"/>
          <w:sz w:val="22"/>
          <w:szCs w:val="22"/>
          <w:lang w:val="en-GB" w:eastAsia="zh-TW"/>
        </w:rPr>
      </w:pPr>
    </w:p>
    <w:p w:rsidR="0016346C" w:rsidRPr="00A94F31" w:rsidRDefault="0016346C" w:rsidP="00A94F31">
      <w:pPr>
        <w:pStyle w:val="ListParagraph"/>
        <w:numPr>
          <w:ilvl w:val="0"/>
          <w:numId w:val="47"/>
        </w:numPr>
        <w:spacing w:after="240"/>
        <w:jc w:val="both"/>
        <w:rPr>
          <w:rFonts w:ascii="Arial" w:eastAsia="Times New Roman" w:hAnsi="Arial" w:cs="Arial"/>
          <w:sz w:val="22"/>
          <w:szCs w:val="22"/>
          <w:lang w:val="en-GB" w:eastAsia="zh-TW"/>
        </w:rPr>
      </w:pPr>
      <w:r w:rsidRPr="00A94F31">
        <w:rPr>
          <w:rFonts w:ascii="Arial" w:eastAsia="Times New Roman" w:hAnsi="Arial" w:cs="Arial"/>
          <w:sz w:val="22"/>
          <w:szCs w:val="22"/>
          <w:lang w:val="en-GB" w:eastAsia="zh-TW"/>
        </w:rPr>
        <w:t>In addition, the ICT-DPFS recalled that Resolution 6 (Cg-16) decided that “Volume II of the Manual on the GDPFS (Regional Aspects), which has no regulatory status for Members, should be reviewed and the relevant parts (e.g. the Antarctica), including a list of products and the possibility of designating one or more Regional Specialized Meteorological Centres (RSMCs) for Polar Regions, should be incorporated into the revised Manual". Noting that Volume II is out-of-date, the ICT-DPFS sought advice on what is required to be retained. The ICT-DPFS requested the acting Chair of the Task Team on the Revision of the Manual, Mr Yuki Honda (Japan), to follow up on this issue.</w:t>
      </w:r>
    </w:p>
    <w:p w:rsidR="00384BDA" w:rsidRPr="00384BDA" w:rsidRDefault="00384BDA" w:rsidP="00384BDA">
      <w:pPr>
        <w:pStyle w:val="WMOSubTitle1"/>
      </w:pPr>
      <w:r w:rsidRPr="00384BDA">
        <w:t xml:space="preserve">Research </w:t>
      </w:r>
    </w:p>
    <w:p w:rsidR="00384BDA" w:rsidRDefault="00384BDA" w:rsidP="00384BDA">
      <w:pPr>
        <w:pStyle w:val="WMOBodyText"/>
      </w:pPr>
      <w:r>
        <w:t>Regarding the Research framework under EC-PHORS, the Group noted the following recent developments:</w:t>
      </w:r>
    </w:p>
    <w:p w:rsidR="00384BDA" w:rsidRDefault="00384BDA" w:rsidP="00384BDA">
      <w:pPr>
        <w:pStyle w:val="ListParagraph"/>
        <w:spacing w:after="240"/>
        <w:jc w:val="both"/>
        <w:rPr>
          <w:rFonts w:ascii="Arial" w:eastAsia="Times New Roman" w:hAnsi="Arial" w:cs="Arial"/>
          <w:sz w:val="22"/>
          <w:szCs w:val="22"/>
          <w:lang w:val="en-GB" w:eastAsia="zh-TW"/>
        </w:rPr>
      </w:pPr>
    </w:p>
    <w:p w:rsidR="00384BDA" w:rsidRPr="0085213A" w:rsidRDefault="00384BDA" w:rsidP="00384BDA">
      <w:pPr>
        <w:pStyle w:val="ListParagraph"/>
        <w:numPr>
          <w:ilvl w:val="0"/>
          <w:numId w:val="43"/>
        </w:numPr>
        <w:spacing w:after="240"/>
        <w:jc w:val="both"/>
        <w:rPr>
          <w:rFonts w:ascii="Arial" w:eastAsia="Times New Roman" w:hAnsi="Arial" w:cs="Arial"/>
          <w:sz w:val="22"/>
          <w:szCs w:val="22"/>
          <w:lang w:val="en-GB" w:eastAsia="zh-TW"/>
        </w:rPr>
      </w:pPr>
      <w:r w:rsidRPr="0085213A">
        <w:rPr>
          <w:rFonts w:ascii="Arial" w:eastAsia="Times New Roman" w:hAnsi="Arial" w:cs="Arial"/>
          <w:sz w:val="22"/>
          <w:szCs w:val="22"/>
          <w:lang w:val="en-GB" w:eastAsia="zh-TW"/>
        </w:rPr>
        <w:t>The Polar Climate Predictability Initiative (PCPI</w:t>
      </w:r>
      <w:r w:rsidRPr="0085213A">
        <w:rPr>
          <w:rFonts w:ascii="Arial" w:eastAsia="Times New Roman" w:hAnsi="Arial" w:cs="Arial"/>
          <w:sz w:val="22"/>
          <w:szCs w:val="22"/>
          <w:vertAlign w:val="superscript"/>
          <w:lang w:val="en-GB" w:eastAsia="zh-TW"/>
        </w:rPr>
        <w:footnoteReference w:id="4"/>
      </w:r>
      <w:r w:rsidRPr="0085213A">
        <w:rPr>
          <w:rFonts w:ascii="Arial" w:eastAsia="Times New Roman" w:hAnsi="Arial" w:cs="Arial"/>
          <w:sz w:val="22"/>
          <w:szCs w:val="22"/>
          <w:lang w:val="en-GB" w:eastAsia="zh-TW"/>
        </w:rPr>
        <w:t xml:space="preserve">) is an initiative of the World Climate Research Programme (WCRP), whose goal is to improve the understanding of the predictability of climate and the effect of human activities on climate. The PCPI has a focus on </w:t>
      </w:r>
      <w:proofErr w:type="gramStart"/>
      <w:r w:rsidRPr="0085213A">
        <w:rPr>
          <w:rFonts w:ascii="Arial" w:eastAsia="Times New Roman" w:hAnsi="Arial" w:cs="Arial"/>
          <w:sz w:val="22"/>
          <w:szCs w:val="22"/>
          <w:lang w:val="en-GB" w:eastAsia="zh-TW"/>
        </w:rPr>
        <w:t>polar regions</w:t>
      </w:r>
      <w:proofErr w:type="gramEnd"/>
      <w:r w:rsidRPr="0085213A">
        <w:rPr>
          <w:rFonts w:ascii="Arial" w:eastAsia="Times New Roman" w:hAnsi="Arial" w:cs="Arial"/>
          <w:sz w:val="22"/>
          <w:szCs w:val="22"/>
          <w:lang w:val="en-GB" w:eastAsia="zh-TW"/>
        </w:rPr>
        <w:t xml:space="preserve"> and their role in the global climate system, and aims to improve predictability of the climate system on all time scales by improving our understanding of the underlying physical mechanisms and their representation in climate models.</w:t>
      </w:r>
    </w:p>
    <w:p w:rsidR="00384BDA" w:rsidRPr="0085213A" w:rsidRDefault="00384BDA" w:rsidP="00384BDA">
      <w:pPr>
        <w:pStyle w:val="ListParagraph"/>
        <w:numPr>
          <w:ilvl w:val="0"/>
          <w:numId w:val="43"/>
        </w:numPr>
        <w:spacing w:after="240"/>
        <w:jc w:val="both"/>
        <w:rPr>
          <w:rFonts w:ascii="Arial" w:eastAsia="Times New Roman" w:hAnsi="Arial" w:cs="Arial"/>
          <w:sz w:val="22"/>
          <w:szCs w:val="22"/>
          <w:lang w:val="en-GB" w:eastAsia="zh-TW"/>
        </w:rPr>
      </w:pPr>
      <w:r w:rsidRPr="0085213A">
        <w:rPr>
          <w:rFonts w:ascii="Arial" w:eastAsia="Times New Roman" w:hAnsi="Arial" w:cs="Arial"/>
          <w:sz w:val="22"/>
          <w:szCs w:val="22"/>
          <w:lang w:val="en-GB" w:eastAsia="zh-TW"/>
        </w:rPr>
        <w:t>The WCRP project Climate and Cryosphere (</w:t>
      </w:r>
      <w:proofErr w:type="spellStart"/>
      <w:r w:rsidRPr="0085213A">
        <w:rPr>
          <w:rFonts w:ascii="Arial" w:eastAsia="Times New Roman" w:hAnsi="Arial" w:cs="Arial"/>
          <w:sz w:val="22"/>
          <w:szCs w:val="22"/>
          <w:lang w:val="en-GB" w:eastAsia="zh-TW"/>
        </w:rPr>
        <w:t>CliC</w:t>
      </w:r>
      <w:proofErr w:type="spellEnd"/>
      <w:r w:rsidRPr="0085213A">
        <w:rPr>
          <w:rFonts w:ascii="Arial" w:eastAsia="Times New Roman" w:hAnsi="Arial" w:cs="Arial"/>
          <w:sz w:val="22"/>
          <w:szCs w:val="22"/>
          <w:vertAlign w:val="superscript"/>
          <w:lang w:val="en-GB" w:eastAsia="zh-TW"/>
        </w:rPr>
        <w:footnoteReference w:id="5"/>
      </w:r>
      <w:r w:rsidRPr="0085213A">
        <w:rPr>
          <w:rFonts w:ascii="Arial" w:eastAsia="Times New Roman" w:hAnsi="Arial" w:cs="Arial"/>
          <w:sz w:val="22"/>
          <w:szCs w:val="22"/>
          <w:lang w:val="en-GB" w:eastAsia="zh-TW"/>
        </w:rPr>
        <w:t xml:space="preserve">) also has several activities relevant to polar and high mountain activities, including various Model Inter-comparison Projects including the Marine Ice Sheet-Ocean Model </w:t>
      </w:r>
      <w:proofErr w:type="spellStart"/>
      <w:r w:rsidRPr="0085213A">
        <w:rPr>
          <w:rFonts w:ascii="Arial" w:eastAsia="Times New Roman" w:hAnsi="Arial" w:cs="Arial"/>
          <w:sz w:val="22"/>
          <w:szCs w:val="22"/>
          <w:lang w:val="en-GB" w:eastAsia="zh-TW"/>
        </w:rPr>
        <w:t>Intercomparison</w:t>
      </w:r>
      <w:proofErr w:type="spellEnd"/>
      <w:r w:rsidRPr="0085213A">
        <w:rPr>
          <w:rFonts w:ascii="Arial" w:eastAsia="Times New Roman" w:hAnsi="Arial" w:cs="Arial"/>
          <w:sz w:val="22"/>
          <w:szCs w:val="22"/>
          <w:lang w:val="en-GB" w:eastAsia="zh-TW"/>
        </w:rPr>
        <w:t xml:space="preserve"> Project (MISOMIP), the Earth System Model-Snow Model </w:t>
      </w:r>
      <w:proofErr w:type="spellStart"/>
      <w:r w:rsidRPr="0085213A">
        <w:rPr>
          <w:rFonts w:ascii="Arial" w:eastAsia="Times New Roman" w:hAnsi="Arial" w:cs="Arial"/>
          <w:sz w:val="22"/>
          <w:szCs w:val="22"/>
          <w:lang w:val="en-GB" w:eastAsia="zh-TW"/>
        </w:rPr>
        <w:t>Intercomparison</w:t>
      </w:r>
      <w:proofErr w:type="spellEnd"/>
      <w:r w:rsidRPr="0085213A">
        <w:rPr>
          <w:rFonts w:ascii="Arial" w:eastAsia="Times New Roman" w:hAnsi="Arial" w:cs="Arial"/>
          <w:sz w:val="22"/>
          <w:szCs w:val="22"/>
          <w:lang w:val="en-GB" w:eastAsia="zh-TW"/>
        </w:rPr>
        <w:t xml:space="preserve"> (ESM-</w:t>
      </w:r>
      <w:proofErr w:type="spellStart"/>
      <w:r w:rsidRPr="0085213A">
        <w:rPr>
          <w:rFonts w:ascii="Arial" w:eastAsia="Times New Roman" w:hAnsi="Arial" w:cs="Arial"/>
          <w:sz w:val="22"/>
          <w:szCs w:val="22"/>
          <w:lang w:val="en-GB" w:eastAsia="zh-TW"/>
        </w:rPr>
        <w:t>SnowMIP</w:t>
      </w:r>
      <w:proofErr w:type="spellEnd"/>
      <w:r w:rsidRPr="0085213A">
        <w:rPr>
          <w:rFonts w:ascii="Arial" w:eastAsia="Times New Roman" w:hAnsi="Arial" w:cs="Arial"/>
          <w:sz w:val="22"/>
          <w:szCs w:val="22"/>
          <w:lang w:val="en-GB" w:eastAsia="zh-TW"/>
        </w:rPr>
        <w:t xml:space="preserve">), the Ice Sheet Model </w:t>
      </w:r>
      <w:proofErr w:type="spellStart"/>
      <w:r w:rsidRPr="0085213A">
        <w:rPr>
          <w:rFonts w:ascii="Arial" w:eastAsia="Times New Roman" w:hAnsi="Arial" w:cs="Arial"/>
          <w:sz w:val="22"/>
          <w:szCs w:val="22"/>
          <w:lang w:val="en-GB" w:eastAsia="zh-TW"/>
        </w:rPr>
        <w:t>Intercomparison</w:t>
      </w:r>
      <w:proofErr w:type="spellEnd"/>
      <w:r w:rsidRPr="0085213A">
        <w:rPr>
          <w:rFonts w:ascii="Arial" w:eastAsia="Times New Roman" w:hAnsi="Arial" w:cs="Arial"/>
          <w:sz w:val="22"/>
          <w:szCs w:val="22"/>
          <w:lang w:val="en-GB" w:eastAsia="zh-TW"/>
        </w:rPr>
        <w:t xml:space="preserve"> Project 6 (ISMIP6) and Glacier Model </w:t>
      </w:r>
      <w:proofErr w:type="spellStart"/>
      <w:r w:rsidRPr="0085213A">
        <w:rPr>
          <w:rFonts w:ascii="Arial" w:eastAsia="Times New Roman" w:hAnsi="Arial" w:cs="Arial"/>
          <w:sz w:val="22"/>
          <w:szCs w:val="22"/>
          <w:lang w:val="en-GB" w:eastAsia="zh-TW"/>
        </w:rPr>
        <w:t>Interccomparison</w:t>
      </w:r>
      <w:proofErr w:type="spellEnd"/>
      <w:r w:rsidRPr="0085213A">
        <w:rPr>
          <w:rFonts w:ascii="Arial" w:eastAsia="Times New Roman" w:hAnsi="Arial" w:cs="Arial"/>
          <w:sz w:val="22"/>
          <w:szCs w:val="22"/>
          <w:lang w:val="en-GB" w:eastAsia="zh-TW"/>
        </w:rPr>
        <w:t xml:space="preserve"> Project (</w:t>
      </w:r>
      <w:proofErr w:type="spellStart"/>
      <w:r w:rsidRPr="0085213A">
        <w:rPr>
          <w:rFonts w:ascii="Arial" w:eastAsia="Times New Roman" w:hAnsi="Arial" w:cs="Arial"/>
          <w:sz w:val="22"/>
          <w:szCs w:val="22"/>
          <w:lang w:val="en-GB" w:eastAsia="zh-TW"/>
        </w:rPr>
        <w:t>GlacierMIP</w:t>
      </w:r>
      <w:proofErr w:type="spellEnd"/>
      <w:r w:rsidRPr="0085213A">
        <w:rPr>
          <w:rFonts w:ascii="Arial" w:eastAsia="Times New Roman" w:hAnsi="Arial" w:cs="Arial"/>
          <w:sz w:val="22"/>
          <w:szCs w:val="22"/>
          <w:lang w:val="en-GB" w:eastAsia="zh-TW"/>
        </w:rPr>
        <w:t xml:space="preserve">) as well as other modelling activities such as Polar CORDEX. Under </w:t>
      </w:r>
      <w:proofErr w:type="spellStart"/>
      <w:r w:rsidRPr="0085213A">
        <w:rPr>
          <w:rFonts w:ascii="Arial" w:eastAsia="Times New Roman" w:hAnsi="Arial" w:cs="Arial"/>
          <w:sz w:val="22"/>
          <w:szCs w:val="22"/>
          <w:lang w:val="en-GB" w:eastAsia="zh-TW"/>
        </w:rPr>
        <w:t>CliC</w:t>
      </w:r>
      <w:proofErr w:type="spellEnd"/>
      <w:r w:rsidRPr="0085213A">
        <w:rPr>
          <w:rFonts w:ascii="Arial" w:eastAsia="Times New Roman" w:hAnsi="Arial" w:cs="Arial"/>
          <w:sz w:val="22"/>
          <w:szCs w:val="22"/>
          <w:lang w:val="en-GB" w:eastAsia="zh-TW"/>
        </w:rPr>
        <w:t xml:space="preserve"> we also have other activities cosponsored with other organisations such as the Ice Sheet Mass Balance and Sea Level project (ISMASS</w:t>
      </w:r>
      <w:r w:rsidRPr="0085213A">
        <w:rPr>
          <w:rFonts w:ascii="Arial" w:eastAsia="Times New Roman" w:hAnsi="Arial" w:cs="Arial"/>
          <w:sz w:val="22"/>
          <w:szCs w:val="22"/>
          <w:vertAlign w:val="superscript"/>
          <w:lang w:val="en-GB" w:eastAsia="zh-TW"/>
        </w:rPr>
        <w:footnoteReference w:id="6"/>
      </w:r>
      <w:r w:rsidRPr="0085213A">
        <w:rPr>
          <w:rFonts w:ascii="Arial" w:eastAsia="Times New Roman" w:hAnsi="Arial" w:cs="Arial"/>
          <w:sz w:val="22"/>
          <w:szCs w:val="22"/>
          <w:lang w:val="en-GB" w:eastAsia="zh-TW"/>
        </w:rPr>
        <w:t>) and the Southern Ocean Observing System (SOOS</w:t>
      </w:r>
      <w:r w:rsidRPr="0085213A">
        <w:rPr>
          <w:rFonts w:ascii="Arial" w:eastAsia="Times New Roman" w:hAnsi="Arial" w:cs="Arial"/>
          <w:sz w:val="22"/>
          <w:szCs w:val="22"/>
          <w:vertAlign w:val="superscript"/>
          <w:lang w:val="en-GB" w:eastAsia="zh-TW"/>
        </w:rPr>
        <w:footnoteReference w:id="7"/>
      </w:r>
      <w:r w:rsidRPr="0085213A">
        <w:rPr>
          <w:rFonts w:ascii="Arial" w:eastAsia="Times New Roman" w:hAnsi="Arial" w:cs="Arial"/>
          <w:sz w:val="22"/>
          <w:szCs w:val="22"/>
          <w:lang w:val="en-GB" w:eastAsia="zh-TW"/>
        </w:rPr>
        <w:t xml:space="preserve">). See the </w:t>
      </w:r>
      <w:proofErr w:type="spellStart"/>
      <w:r w:rsidRPr="0085213A">
        <w:rPr>
          <w:rFonts w:ascii="Arial" w:eastAsia="Times New Roman" w:hAnsi="Arial" w:cs="Arial"/>
          <w:sz w:val="22"/>
          <w:szCs w:val="22"/>
          <w:lang w:val="en-GB" w:eastAsia="zh-TW"/>
        </w:rPr>
        <w:t>CliC</w:t>
      </w:r>
      <w:proofErr w:type="spellEnd"/>
      <w:r w:rsidRPr="0085213A">
        <w:rPr>
          <w:rFonts w:ascii="Arial" w:eastAsia="Times New Roman" w:hAnsi="Arial" w:cs="Arial"/>
          <w:sz w:val="22"/>
          <w:szCs w:val="22"/>
          <w:lang w:val="en-GB" w:eastAsia="zh-TW"/>
        </w:rPr>
        <w:t xml:space="preserve"> website for further details and additional activities.</w:t>
      </w:r>
    </w:p>
    <w:p w:rsidR="00384BDA" w:rsidRPr="0085213A" w:rsidRDefault="00384BDA" w:rsidP="00384BDA">
      <w:pPr>
        <w:pStyle w:val="ListParagraph"/>
        <w:numPr>
          <w:ilvl w:val="0"/>
          <w:numId w:val="43"/>
        </w:numPr>
        <w:spacing w:after="240"/>
        <w:jc w:val="both"/>
        <w:rPr>
          <w:rFonts w:ascii="Arial" w:eastAsia="Times New Roman" w:hAnsi="Arial" w:cs="Arial"/>
          <w:sz w:val="22"/>
          <w:szCs w:val="22"/>
          <w:lang w:val="en-GB" w:eastAsia="zh-TW"/>
        </w:rPr>
      </w:pPr>
      <w:r w:rsidRPr="0085213A">
        <w:rPr>
          <w:rFonts w:ascii="Arial" w:eastAsia="Times New Roman" w:hAnsi="Arial" w:cs="Arial"/>
          <w:sz w:val="22"/>
          <w:szCs w:val="22"/>
          <w:lang w:val="en-GB" w:eastAsia="zh-TW"/>
        </w:rPr>
        <w:t>WCRP also has a Grand Challenge on Melting Ice and Global Consequences</w:t>
      </w:r>
      <w:r w:rsidRPr="0085213A">
        <w:rPr>
          <w:rFonts w:ascii="Arial" w:eastAsia="Times New Roman" w:hAnsi="Arial" w:cs="Arial"/>
          <w:sz w:val="22"/>
          <w:szCs w:val="22"/>
          <w:vertAlign w:val="superscript"/>
          <w:lang w:val="en-GB" w:eastAsia="zh-TW"/>
        </w:rPr>
        <w:footnoteReference w:id="8"/>
      </w:r>
      <w:r w:rsidRPr="0085213A">
        <w:rPr>
          <w:rFonts w:ascii="Arial" w:eastAsia="Times New Roman" w:hAnsi="Arial" w:cs="Arial"/>
          <w:sz w:val="22"/>
          <w:szCs w:val="22"/>
          <w:lang w:val="en-GB" w:eastAsia="zh-TW"/>
        </w:rPr>
        <w:t xml:space="preserve">  which has the overall aim to consolidate historical observations from a range of sources, and focus effort on better representing the shrinking cryosphere in climate models used to make quantitative projections that underpin the IPCC Assessment Report.</w:t>
      </w:r>
    </w:p>
    <w:p w:rsidR="004B30F4" w:rsidRPr="004B30F4" w:rsidRDefault="00384BDA" w:rsidP="004B30F4">
      <w:pPr>
        <w:pStyle w:val="ListParagraph"/>
        <w:numPr>
          <w:ilvl w:val="0"/>
          <w:numId w:val="43"/>
        </w:numPr>
        <w:spacing w:after="240"/>
        <w:jc w:val="both"/>
        <w:rPr>
          <w:rFonts w:ascii="Arial" w:hAnsi="Arial" w:cs="Arial"/>
          <w:color w:val="1A1A1A"/>
        </w:rPr>
      </w:pPr>
      <w:r w:rsidRPr="004B30F4">
        <w:rPr>
          <w:rFonts w:ascii="Arial" w:eastAsia="Times New Roman" w:hAnsi="Arial" w:cs="Arial"/>
          <w:sz w:val="22"/>
          <w:szCs w:val="22"/>
          <w:lang w:val="en-GB" w:eastAsia="zh-TW"/>
        </w:rPr>
        <w:t>WCRP, along with the Prince Albert II of Monaco Foundation and WMO as well as several other sponsors are jointly promoting a Polar Challenge</w:t>
      </w:r>
      <w:r w:rsidRPr="0085213A">
        <w:rPr>
          <w:rFonts w:ascii="Arial" w:eastAsia="Times New Roman" w:hAnsi="Arial" w:cs="Arial"/>
          <w:sz w:val="22"/>
          <w:szCs w:val="22"/>
          <w:vertAlign w:val="superscript"/>
          <w:lang w:val="en-GB" w:eastAsia="zh-TW"/>
        </w:rPr>
        <w:footnoteReference w:id="9"/>
      </w:r>
      <w:r w:rsidRPr="004B30F4">
        <w:rPr>
          <w:rFonts w:ascii="Arial" w:eastAsia="Times New Roman" w:hAnsi="Arial" w:cs="Arial"/>
          <w:sz w:val="22"/>
          <w:szCs w:val="22"/>
          <w:lang w:val="en-GB" w:eastAsia="zh-TW"/>
        </w:rPr>
        <w:t xml:space="preserve"> competition, which would reward the first team able to send an autonomous underwater vehicle for a 2000km continuous mission under-ice in the Arctic or Antarctic.</w:t>
      </w:r>
    </w:p>
    <w:p w:rsidR="004B30F4" w:rsidRPr="004B30F4" w:rsidRDefault="004B30F4" w:rsidP="004B30F4">
      <w:pPr>
        <w:pStyle w:val="ListParagraph"/>
        <w:numPr>
          <w:ilvl w:val="0"/>
          <w:numId w:val="43"/>
        </w:numPr>
        <w:spacing w:after="240"/>
        <w:jc w:val="both"/>
        <w:rPr>
          <w:rFonts w:ascii="Arial" w:eastAsia="Times New Roman" w:hAnsi="Arial" w:cs="Arial"/>
          <w:sz w:val="22"/>
          <w:szCs w:val="22"/>
          <w:lang w:val="en-GB" w:eastAsia="zh-TW"/>
        </w:rPr>
      </w:pPr>
      <w:r w:rsidRPr="004B30F4">
        <w:rPr>
          <w:rFonts w:ascii="Arial" w:eastAsia="Times New Roman" w:hAnsi="Arial" w:cs="Arial"/>
          <w:sz w:val="22"/>
          <w:szCs w:val="22"/>
          <w:lang w:val="en-GB" w:eastAsia="zh-TW"/>
        </w:rPr>
        <w:t xml:space="preserve">The Year of Polar Prediction (YOPP) is a major event in the further planning of the Polar Prediction Project (PPP). A summit has been organized by WMO in July 2015 in order to design and plan the YOPP field and modeling campaign. The main YOPP period is scheduled from mid-2017 to mid-2019. Given the relatively high costs of taking </w:t>
      </w:r>
      <w:r w:rsidRPr="004B30F4">
        <w:rPr>
          <w:rFonts w:ascii="Arial" w:eastAsia="Times New Roman" w:hAnsi="Arial" w:cs="Arial"/>
          <w:sz w:val="22"/>
          <w:szCs w:val="22"/>
          <w:lang w:val="en-GB" w:eastAsia="zh-TW"/>
        </w:rPr>
        <w:lastRenderedPageBreak/>
        <w:t xml:space="preserve">observations in </w:t>
      </w:r>
      <w:proofErr w:type="gramStart"/>
      <w:r w:rsidRPr="004B30F4">
        <w:rPr>
          <w:rFonts w:ascii="Arial" w:eastAsia="Times New Roman" w:hAnsi="Arial" w:cs="Arial"/>
          <w:sz w:val="22"/>
          <w:szCs w:val="22"/>
          <w:lang w:val="en-GB" w:eastAsia="zh-TW"/>
        </w:rPr>
        <w:t>polar regions</w:t>
      </w:r>
      <w:proofErr w:type="gramEnd"/>
      <w:r w:rsidRPr="004B30F4">
        <w:rPr>
          <w:rFonts w:ascii="Arial" w:eastAsia="Times New Roman" w:hAnsi="Arial" w:cs="Arial"/>
          <w:sz w:val="22"/>
          <w:szCs w:val="22"/>
          <w:lang w:val="en-GB" w:eastAsia="zh-TW"/>
        </w:rPr>
        <w:t xml:space="preserve">, it is necessary to agree on at least two intensive observing periods (IOPs), both for the Arctic and Antarctica. A few elements coming from the YOPP summit that require a specific involvement from global </w:t>
      </w:r>
      <w:proofErr w:type="spellStart"/>
      <w:r w:rsidRPr="004B30F4">
        <w:rPr>
          <w:rFonts w:ascii="Arial" w:eastAsia="Times New Roman" w:hAnsi="Arial" w:cs="Arial"/>
          <w:sz w:val="22"/>
          <w:szCs w:val="22"/>
          <w:lang w:val="en-GB" w:eastAsia="zh-TW"/>
        </w:rPr>
        <w:t>centers</w:t>
      </w:r>
      <w:proofErr w:type="spellEnd"/>
      <w:r w:rsidRPr="004B30F4">
        <w:rPr>
          <w:rFonts w:ascii="Arial" w:eastAsia="Times New Roman" w:hAnsi="Arial" w:cs="Arial"/>
          <w:sz w:val="22"/>
          <w:szCs w:val="22"/>
          <w:lang w:val="en-GB" w:eastAsia="zh-TW"/>
        </w:rPr>
        <w:t xml:space="preserve"> and that could be considered by CBS-16 are provided in Annex</w:t>
      </w:r>
      <w:r>
        <w:rPr>
          <w:rFonts w:ascii="Arial" w:eastAsia="Times New Roman" w:hAnsi="Arial" w:cs="Arial"/>
          <w:sz w:val="22"/>
          <w:szCs w:val="22"/>
          <w:lang w:val="en-GB" w:eastAsia="zh-TW"/>
        </w:rPr>
        <w:t xml:space="preserve"> I</w:t>
      </w:r>
      <w:r w:rsidRPr="004B30F4">
        <w:rPr>
          <w:rFonts w:ascii="Arial" w:eastAsia="Times New Roman" w:hAnsi="Arial" w:cs="Arial"/>
          <w:sz w:val="22"/>
          <w:szCs w:val="22"/>
          <w:lang w:val="en-GB" w:eastAsia="zh-TW"/>
        </w:rPr>
        <w:t>.</w:t>
      </w:r>
    </w:p>
    <w:p w:rsidR="004B30F4" w:rsidRDefault="004B30F4" w:rsidP="00384BDA">
      <w:pPr>
        <w:pStyle w:val="WMOBodyText"/>
      </w:pPr>
      <w:r w:rsidRPr="004B30F4">
        <w:rPr>
          <w:u w:val="single"/>
        </w:rPr>
        <w:t>Action</w:t>
      </w:r>
      <w:r>
        <w:t xml:space="preserve">: All OPAGs to consider the few </w:t>
      </w:r>
      <w:r>
        <w:rPr>
          <w:color w:val="1A1A1A"/>
        </w:rPr>
        <w:t xml:space="preserve">elements coming from the YOPP summit that require a specific involvement from global </w:t>
      </w:r>
      <w:proofErr w:type="spellStart"/>
      <w:r>
        <w:rPr>
          <w:color w:val="1A1A1A"/>
        </w:rPr>
        <w:t>centers</w:t>
      </w:r>
      <w:proofErr w:type="spellEnd"/>
      <w:r>
        <w:rPr>
          <w:color w:val="1A1A1A"/>
        </w:rPr>
        <w:t xml:space="preserve"> and that could be considered by CBS-16 (Annex I).</w:t>
      </w:r>
    </w:p>
    <w:p w:rsidR="00384BDA" w:rsidRDefault="00384BDA" w:rsidP="00384BDA">
      <w:pPr>
        <w:pStyle w:val="WMOSubTitle1"/>
      </w:pPr>
      <w:r w:rsidRPr="00384BDA">
        <w:t>Other EC-PHORS matters</w:t>
      </w:r>
    </w:p>
    <w:p w:rsidR="00384BDA" w:rsidRPr="00384BDA" w:rsidRDefault="00384BDA" w:rsidP="00384BDA">
      <w:pPr>
        <w:pStyle w:val="WMOBodyText"/>
        <w:rPr>
          <w:rFonts w:eastAsia="Times New Roman"/>
        </w:rPr>
      </w:pPr>
      <w:r>
        <w:t>The Group noted the following additional activities under EC-PHORS:</w:t>
      </w:r>
    </w:p>
    <w:p w:rsidR="00384BDA" w:rsidRDefault="00384BDA" w:rsidP="00384BDA">
      <w:pPr>
        <w:pStyle w:val="ListParagraph"/>
        <w:spacing w:after="240"/>
        <w:jc w:val="both"/>
        <w:rPr>
          <w:rFonts w:ascii="Arial" w:eastAsia="Times New Roman" w:hAnsi="Arial" w:cs="Arial"/>
          <w:sz w:val="22"/>
          <w:szCs w:val="22"/>
          <w:lang w:val="en-GB" w:eastAsia="zh-TW"/>
        </w:rPr>
      </w:pPr>
    </w:p>
    <w:p w:rsidR="00384BDA" w:rsidRPr="008005FA" w:rsidRDefault="00384BDA" w:rsidP="00384BDA">
      <w:pPr>
        <w:pStyle w:val="ListParagraph"/>
        <w:numPr>
          <w:ilvl w:val="0"/>
          <w:numId w:val="45"/>
        </w:numPr>
        <w:spacing w:after="240"/>
        <w:jc w:val="both"/>
        <w:rPr>
          <w:rFonts w:ascii="Arial" w:eastAsia="Times New Roman" w:hAnsi="Arial" w:cs="Arial"/>
          <w:sz w:val="22"/>
          <w:szCs w:val="22"/>
          <w:lang w:val="en-GB" w:eastAsia="zh-TW"/>
        </w:rPr>
      </w:pPr>
      <w:r w:rsidRPr="00483E37">
        <w:rPr>
          <w:rFonts w:ascii="Arial" w:eastAsia="Times New Roman" w:hAnsi="Arial" w:cs="Arial"/>
          <w:sz w:val="22"/>
          <w:szCs w:val="22"/>
          <w:lang w:val="en-GB" w:eastAsia="zh-TW"/>
        </w:rPr>
        <w:t xml:space="preserve">High Mountains: </w:t>
      </w:r>
      <w:r w:rsidRPr="008005FA">
        <w:rPr>
          <w:rFonts w:ascii="Arial" w:eastAsia="Times New Roman" w:hAnsi="Arial" w:cs="Arial"/>
          <w:sz w:val="22"/>
          <w:szCs w:val="22"/>
          <w:lang w:val="en-GB" w:eastAsia="zh-TW"/>
        </w:rPr>
        <w:t xml:space="preserve">Preparations are underway for consultations on Third Pole and other High Mountain Regions’ regional climate centre concept from 9-11 March 2016 in Jaipur, India. </w:t>
      </w:r>
    </w:p>
    <w:p w:rsidR="00384BDA" w:rsidRPr="00657BF6" w:rsidRDefault="00384BDA" w:rsidP="00384BDA">
      <w:pPr>
        <w:pStyle w:val="ListParagraph"/>
        <w:numPr>
          <w:ilvl w:val="0"/>
          <w:numId w:val="45"/>
        </w:numPr>
        <w:spacing w:after="240"/>
        <w:jc w:val="both"/>
        <w:rPr>
          <w:rFonts w:ascii="Arial" w:eastAsia="Times New Roman" w:hAnsi="Arial" w:cs="Arial"/>
          <w:sz w:val="22"/>
          <w:szCs w:val="22"/>
          <w:lang w:val="en-GB" w:eastAsia="zh-TW"/>
        </w:rPr>
      </w:pPr>
      <w:r w:rsidRPr="00657BF6">
        <w:rPr>
          <w:rFonts w:ascii="Arial" w:eastAsia="Times New Roman" w:hAnsi="Arial" w:cs="Arial"/>
          <w:sz w:val="22"/>
          <w:szCs w:val="22"/>
          <w:lang w:val="en-GB" w:eastAsia="zh-TW"/>
        </w:rPr>
        <w:t>International Polar Partnership Initiative; Tit has been difficult building the consortium to pursue an IPPI; it has therefore been suspended.</w:t>
      </w:r>
    </w:p>
    <w:p w:rsidR="00384BDA" w:rsidRDefault="00384BDA" w:rsidP="00384BDA">
      <w:pPr>
        <w:pStyle w:val="ListParagraph"/>
        <w:numPr>
          <w:ilvl w:val="0"/>
          <w:numId w:val="45"/>
        </w:numPr>
        <w:spacing w:after="240"/>
        <w:jc w:val="both"/>
      </w:pPr>
      <w:r w:rsidRPr="004B30F4">
        <w:rPr>
          <w:rFonts w:ascii="Arial" w:eastAsia="Times New Roman" w:hAnsi="Arial" w:cs="Arial"/>
          <w:sz w:val="22"/>
          <w:szCs w:val="22"/>
          <w:lang w:val="en-GB" w:eastAsia="zh-TW"/>
        </w:rPr>
        <w:t xml:space="preserve">The 16th meeting of the International Ice Charting Working Group (IICWG) was held in Rostock and </w:t>
      </w:r>
      <w:proofErr w:type="spellStart"/>
      <w:r w:rsidRPr="004B30F4">
        <w:rPr>
          <w:rFonts w:ascii="Arial" w:eastAsia="Times New Roman" w:hAnsi="Arial" w:cs="Arial"/>
          <w:sz w:val="22"/>
          <w:szCs w:val="22"/>
          <w:lang w:val="en-GB" w:eastAsia="zh-TW"/>
        </w:rPr>
        <w:t>Neustrelitz</w:t>
      </w:r>
      <w:proofErr w:type="spellEnd"/>
      <w:r w:rsidRPr="004B30F4">
        <w:rPr>
          <w:rFonts w:ascii="Arial" w:eastAsia="Times New Roman" w:hAnsi="Arial" w:cs="Arial"/>
          <w:sz w:val="22"/>
          <w:szCs w:val="22"/>
          <w:lang w:val="en-GB" w:eastAsia="zh-TW"/>
        </w:rPr>
        <w:t xml:space="preserve">, Germany, October 19-23, 2015. The theme for the meeting was “Relevant Ice Information for the Maritime Community” including issues of dealing with marine oil spills in the vicinity of ice, improvement to ice information in Antarctic waters, the start of cooperative, weekly production of Southern Hemispheric ice charts by Russia’s Arctic and Antarctic Research Institute, the U.S. National Ice </w:t>
      </w:r>
      <w:proofErr w:type="spellStart"/>
      <w:r w:rsidRPr="004B30F4">
        <w:rPr>
          <w:rFonts w:ascii="Arial" w:eastAsia="Times New Roman" w:hAnsi="Arial" w:cs="Arial"/>
          <w:sz w:val="22"/>
          <w:szCs w:val="22"/>
          <w:lang w:val="en-GB" w:eastAsia="zh-TW"/>
        </w:rPr>
        <w:t>Center</w:t>
      </w:r>
      <w:proofErr w:type="spellEnd"/>
      <w:r w:rsidRPr="004B30F4">
        <w:rPr>
          <w:rFonts w:ascii="Arial" w:eastAsia="Times New Roman" w:hAnsi="Arial" w:cs="Arial"/>
          <w:sz w:val="22"/>
          <w:szCs w:val="22"/>
          <w:lang w:val="en-GB" w:eastAsia="zh-TW"/>
        </w:rPr>
        <w:t xml:space="preserve"> and the Norwegian Ice Service and Implications of the IMO Mandatory Polar Code. The report may be found at </w:t>
      </w:r>
      <w:hyperlink r:id="rId8" w:history="1">
        <w:r w:rsidRPr="004B30F4">
          <w:rPr>
            <w:rFonts w:ascii="Arial" w:eastAsia="Times New Roman" w:hAnsi="Arial"/>
            <w:sz w:val="22"/>
            <w:szCs w:val="22"/>
            <w:lang w:val="en-GB" w:eastAsia="zh-TW"/>
          </w:rPr>
          <w:t>http://nsidc.org/noaa/iicwg/</w:t>
        </w:r>
      </w:hyperlink>
    </w:p>
    <w:p w:rsidR="004B30F4" w:rsidRDefault="00384BDA" w:rsidP="00384BDA">
      <w:pPr>
        <w:pStyle w:val="WMOBodyText"/>
        <w:jc w:val="center"/>
        <w:sectPr w:rsidR="004B30F4" w:rsidSect="0020095E">
          <w:headerReference w:type="default" r:id="rId9"/>
          <w:pgSz w:w="11907" w:h="16840" w:code="9"/>
          <w:pgMar w:top="1134" w:right="1134" w:bottom="1134" w:left="1134" w:header="1134" w:footer="1134" w:gutter="0"/>
          <w:cols w:space="720"/>
          <w:titlePg/>
          <w:docGrid w:linePitch="299"/>
        </w:sectPr>
      </w:pPr>
      <w:r>
        <w:t>__________________</w:t>
      </w:r>
    </w:p>
    <w:p w:rsidR="00384BDA" w:rsidRPr="004B30F4" w:rsidRDefault="004B30F4" w:rsidP="004B30F4">
      <w:pPr>
        <w:pStyle w:val="WMOBodyText"/>
        <w:jc w:val="right"/>
        <w:rPr>
          <w:b/>
        </w:rPr>
      </w:pPr>
      <w:r w:rsidRPr="004B30F4">
        <w:rPr>
          <w:b/>
        </w:rPr>
        <w:lastRenderedPageBreak/>
        <w:t>ANNEX I</w:t>
      </w:r>
    </w:p>
    <w:p w:rsidR="004B30F4" w:rsidRPr="004B30F4" w:rsidRDefault="004B30F4" w:rsidP="004B30F4">
      <w:pPr>
        <w:pStyle w:val="WMOBodyText"/>
        <w:jc w:val="center"/>
        <w:rPr>
          <w:b/>
          <w:color w:val="1A1A1A"/>
        </w:rPr>
      </w:pPr>
      <w:r w:rsidRPr="004B30F4">
        <w:rPr>
          <w:b/>
          <w:color w:val="1A1A1A"/>
        </w:rPr>
        <w:t>YEAR OF POLAR PREDICTION (YOPP) ELEMENTS FOR CONSIDERATION BY CBS-16</w:t>
      </w:r>
    </w:p>
    <w:p w:rsidR="004B30F4" w:rsidRDefault="004B30F4" w:rsidP="004B30F4">
      <w:pPr>
        <w:pStyle w:val="WMOBodyText"/>
        <w:spacing w:after="240"/>
        <w:rPr>
          <w:color w:val="1A1A1A"/>
        </w:rPr>
      </w:pPr>
      <w:r>
        <w:rPr>
          <w:color w:val="1A1A1A"/>
        </w:rPr>
        <w:t xml:space="preserve">Below are a few elements coming from the YOPP summit that require a specific involvement from global </w:t>
      </w:r>
      <w:proofErr w:type="spellStart"/>
      <w:r>
        <w:rPr>
          <w:color w:val="1A1A1A"/>
        </w:rPr>
        <w:t>centers</w:t>
      </w:r>
      <w:proofErr w:type="spellEnd"/>
      <w:r>
        <w:rPr>
          <w:color w:val="1A1A1A"/>
        </w:rPr>
        <w:t xml:space="preserve"> and that could be considered by CBS-16.</w:t>
      </w:r>
    </w:p>
    <w:p w:rsidR="004B30F4" w:rsidRPr="00FA0EA2" w:rsidRDefault="004B30F4" w:rsidP="004B30F4">
      <w:pPr>
        <w:rPr>
          <w:color w:val="1A1A1A"/>
          <w:u w:val="single"/>
        </w:rPr>
      </w:pPr>
      <w:r w:rsidRPr="00FA0EA2">
        <w:rPr>
          <w:i/>
          <w:iCs/>
          <w:color w:val="1A1A1A"/>
          <w:u w:val="single"/>
        </w:rPr>
        <w:t xml:space="preserve">User-relevant aspects and verification </w:t>
      </w:r>
    </w:p>
    <w:p w:rsidR="004B30F4" w:rsidRPr="00FA0EA2" w:rsidRDefault="004B30F4" w:rsidP="004B30F4">
      <w:pPr>
        <w:rPr>
          <w:color w:val="1A1A1A"/>
        </w:rPr>
      </w:pPr>
      <w:r w:rsidRPr="00FA0EA2">
        <w:rPr>
          <w:color w:val="1A1A1A"/>
        </w:rPr>
        <w:t>Several forecast and verification end-users and priority sectors were identif</w:t>
      </w:r>
      <w:r>
        <w:rPr>
          <w:color w:val="1A1A1A"/>
        </w:rPr>
        <w:t>ied by participants</w:t>
      </w:r>
      <w:r w:rsidRPr="00FA0EA2">
        <w:rPr>
          <w:color w:val="1A1A1A"/>
        </w:rPr>
        <w:t xml:space="preserve">, and the complexity of user needs was recognized. Participants agreed that user- engagement and associated social science studies are necessary to serve the YOPP objectives. User-tailored products and services should be developed, hosted and evaluated within multi- disciplinary </w:t>
      </w:r>
      <w:proofErr w:type="spellStart"/>
      <w:r w:rsidRPr="00FA0EA2">
        <w:rPr>
          <w:color w:val="1A1A1A"/>
        </w:rPr>
        <w:t>testbeds</w:t>
      </w:r>
      <w:proofErr w:type="spellEnd"/>
      <w:r w:rsidRPr="00FA0EA2">
        <w:rPr>
          <w:color w:val="1A1A1A"/>
        </w:rPr>
        <w:t xml:space="preserve"> (e.g., the NOAA/NWS Arctic Test Bed, Alaska). </w:t>
      </w:r>
    </w:p>
    <w:p w:rsidR="004B30F4" w:rsidRPr="00906F8D" w:rsidRDefault="004B30F4" w:rsidP="004B30F4">
      <w:pPr>
        <w:rPr>
          <w:color w:val="1A1A1A"/>
        </w:rPr>
      </w:pPr>
    </w:p>
    <w:p w:rsidR="004B30F4" w:rsidRPr="00FA0EA2" w:rsidRDefault="004B30F4" w:rsidP="004B30F4">
      <w:pPr>
        <w:rPr>
          <w:color w:val="1A1A1A"/>
          <w:u w:val="single"/>
        </w:rPr>
      </w:pPr>
      <w:r>
        <w:rPr>
          <w:i/>
          <w:iCs/>
          <w:color w:val="1A1A1A"/>
          <w:u w:val="single"/>
        </w:rPr>
        <w:t>Observations</w:t>
      </w:r>
      <w:r w:rsidRPr="00FA0EA2">
        <w:rPr>
          <w:i/>
          <w:iCs/>
          <w:color w:val="1A1A1A"/>
          <w:u w:val="single"/>
        </w:rPr>
        <w:t xml:space="preserve"> </w:t>
      </w:r>
    </w:p>
    <w:p w:rsidR="004B30F4" w:rsidRPr="00FA0EA2" w:rsidRDefault="004B30F4" w:rsidP="004B30F4">
      <w:pPr>
        <w:rPr>
          <w:color w:val="1A1A1A"/>
        </w:rPr>
      </w:pPr>
      <w:r w:rsidRPr="00FA0EA2">
        <w:rPr>
          <w:color w:val="1A1A1A"/>
        </w:rPr>
        <w:t xml:space="preserve">A coordinating role of PPP and YOPP was stressed during the discussions. It was agreed that this is the way to make the bottom-up approach to observational campaigns, often focused on process studies, fit best the goals of YOPP. Namely, there was agreement on the following items: </w:t>
      </w:r>
    </w:p>
    <w:p w:rsidR="004B30F4" w:rsidRPr="00FA0EA2" w:rsidRDefault="004B30F4" w:rsidP="004B30F4">
      <w:pPr>
        <w:numPr>
          <w:ilvl w:val="0"/>
          <w:numId w:val="46"/>
        </w:numPr>
        <w:tabs>
          <w:tab w:val="clear" w:pos="1134"/>
        </w:tabs>
        <w:rPr>
          <w:color w:val="1A1A1A"/>
        </w:rPr>
      </w:pPr>
      <w:r w:rsidRPr="00FA0EA2">
        <w:rPr>
          <w:color w:val="1A1A1A"/>
        </w:rPr>
        <w:t xml:space="preserve">A structured list of observations should be introduced into the Implementation Plan of YOPP dividing all possible/planned observations into categories like: </w:t>
      </w:r>
      <w:proofErr w:type="spellStart"/>
      <w:r w:rsidRPr="00FA0EA2">
        <w:rPr>
          <w:color w:val="1A1A1A"/>
        </w:rPr>
        <w:t>i</w:t>
      </w:r>
      <w:proofErr w:type="spellEnd"/>
      <w:r w:rsidRPr="00FA0EA2">
        <w:rPr>
          <w:color w:val="1A1A1A"/>
        </w:rPr>
        <w:t xml:space="preserve">) observations going to GTS; ii) GTS-like observations; iii) process studies, etc. The aim of that is to provide a clearer view on the observational component of YOPP to a broad range of users, </w:t>
      </w:r>
      <w:proofErr w:type="spellStart"/>
      <w:r w:rsidRPr="00FA0EA2">
        <w:rPr>
          <w:color w:val="1A1A1A"/>
        </w:rPr>
        <w:t>modelers</w:t>
      </w:r>
      <w:proofErr w:type="spellEnd"/>
      <w:r w:rsidRPr="00FA0EA2">
        <w:rPr>
          <w:color w:val="1A1A1A"/>
        </w:rPr>
        <w:t xml:space="preserve">, etc. </w:t>
      </w:r>
    </w:p>
    <w:p w:rsidR="004B30F4" w:rsidRPr="00FA0EA2" w:rsidRDefault="004B30F4" w:rsidP="004B30F4">
      <w:pPr>
        <w:numPr>
          <w:ilvl w:val="0"/>
          <w:numId w:val="46"/>
        </w:numPr>
        <w:tabs>
          <w:tab w:val="clear" w:pos="1134"/>
        </w:tabs>
        <w:rPr>
          <w:color w:val="1A1A1A"/>
        </w:rPr>
      </w:pPr>
      <w:r w:rsidRPr="00FA0EA2">
        <w:rPr>
          <w:color w:val="1A1A1A"/>
        </w:rPr>
        <w:t xml:space="preserve">Good coordination with the Satellite community is needed. </w:t>
      </w:r>
    </w:p>
    <w:p w:rsidR="004B30F4" w:rsidRPr="00FA0EA2" w:rsidRDefault="004B30F4" w:rsidP="004B30F4">
      <w:pPr>
        <w:numPr>
          <w:ilvl w:val="0"/>
          <w:numId w:val="46"/>
        </w:numPr>
        <w:tabs>
          <w:tab w:val="clear" w:pos="1134"/>
        </w:tabs>
        <w:rPr>
          <w:color w:val="1A1A1A"/>
        </w:rPr>
      </w:pPr>
      <w:r w:rsidRPr="00FA0EA2">
        <w:rPr>
          <w:color w:val="1A1A1A"/>
        </w:rPr>
        <w:t xml:space="preserve">Planning of the IOPs should primarily consider the demands and drawbacks of the current data assimilation systems, especially the coupled ones. </w:t>
      </w:r>
    </w:p>
    <w:p w:rsidR="004B30F4" w:rsidRPr="00906F8D" w:rsidRDefault="004B30F4" w:rsidP="004B30F4">
      <w:pPr>
        <w:rPr>
          <w:color w:val="1A1A1A"/>
        </w:rPr>
      </w:pPr>
    </w:p>
    <w:p w:rsidR="004B30F4" w:rsidRPr="008E0B31" w:rsidRDefault="004B30F4" w:rsidP="004B30F4">
      <w:pPr>
        <w:rPr>
          <w:color w:val="1A1A1A"/>
          <w:u w:val="single"/>
        </w:rPr>
      </w:pPr>
      <w:r w:rsidRPr="008E0B31">
        <w:rPr>
          <w:i/>
          <w:iCs/>
          <w:color w:val="1A1A1A"/>
          <w:u w:val="single"/>
        </w:rPr>
        <w:t xml:space="preserve">Modelling, data assimilation, linkages and prediction </w:t>
      </w:r>
    </w:p>
    <w:p w:rsidR="004B30F4" w:rsidRPr="008E0B31" w:rsidRDefault="004B30F4" w:rsidP="004B30F4">
      <w:pPr>
        <w:rPr>
          <w:color w:val="1A1A1A"/>
        </w:rPr>
      </w:pPr>
      <w:r w:rsidRPr="008E0B31">
        <w:rPr>
          <w:color w:val="1A1A1A"/>
        </w:rPr>
        <w:t xml:space="preserve">Participants recognized that, both in the YOPP Implementation Plan and during the YOPP Summit, the design of coupled high-resolution prediction systems has garnered limited attention. A central question is whether one can expect to have at least one operational </w:t>
      </w:r>
      <w:r w:rsidRPr="008E0B31">
        <w:rPr>
          <w:i/>
          <w:iCs/>
          <w:color w:val="1A1A1A"/>
        </w:rPr>
        <w:t xml:space="preserve">coupled </w:t>
      </w:r>
      <w:r w:rsidRPr="008E0B31">
        <w:rPr>
          <w:color w:val="1A1A1A"/>
        </w:rPr>
        <w:t xml:space="preserve">system ready by the YOPP, covering a pan-Arctic domain and issuing forecasts at timescales of more than a few hours/days (with spatial resolution of ~10 km or finer). Such a system is currently the missing piece to bridge operational forecasting and seasonal climate forecasting. </w:t>
      </w:r>
    </w:p>
    <w:p w:rsidR="004B30F4" w:rsidRPr="00906F8D" w:rsidRDefault="004B30F4" w:rsidP="004B30F4">
      <w:pPr>
        <w:rPr>
          <w:color w:val="1A1A1A"/>
        </w:rPr>
      </w:pPr>
    </w:p>
    <w:p w:rsidR="004B30F4" w:rsidRPr="008E0B31" w:rsidRDefault="004B30F4" w:rsidP="004B30F4">
      <w:pPr>
        <w:rPr>
          <w:color w:val="1A1A1A"/>
        </w:rPr>
      </w:pPr>
      <w:r w:rsidRPr="008E0B31">
        <w:rPr>
          <w:color w:val="1A1A1A"/>
        </w:rPr>
        <w:t xml:space="preserve">Advancing data assimilation systems should be a key activity within YOPP. A key prerequisite for making progress will </w:t>
      </w:r>
      <w:proofErr w:type="gramStart"/>
      <w:r w:rsidRPr="008E0B31">
        <w:rPr>
          <w:color w:val="1A1A1A"/>
        </w:rPr>
        <w:t>be knowing</w:t>
      </w:r>
      <w:proofErr w:type="gramEnd"/>
      <w:r w:rsidRPr="008E0B31">
        <w:rPr>
          <w:color w:val="1A1A1A"/>
        </w:rPr>
        <w:t xml:space="preserve"> the error structure of models used for producing reanalyses, reconstructions, or initializations of predictions. Furthermore, it was strongly recommended that YOPP continues to rely on the activities of the World Weather Research Programme (WWRP) Data Assimilation and Observing Systems (DAOS) and data denial experiments in order to determine the value added from particular observations collected during the YOPP. </w:t>
      </w:r>
    </w:p>
    <w:p w:rsidR="004B30F4" w:rsidRDefault="004B30F4" w:rsidP="004B30F4">
      <w:pPr>
        <w:rPr>
          <w:color w:val="1A1A1A"/>
        </w:rPr>
      </w:pPr>
    </w:p>
    <w:p w:rsidR="004B30F4" w:rsidRPr="008E0B31" w:rsidRDefault="004B30F4" w:rsidP="004B30F4">
      <w:pPr>
        <w:rPr>
          <w:color w:val="1A1A1A"/>
          <w:u w:val="single"/>
        </w:rPr>
      </w:pPr>
      <w:r w:rsidRPr="008E0B31">
        <w:rPr>
          <w:i/>
          <w:iCs/>
          <w:color w:val="1A1A1A"/>
          <w:u w:val="single"/>
        </w:rPr>
        <w:t xml:space="preserve">YOPP data legacy </w:t>
      </w:r>
    </w:p>
    <w:p w:rsidR="004B30F4" w:rsidRDefault="004B30F4" w:rsidP="004B30F4">
      <w:r w:rsidRPr="008E0B31">
        <w:rPr>
          <w:color w:val="1A1A1A"/>
        </w:rPr>
        <w:t xml:space="preserve">There was agreement among the Summit participants that the lessons learned during the last IPY should feed into the development of the YOPP data legacy. It was recommended, therefore, to develop a YOPP data portal that exploits the expertise gained with the Global Cryosphere Watch (GCW) portal. This includes the use of consistent </w:t>
      </w:r>
      <w:proofErr w:type="gramStart"/>
      <w:r w:rsidRPr="008E0B31">
        <w:rPr>
          <w:color w:val="1A1A1A"/>
        </w:rPr>
        <w:t>meta</w:t>
      </w:r>
      <w:proofErr w:type="gramEnd"/>
      <w:r w:rsidRPr="008E0B31">
        <w:rPr>
          <w:color w:val="1A1A1A"/>
        </w:rPr>
        <w:t xml:space="preserve"> data and pointers to other online locations, where data can be retrieved. A small number of data centres that are willing to archive YOPP data (and support the process) and able to provide digital object identifiers (DOIs), such as PANGAEA, should be identified. Data sets must be open access and, where observations could facilitate real- time operational use, submission of data through the GTS/WIS should be mandatory. Special attention should be given to WMO standard including BUFR formats. Finally, all data sets should be published in data journals such as Earth System Science Data (ESSD), and it was argued that the YOPP data legacy could be improved by having a YOPP special issue in ESSD. </w:t>
      </w:r>
      <w:r>
        <w:br w:type="page"/>
      </w:r>
    </w:p>
    <w:p w:rsidR="004B30F4" w:rsidRPr="004B30F4" w:rsidRDefault="004B30F4" w:rsidP="004B30F4">
      <w:pPr>
        <w:jc w:val="right"/>
        <w:rPr>
          <w:b/>
          <w:color w:val="1A1A1A"/>
        </w:rPr>
      </w:pPr>
      <w:r w:rsidRPr="004B30F4">
        <w:rPr>
          <w:b/>
          <w:color w:val="1A1A1A"/>
        </w:rPr>
        <w:lastRenderedPageBreak/>
        <w:t>Appendix of annex I</w:t>
      </w:r>
    </w:p>
    <w:p w:rsidR="004B30F4" w:rsidRDefault="004B30F4" w:rsidP="004B30F4">
      <w:pPr>
        <w:rPr>
          <w:color w:val="1A1A1A"/>
        </w:rPr>
      </w:pPr>
    </w:p>
    <w:p w:rsidR="004B30F4" w:rsidRPr="004B30F4" w:rsidRDefault="004B30F4" w:rsidP="004B30F4">
      <w:pPr>
        <w:jc w:val="center"/>
        <w:rPr>
          <w:b/>
          <w:color w:val="1A1A1A"/>
        </w:rPr>
      </w:pPr>
      <w:r>
        <w:rPr>
          <w:b/>
          <w:color w:val="1A1A1A"/>
        </w:rPr>
        <w:t>The main YOPP scheduled periods</w:t>
      </w:r>
    </w:p>
    <w:p w:rsidR="004B30F4" w:rsidRPr="00906F8D" w:rsidRDefault="004B30F4" w:rsidP="004B30F4">
      <w:pPr>
        <w:rPr>
          <w:color w:val="1A1A1A"/>
        </w:rPr>
      </w:pPr>
    </w:p>
    <w:p w:rsidR="004B30F4" w:rsidRPr="00906F8D" w:rsidRDefault="004B30F4" w:rsidP="004B30F4">
      <w:pPr>
        <w:rPr>
          <w:color w:val="1A1A1A"/>
        </w:rPr>
      </w:pPr>
      <w:r w:rsidRPr="00906F8D">
        <w:rPr>
          <w:color w:val="1A1A1A"/>
        </w:rPr>
        <w:t xml:space="preserve">The main YOPP period is scheduled from mid-2017 to mid-2019. Given the relatively high costs of taking observations in </w:t>
      </w:r>
      <w:proofErr w:type="gramStart"/>
      <w:r w:rsidRPr="00906F8D">
        <w:rPr>
          <w:color w:val="1A1A1A"/>
        </w:rPr>
        <w:t>polar regions</w:t>
      </w:r>
      <w:proofErr w:type="gramEnd"/>
      <w:r w:rsidRPr="00906F8D">
        <w:rPr>
          <w:color w:val="1A1A1A"/>
        </w:rPr>
        <w:t xml:space="preserve">, it is necessary to agree on at least two intensive observing periods (IOPs), both for the Arctic and Antarctica. </w:t>
      </w:r>
    </w:p>
    <w:p w:rsidR="004B30F4" w:rsidRDefault="004B30F4" w:rsidP="004B30F4">
      <w:pPr>
        <w:rPr>
          <w:color w:val="1A1A1A"/>
        </w:rPr>
      </w:pPr>
    </w:p>
    <w:p w:rsidR="004B30F4" w:rsidRPr="00906F8D" w:rsidRDefault="004B30F4" w:rsidP="004B30F4">
      <w:pPr>
        <w:rPr>
          <w:color w:val="1A1A1A"/>
        </w:rPr>
      </w:pPr>
      <w:r w:rsidRPr="00906F8D">
        <w:rPr>
          <w:color w:val="1A1A1A"/>
        </w:rPr>
        <w:t xml:space="preserve">• For the Southern Hemisphere, the importance of accurate predictions during austral summer for key stakeholders such as the logistics community and the tourism industry together with enhanced research capacity during the summer season makes the period December 2018 to February 2019 a good starting point for further discussions. </w:t>
      </w:r>
    </w:p>
    <w:p w:rsidR="004B30F4" w:rsidRPr="00906F8D" w:rsidRDefault="004B30F4" w:rsidP="004B30F4">
      <w:pPr>
        <w:rPr>
          <w:color w:val="1A1A1A"/>
        </w:rPr>
      </w:pPr>
    </w:p>
    <w:p w:rsidR="004B30F4" w:rsidRPr="00906F8D" w:rsidRDefault="004B30F4" w:rsidP="004B30F4">
      <w:pPr>
        <w:rPr>
          <w:color w:val="1A1A1A"/>
        </w:rPr>
      </w:pPr>
      <w:r w:rsidRPr="00906F8D">
        <w:rPr>
          <w:color w:val="1A1A1A"/>
        </w:rPr>
        <w:t xml:space="preserve">For the Arctic the situation is different. It was decided to have two IOPs in the Arctic, with one covering a full open-water season and one focusing on wintertime. </w:t>
      </w:r>
    </w:p>
    <w:p w:rsidR="004B30F4" w:rsidRDefault="004B30F4" w:rsidP="004B30F4">
      <w:pPr>
        <w:rPr>
          <w:color w:val="1A1A1A"/>
        </w:rPr>
      </w:pPr>
    </w:p>
    <w:p w:rsidR="004B30F4" w:rsidRPr="00FA0EA2" w:rsidRDefault="004B30F4" w:rsidP="004B30F4">
      <w:pPr>
        <w:rPr>
          <w:color w:val="1A1A1A"/>
        </w:rPr>
      </w:pPr>
      <w:r w:rsidRPr="00906F8D">
        <w:rPr>
          <w:color w:val="1A1A1A"/>
        </w:rPr>
        <w:t xml:space="preserve">• The first IOP covers early summer to late autumn. There is clearly a need to start the IOP in early summer to ensure that sub-seasonal and seasonal predictions of summer time conditions, when most of economic activities take place, are well initialized. To improve summer predictions on shorter time scales (hours to days), on the other hand, it will be </w:t>
      </w:r>
      <w:r w:rsidRPr="00FA0EA2">
        <w:rPr>
          <w:color w:val="1A1A1A"/>
        </w:rPr>
        <w:t xml:space="preserve">important to enhance observational capacity from June to September. It was strongly argued for extending the first IOP to late autumn, since it is in late autumn that atmosphere- sea ice-ocean interactions are most vigorous with implications for sub-seasonal and seasonal predictions, both in the Arctic and lower-latitudes, and to capture the full open- water season for operational forecasting needs. </w:t>
      </w:r>
    </w:p>
    <w:p w:rsidR="004B30F4" w:rsidRPr="00FA0EA2" w:rsidRDefault="004B30F4" w:rsidP="004B30F4">
      <w:pPr>
        <w:rPr>
          <w:color w:val="1A1A1A"/>
        </w:rPr>
      </w:pPr>
      <w:r w:rsidRPr="00FA0EA2">
        <w:rPr>
          <w:color w:val="1A1A1A"/>
        </w:rPr>
        <w:t xml:space="preserve">• The second IOP is shorter, covering the boreal winter (January to March). This IOP is intended to address topics such a polar lows, snow prediction and initialization of seasonal and longer-term predictions. </w:t>
      </w:r>
    </w:p>
    <w:p w:rsidR="004B30F4" w:rsidRPr="00906F8D" w:rsidRDefault="004B30F4" w:rsidP="004B30F4"/>
    <w:p w:rsidR="004B30F4" w:rsidRDefault="004B30F4" w:rsidP="004B30F4">
      <w:pPr>
        <w:pStyle w:val="WMOBodyText"/>
      </w:pPr>
    </w:p>
    <w:p w:rsidR="004B30F4" w:rsidRDefault="004B30F4" w:rsidP="00384BDA">
      <w:pPr>
        <w:pStyle w:val="WMOBodyText"/>
        <w:jc w:val="center"/>
      </w:pPr>
      <w:r>
        <w:t>_____________</w:t>
      </w:r>
    </w:p>
    <w:sectPr w:rsidR="004B30F4" w:rsidSect="0020095E">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E7A" w:rsidRDefault="00923E7A">
      <w:r>
        <w:separator/>
      </w:r>
    </w:p>
    <w:p w:rsidR="00923E7A" w:rsidRDefault="00923E7A"/>
  </w:endnote>
  <w:endnote w:type="continuationSeparator" w:id="0">
    <w:p w:rsidR="00923E7A" w:rsidRDefault="00923E7A">
      <w:r>
        <w:continuationSeparator/>
      </w:r>
    </w:p>
    <w:p w:rsidR="00923E7A" w:rsidRDefault="00923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E7A" w:rsidRDefault="00923E7A">
      <w:r>
        <w:separator/>
      </w:r>
    </w:p>
    <w:p w:rsidR="00923E7A" w:rsidRDefault="00923E7A"/>
  </w:footnote>
  <w:footnote w:type="continuationSeparator" w:id="0">
    <w:p w:rsidR="00923E7A" w:rsidRDefault="00923E7A">
      <w:r>
        <w:continuationSeparator/>
      </w:r>
    </w:p>
    <w:p w:rsidR="00923E7A" w:rsidRDefault="00923E7A"/>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 w:id="2">
    <w:p w:rsidR="002529C1" w:rsidRPr="002529C1" w:rsidRDefault="002529C1">
      <w:pPr>
        <w:pStyle w:val="FootnoteText"/>
      </w:pPr>
      <w:r>
        <w:rPr>
          <w:rStyle w:val="FootnoteReference"/>
        </w:rPr>
        <w:footnoteRef/>
      </w:r>
      <w:r>
        <w:t xml:space="preserve"> </w:t>
      </w:r>
      <w:hyperlink r:id="rId1" w:history="1">
        <w:r w:rsidRPr="007537F5">
          <w:rPr>
            <w:rStyle w:val="Hyperlink"/>
          </w:rPr>
          <w:t>http://www.wmo.int/pages/prog/sat/documents/SAT-GEN_PSTG-StratPlan2015-2018.pdf</w:t>
        </w:r>
      </w:hyperlink>
      <w:r>
        <w:t xml:space="preserve"> </w:t>
      </w:r>
    </w:p>
  </w:footnote>
  <w:footnote w:id="3">
    <w:p w:rsidR="00A94F31" w:rsidRPr="00A94F31" w:rsidRDefault="00A94F31" w:rsidP="00A94F31">
      <w:pPr>
        <w:pStyle w:val="FootnoteText"/>
        <w:tabs>
          <w:tab w:val="left" w:pos="284"/>
        </w:tabs>
        <w:rPr>
          <w:sz w:val="16"/>
          <w:szCs w:val="16"/>
        </w:rPr>
      </w:pPr>
      <w:r w:rsidRPr="00A94F31">
        <w:rPr>
          <w:rStyle w:val="FootnoteReference"/>
          <w:sz w:val="16"/>
          <w:szCs w:val="16"/>
        </w:rPr>
        <w:footnoteRef/>
      </w:r>
      <w:r w:rsidRPr="00A94F31">
        <w:rPr>
          <w:sz w:val="16"/>
          <w:szCs w:val="16"/>
        </w:rPr>
        <w:t xml:space="preserve"> </w:t>
      </w:r>
      <w:r>
        <w:rPr>
          <w:sz w:val="16"/>
          <w:szCs w:val="16"/>
        </w:rPr>
        <w:tab/>
      </w:r>
      <w:hyperlink r:id="rId2" w:tgtFrame="_blank" w:history="1">
        <w:r w:rsidRPr="00A94F31">
          <w:rPr>
            <w:rFonts w:eastAsia="Times New Roman"/>
            <w:sz w:val="16"/>
            <w:szCs w:val="16"/>
            <w:lang w:eastAsia="zh-TW"/>
          </w:rPr>
          <w:t>http://www.wmo.int/pages/prog/arep/wwrp/new/documents/WWRP_PPP_IP_Final_12Jan2013.pdf</w:t>
        </w:r>
      </w:hyperlink>
      <w:r w:rsidRPr="00A94F31">
        <w:rPr>
          <w:rFonts w:eastAsia="Times New Roman"/>
          <w:sz w:val="16"/>
          <w:szCs w:val="16"/>
          <w:lang w:eastAsia="zh-TW"/>
        </w:rPr>
        <w:t xml:space="preserve"> </w:t>
      </w:r>
    </w:p>
  </w:footnote>
  <w:footnote w:id="4">
    <w:p w:rsidR="00384BDA" w:rsidRPr="00384BDA" w:rsidRDefault="00384BDA" w:rsidP="00384BDA">
      <w:pPr>
        <w:pStyle w:val="FootnoteText"/>
        <w:rPr>
          <w:sz w:val="16"/>
          <w:szCs w:val="16"/>
          <w:lang w:val="en-US"/>
        </w:rPr>
      </w:pPr>
      <w:r w:rsidRPr="0085213A">
        <w:rPr>
          <w:rStyle w:val="FootnoteReference"/>
          <w:sz w:val="16"/>
          <w:szCs w:val="16"/>
        </w:rPr>
        <w:footnoteRef/>
      </w:r>
      <w:r w:rsidRPr="0085213A">
        <w:rPr>
          <w:sz w:val="16"/>
          <w:szCs w:val="16"/>
        </w:rPr>
        <w:t xml:space="preserve"> </w:t>
      </w:r>
      <w:hyperlink r:id="rId3" w:tgtFrame="_blank" w:history="1">
        <w:r w:rsidRPr="0085213A">
          <w:rPr>
            <w:rStyle w:val="Hyperlink"/>
            <w:sz w:val="16"/>
            <w:szCs w:val="16"/>
          </w:rPr>
          <w:t>http://www.climate-cryosphere.org/wcrp/pcpi</w:t>
        </w:r>
      </w:hyperlink>
      <w:r w:rsidRPr="0085213A">
        <w:rPr>
          <w:sz w:val="16"/>
          <w:szCs w:val="16"/>
        </w:rPr>
        <w:t xml:space="preserve"> </w:t>
      </w:r>
    </w:p>
  </w:footnote>
  <w:footnote w:id="5">
    <w:p w:rsidR="00384BDA" w:rsidRPr="00384BDA" w:rsidRDefault="00384BDA" w:rsidP="00384BDA">
      <w:pPr>
        <w:pStyle w:val="FootnoteText"/>
        <w:rPr>
          <w:sz w:val="16"/>
          <w:szCs w:val="16"/>
          <w:lang w:val="en-US"/>
        </w:rPr>
      </w:pPr>
      <w:r w:rsidRPr="0085213A">
        <w:rPr>
          <w:rStyle w:val="FootnoteReference"/>
          <w:sz w:val="16"/>
          <w:szCs w:val="16"/>
        </w:rPr>
        <w:footnoteRef/>
      </w:r>
      <w:r w:rsidRPr="0085213A">
        <w:rPr>
          <w:sz w:val="16"/>
          <w:szCs w:val="16"/>
        </w:rPr>
        <w:t xml:space="preserve"> </w:t>
      </w:r>
      <w:hyperlink r:id="rId4" w:tgtFrame="_blank" w:history="1">
        <w:r w:rsidRPr="0085213A">
          <w:rPr>
            <w:rStyle w:val="Hyperlink"/>
            <w:sz w:val="16"/>
            <w:szCs w:val="16"/>
          </w:rPr>
          <w:t>http://www.climate-cryosphere.org</w:t>
        </w:r>
      </w:hyperlink>
      <w:r w:rsidRPr="0085213A">
        <w:rPr>
          <w:sz w:val="16"/>
          <w:szCs w:val="16"/>
        </w:rPr>
        <w:t xml:space="preserve"> </w:t>
      </w:r>
    </w:p>
  </w:footnote>
  <w:footnote w:id="6">
    <w:p w:rsidR="00384BDA" w:rsidRPr="00384BDA" w:rsidRDefault="00384BDA" w:rsidP="00384BDA">
      <w:pPr>
        <w:pStyle w:val="FootnoteText"/>
        <w:rPr>
          <w:sz w:val="16"/>
          <w:szCs w:val="16"/>
          <w:lang w:val="en-US"/>
        </w:rPr>
      </w:pPr>
      <w:r w:rsidRPr="0085213A">
        <w:rPr>
          <w:rStyle w:val="FootnoteReference"/>
          <w:sz w:val="16"/>
          <w:szCs w:val="16"/>
        </w:rPr>
        <w:footnoteRef/>
      </w:r>
      <w:r w:rsidRPr="00384BDA">
        <w:rPr>
          <w:sz w:val="16"/>
          <w:szCs w:val="16"/>
          <w:lang w:val="en-US"/>
        </w:rPr>
        <w:t xml:space="preserve"> </w:t>
      </w:r>
      <w:hyperlink r:id="rId5" w:tgtFrame="_blank" w:history="1">
        <w:r w:rsidRPr="00384BDA">
          <w:rPr>
            <w:rStyle w:val="Hyperlink"/>
            <w:sz w:val="16"/>
            <w:szCs w:val="16"/>
            <w:lang w:val="en-US"/>
          </w:rPr>
          <w:t>http://www.climate-cryosphere.org/activities/groups/ismass</w:t>
        </w:r>
      </w:hyperlink>
      <w:r w:rsidRPr="00384BDA">
        <w:rPr>
          <w:sz w:val="16"/>
          <w:szCs w:val="16"/>
          <w:lang w:val="en-US"/>
        </w:rPr>
        <w:t xml:space="preserve"> </w:t>
      </w:r>
    </w:p>
  </w:footnote>
  <w:footnote w:id="7">
    <w:p w:rsidR="00384BDA" w:rsidRPr="00384BDA" w:rsidRDefault="00384BDA" w:rsidP="00384BDA">
      <w:pPr>
        <w:pStyle w:val="FootnoteText"/>
        <w:rPr>
          <w:sz w:val="16"/>
          <w:szCs w:val="16"/>
          <w:lang w:val="en-US"/>
        </w:rPr>
      </w:pPr>
      <w:r w:rsidRPr="0085213A">
        <w:rPr>
          <w:rStyle w:val="FootnoteReference"/>
          <w:sz w:val="16"/>
          <w:szCs w:val="16"/>
        </w:rPr>
        <w:footnoteRef/>
      </w:r>
      <w:r w:rsidRPr="0085213A">
        <w:rPr>
          <w:sz w:val="16"/>
          <w:szCs w:val="16"/>
        </w:rPr>
        <w:t xml:space="preserve"> </w:t>
      </w:r>
      <w:hyperlink r:id="rId6" w:tgtFrame="_blank" w:history="1">
        <w:r w:rsidRPr="0085213A">
          <w:rPr>
            <w:rStyle w:val="Hyperlink"/>
            <w:sz w:val="16"/>
            <w:szCs w:val="16"/>
          </w:rPr>
          <w:t>www.soos.aq</w:t>
        </w:r>
      </w:hyperlink>
    </w:p>
  </w:footnote>
  <w:footnote w:id="8">
    <w:p w:rsidR="00384BDA" w:rsidRPr="00384BDA" w:rsidRDefault="00384BDA" w:rsidP="00384BDA">
      <w:pPr>
        <w:pStyle w:val="FootnoteText"/>
        <w:rPr>
          <w:sz w:val="16"/>
          <w:szCs w:val="16"/>
          <w:lang w:val="en-US"/>
        </w:rPr>
      </w:pPr>
      <w:r w:rsidRPr="0085213A">
        <w:rPr>
          <w:rStyle w:val="FootnoteReference"/>
          <w:sz w:val="16"/>
          <w:szCs w:val="16"/>
        </w:rPr>
        <w:footnoteRef/>
      </w:r>
      <w:r w:rsidRPr="00384BDA">
        <w:rPr>
          <w:sz w:val="16"/>
          <w:szCs w:val="16"/>
          <w:lang w:val="en-US"/>
        </w:rPr>
        <w:t xml:space="preserve"> </w:t>
      </w:r>
      <w:hyperlink r:id="rId7" w:tgtFrame="_blank" w:history="1">
        <w:r w:rsidRPr="00384BDA">
          <w:rPr>
            <w:rStyle w:val="Hyperlink"/>
            <w:sz w:val="16"/>
            <w:szCs w:val="16"/>
            <w:lang w:val="en-US"/>
          </w:rPr>
          <w:t>http://www.wcrp-climate.org/index.php/gc-cryosphere</w:t>
        </w:r>
      </w:hyperlink>
      <w:r w:rsidRPr="00384BDA">
        <w:rPr>
          <w:sz w:val="16"/>
          <w:szCs w:val="16"/>
          <w:lang w:val="en-US"/>
        </w:rPr>
        <w:t xml:space="preserve"> </w:t>
      </w:r>
    </w:p>
  </w:footnote>
  <w:footnote w:id="9">
    <w:p w:rsidR="00384BDA" w:rsidRPr="00384BDA" w:rsidRDefault="00384BDA" w:rsidP="00384BDA">
      <w:pPr>
        <w:pStyle w:val="FootnoteText"/>
        <w:rPr>
          <w:sz w:val="16"/>
          <w:szCs w:val="16"/>
          <w:lang w:val="en-US"/>
        </w:rPr>
      </w:pPr>
      <w:r w:rsidRPr="0085213A">
        <w:rPr>
          <w:rStyle w:val="FootnoteReference"/>
          <w:sz w:val="16"/>
          <w:szCs w:val="16"/>
        </w:rPr>
        <w:footnoteRef/>
      </w:r>
      <w:r w:rsidRPr="00384BDA">
        <w:rPr>
          <w:sz w:val="16"/>
          <w:szCs w:val="16"/>
          <w:lang w:val="en-US"/>
        </w:rPr>
        <w:t xml:space="preserve"> </w:t>
      </w:r>
      <w:hyperlink r:id="rId8" w:tgtFrame="_blank" w:history="1">
        <w:r w:rsidRPr="00384BDA">
          <w:rPr>
            <w:rStyle w:val="Hyperlink"/>
            <w:sz w:val="16"/>
            <w:szCs w:val="16"/>
            <w:lang w:val="en-US"/>
          </w:rPr>
          <w:t>http://www.wcrp-climate.org/polarchallenge</w:t>
        </w:r>
      </w:hyperlink>
      <w:r w:rsidRPr="00384BDA">
        <w:rPr>
          <w:sz w:val="16"/>
          <w:szCs w:val="16"/>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/Doc. X.X</w:t>
    </w:r>
    <w:r w:rsidR="009F7566">
      <w:rPr>
        <w:lang w:val="de-DE"/>
      </w:rPr>
      <w:t>.X(X)</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A94F31">
      <w:rPr>
        <w:rStyle w:val="PageNumber"/>
        <w:noProof/>
        <w:lang w:val="de-DE"/>
      </w:rPr>
      <w:t>4</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FFC3BEC"/>
    <w:multiLevelType w:val="hybridMultilevel"/>
    <w:tmpl w:val="F474B332"/>
    <w:lvl w:ilvl="0" w:tplc="652CA8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1">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9E86E60"/>
    <w:multiLevelType w:val="hybridMultilevel"/>
    <w:tmpl w:val="06C06770"/>
    <w:lvl w:ilvl="0" w:tplc="934C55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1A76E84"/>
    <w:multiLevelType w:val="hybridMultilevel"/>
    <w:tmpl w:val="06C06770"/>
    <w:lvl w:ilvl="0" w:tplc="934C55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4CE282C"/>
    <w:multiLevelType w:val="multilevel"/>
    <w:tmpl w:val="C6D0B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666417C"/>
    <w:multiLevelType w:val="hybridMultilevel"/>
    <w:tmpl w:val="E2E275B8"/>
    <w:lvl w:ilvl="0" w:tplc="6114C9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0634701"/>
    <w:multiLevelType w:val="hybridMultilevel"/>
    <w:tmpl w:val="456EEDA8"/>
    <w:lvl w:ilvl="0" w:tplc="B0C872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6"/>
  </w:num>
  <w:num w:numId="3">
    <w:abstractNumId w:val="28"/>
  </w:num>
  <w:num w:numId="4">
    <w:abstractNumId w:val="39"/>
  </w:num>
  <w:num w:numId="5">
    <w:abstractNumId w:val="17"/>
  </w:num>
  <w:num w:numId="6">
    <w:abstractNumId w:val="23"/>
  </w:num>
  <w:num w:numId="7">
    <w:abstractNumId w:val="18"/>
  </w:num>
  <w:num w:numId="8">
    <w:abstractNumId w:val="31"/>
  </w:num>
  <w:num w:numId="9">
    <w:abstractNumId w:val="21"/>
  </w:num>
  <w:num w:numId="10">
    <w:abstractNumId w:val="20"/>
  </w:num>
  <w:num w:numId="11">
    <w:abstractNumId w:val="38"/>
  </w:num>
  <w:num w:numId="12">
    <w:abstractNumId w:val="11"/>
  </w:num>
  <w:num w:numId="13">
    <w:abstractNumId w:val="26"/>
  </w:num>
  <w:num w:numId="14">
    <w:abstractNumId w:val="42"/>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4"/>
  </w:num>
  <w:num w:numId="27">
    <w:abstractNumId w:val="32"/>
  </w:num>
  <w:num w:numId="28">
    <w:abstractNumId w:val="24"/>
  </w:num>
  <w:num w:numId="29">
    <w:abstractNumId w:val="33"/>
  </w:num>
  <w:num w:numId="30">
    <w:abstractNumId w:val="34"/>
  </w:num>
  <w:num w:numId="31">
    <w:abstractNumId w:val="14"/>
  </w:num>
  <w:num w:numId="32">
    <w:abstractNumId w:val="41"/>
  </w:num>
  <w:num w:numId="33">
    <w:abstractNumId w:val="40"/>
  </w:num>
  <w:num w:numId="34">
    <w:abstractNumId w:val="25"/>
  </w:num>
  <w:num w:numId="35">
    <w:abstractNumId w:val="27"/>
  </w:num>
  <w:num w:numId="36">
    <w:abstractNumId w:val="45"/>
  </w:num>
  <w:num w:numId="37">
    <w:abstractNumId w:val="35"/>
  </w:num>
  <w:num w:numId="38">
    <w:abstractNumId w:val="12"/>
  </w:num>
  <w:num w:numId="39">
    <w:abstractNumId w:val="13"/>
  </w:num>
  <w:num w:numId="40">
    <w:abstractNumId w:val="15"/>
  </w:num>
  <w:num w:numId="41">
    <w:abstractNumId w:val="10"/>
  </w:num>
  <w:num w:numId="42">
    <w:abstractNumId w:val="37"/>
  </w:num>
  <w:num w:numId="43">
    <w:abstractNumId w:val="43"/>
  </w:num>
  <w:num w:numId="44">
    <w:abstractNumId w:val="22"/>
  </w:num>
  <w:num w:numId="45">
    <w:abstractNumId w:val="29"/>
  </w:num>
  <w:num w:numId="46">
    <w:abstractNumId w:val="36"/>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6346C"/>
    <w:rsid w:val="00180771"/>
    <w:rsid w:val="001C5462"/>
    <w:rsid w:val="001D6302"/>
    <w:rsid w:val="0020095E"/>
    <w:rsid w:val="002047A1"/>
    <w:rsid w:val="002529C1"/>
    <w:rsid w:val="00295593"/>
    <w:rsid w:val="002E3FAD"/>
    <w:rsid w:val="0032424A"/>
    <w:rsid w:val="00384BDA"/>
    <w:rsid w:val="00394A05"/>
    <w:rsid w:val="00397880"/>
    <w:rsid w:val="003F6C02"/>
    <w:rsid w:val="003F7B3F"/>
    <w:rsid w:val="0041078D"/>
    <w:rsid w:val="00461FEE"/>
    <w:rsid w:val="004A140B"/>
    <w:rsid w:val="004B30F4"/>
    <w:rsid w:val="004B7BAA"/>
    <w:rsid w:val="004C2DF7"/>
    <w:rsid w:val="004C4E0B"/>
    <w:rsid w:val="004F6B46"/>
    <w:rsid w:val="00546D8E"/>
    <w:rsid w:val="00571AE1"/>
    <w:rsid w:val="00615AB0"/>
    <w:rsid w:val="006508EA"/>
    <w:rsid w:val="006A492A"/>
    <w:rsid w:val="006B21FE"/>
    <w:rsid w:val="00716951"/>
    <w:rsid w:val="00771A68"/>
    <w:rsid w:val="007E7D21"/>
    <w:rsid w:val="007F482F"/>
    <w:rsid w:val="00807CC5"/>
    <w:rsid w:val="00831751"/>
    <w:rsid w:val="00835B42"/>
    <w:rsid w:val="00847D99"/>
    <w:rsid w:val="0086271D"/>
    <w:rsid w:val="008B7FC7"/>
    <w:rsid w:val="008E1E4A"/>
    <w:rsid w:val="008F0615"/>
    <w:rsid w:val="008F1FDB"/>
    <w:rsid w:val="00923E7A"/>
    <w:rsid w:val="00975D76"/>
    <w:rsid w:val="009827C9"/>
    <w:rsid w:val="00982E51"/>
    <w:rsid w:val="009C4C04"/>
    <w:rsid w:val="009F7566"/>
    <w:rsid w:val="00A06BFE"/>
    <w:rsid w:val="00A35DDF"/>
    <w:rsid w:val="00A60FE6"/>
    <w:rsid w:val="00A94F31"/>
    <w:rsid w:val="00A95415"/>
    <w:rsid w:val="00AA0AA7"/>
    <w:rsid w:val="00AF638A"/>
    <w:rsid w:val="00B009AA"/>
    <w:rsid w:val="00B030C8"/>
    <w:rsid w:val="00B056E7"/>
    <w:rsid w:val="00B10035"/>
    <w:rsid w:val="00B165E6"/>
    <w:rsid w:val="00B548A2"/>
    <w:rsid w:val="00C13EEC"/>
    <w:rsid w:val="00C42C95"/>
    <w:rsid w:val="00C720A4"/>
    <w:rsid w:val="00C7611C"/>
    <w:rsid w:val="00CA7330"/>
    <w:rsid w:val="00D05E6F"/>
    <w:rsid w:val="00D44BAD"/>
    <w:rsid w:val="00D7097B"/>
    <w:rsid w:val="00D74018"/>
    <w:rsid w:val="00DB1AB2"/>
    <w:rsid w:val="00E00498"/>
    <w:rsid w:val="00E2617A"/>
    <w:rsid w:val="00E538E6"/>
    <w:rsid w:val="00E802A2"/>
    <w:rsid w:val="00ED67AF"/>
    <w:rsid w:val="00EE128C"/>
    <w:rsid w:val="00EF66D9"/>
    <w:rsid w:val="00EF780D"/>
    <w:rsid w:val="00F0267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gi">
    <w:name w:val="gi"/>
    <w:basedOn w:val="DefaultParagraphFont"/>
    <w:rsid w:val="00384BDA"/>
  </w:style>
  <w:style w:type="paragraph" w:styleId="ListParagraph">
    <w:name w:val="List Paragraph"/>
    <w:basedOn w:val="Normal"/>
    <w:qFormat/>
    <w:rsid w:val="00384BDA"/>
    <w:pPr>
      <w:tabs>
        <w:tab w:val="clear" w:pos="1134"/>
      </w:tabs>
      <w:ind w:left="720"/>
      <w:contextualSpacing/>
      <w:jc w:val="left"/>
    </w:pPr>
    <w:rPr>
      <w:rFonts w:ascii="Times New Roman" w:eastAsiaTheme="minorEastAsia" w:hAnsi="Times New Roman" w:cs="Times New Roman"/>
      <w:sz w:val="24"/>
      <w:szCs w:val="24"/>
      <w:lang w:val="en-US"/>
    </w:rPr>
  </w:style>
  <w:style w:type="character" w:customStyle="1" w:styleId="FootnoteTextChar">
    <w:name w:val="Footnote Text Char"/>
    <w:basedOn w:val="DefaultParagraphFont"/>
    <w:link w:val="FootnoteText"/>
    <w:rsid w:val="00384BDA"/>
    <w:rPr>
      <w:rFonts w:ascii="Arial" w:eastAsia="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gi">
    <w:name w:val="gi"/>
    <w:basedOn w:val="DefaultParagraphFont"/>
    <w:rsid w:val="00384BDA"/>
  </w:style>
  <w:style w:type="paragraph" w:styleId="ListParagraph">
    <w:name w:val="List Paragraph"/>
    <w:basedOn w:val="Normal"/>
    <w:qFormat/>
    <w:rsid w:val="00384BDA"/>
    <w:pPr>
      <w:tabs>
        <w:tab w:val="clear" w:pos="1134"/>
      </w:tabs>
      <w:ind w:left="720"/>
      <w:contextualSpacing/>
      <w:jc w:val="left"/>
    </w:pPr>
    <w:rPr>
      <w:rFonts w:ascii="Times New Roman" w:eastAsiaTheme="minorEastAsia" w:hAnsi="Times New Roman" w:cs="Times New Roman"/>
      <w:sz w:val="24"/>
      <w:szCs w:val="24"/>
      <w:lang w:val="en-US"/>
    </w:rPr>
  </w:style>
  <w:style w:type="character" w:customStyle="1" w:styleId="FootnoteTextChar">
    <w:name w:val="Footnote Text Char"/>
    <w:basedOn w:val="DefaultParagraphFont"/>
    <w:link w:val="FootnoteText"/>
    <w:rsid w:val="00384BDA"/>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61584">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idc.org/noaa/iicw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www.wcrp-climate.org/polarchallenge" TargetMode="External"/><Relationship Id="rId3" Type="http://schemas.openxmlformats.org/officeDocument/2006/relationships/hyperlink" Target="http://www.climate-cryosphere.org/wcrp/pcpi" TargetMode="External"/><Relationship Id="rId7" Type="http://schemas.openxmlformats.org/officeDocument/2006/relationships/hyperlink" Target="http://www.wcrp-climate.org/index.php/gc-cryosphere" TargetMode="External"/><Relationship Id="rId2" Type="http://schemas.openxmlformats.org/officeDocument/2006/relationships/hyperlink" Target="http://www.wmo.int/pages/prog/arep/wwrp/new/documents/WWRP_PPP_IP_Final_12Jan2013.pdf" TargetMode="External"/><Relationship Id="rId1" Type="http://schemas.openxmlformats.org/officeDocument/2006/relationships/hyperlink" Target="http://www.wmo.int/pages/prog/sat/documents/SAT-GEN_PSTG-StratPlan2015-2018.pdf" TargetMode="External"/><Relationship Id="rId6" Type="http://schemas.openxmlformats.org/officeDocument/2006/relationships/hyperlink" Target="http://www.soos.aq/" TargetMode="External"/><Relationship Id="rId5" Type="http://schemas.openxmlformats.org/officeDocument/2006/relationships/hyperlink" Target="http://www.climate-cryosphere.org/activities/groups/ismass" TargetMode="External"/><Relationship Id="rId4" Type="http://schemas.openxmlformats.org/officeDocument/2006/relationships/hyperlink" Target="http://www.climate-cryospher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7</TotalTime>
  <Pages>8</Pages>
  <Words>3273</Words>
  <Characters>18658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21888</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Etienne Charpentier</cp:lastModifiedBy>
  <cp:revision>3</cp:revision>
  <cp:lastPrinted>2013-03-12T09:27:00Z</cp:lastPrinted>
  <dcterms:created xsi:type="dcterms:W3CDTF">2016-01-28T16:17:00Z</dcterms:created>
  <dcterms:modified xsi:type="dcterms:W3CDTF">2016-01-28T16:21:00Z</dcterms:modified>
</cp:coreProperties>
</file>