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72248A">
            <w:pPr>
              <w:jc w:val="right"/>
              <w:rPr>
                <w:b/>
                <w:bCs/>
                <w:szCs w:val="22"/>
              </w:rPr>
            </w:pPr>
            <w:r w:rsidRPr="006B21FE">
              <w:rPr>
                <w:b/>
                <w:bCs/>
              </w:rPr>
              <w:t>CBS-MG-16</w:t>
            </w:r>
            <w:r w:rsidR="00083C36" w:rsidRPr="006B21FE">
              <w:rPr>
                <w:b/>
                <w:bCs/>
              </w:rPr>
              <w:t>/</w:t>
            </w:r>
            <w:r w:rsidR="0072248A">
              <w:rPr>
                <w:b/>
                <w:bCs/>
              </w:rPr>
              <w:t>Doc.D13</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pPr>
              <w:pStyle w:val="WMOBodyText"/>
            </w:pPr>
          </w:p>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F47067" w:rsidP="004E48B7">
            <w:pPr>
              <w:spacing w:before="60"/>
              <w:jc w:val="right"/>
              <w:rPr>
                <w:szCs w:val="22"/>
              </w:rPr>
            </w:pPr>
            <w:r>
              <w:rPr>
                <w:szCs w:val="22"/>
              </w:rPr>
              <w:t>9</w:t>
            </w:r>
            <w:r w:rsidR="00404E23">
              <w:rPr>
                <w:szCs w:val="22"/>
              </w:rPr>
              <w:t>.II</w:t>
            </w:r>
            <w:r w:rsidR="0020095E" w:rsidRPr="000573AD">
              <w:rPr>
                <w:szCs w:val="22"/>
              </w:rPr>
              <w:t>.201</w:t>
            </w:r>
            <w:r w:rsidR="004E48B7">
              <w:rPr>
                <w:szCs w:val="22"/>
              </w:rPr>
              <w:t>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0095E" w:rsidRDefault="0020095E" w:rsidP="00C13EEC">
      <w:pPr>
        <w:pStyle w:val="Heading2"/>
        <w:tabs>
          <w:tab w:val="clear" w:pos="1134"/>
        </w:tabs>
        <w:ind w:left="0" w:firstLine="0"/>
        <w:jc w:val="center"/>
        <w:rPr>
          <w:noProof/>
        </w:rPr>
      </w:pPr>
      <w:r w:rsidRPr="000573AD">
        <w:t xml:space="preserve">Agenda Item </w:t>
      </w:r>
      <w:r w:rsidR="00AD76E8">
        <w:t>5.1</w:t>
      </w:r>
      <w:r w:rsidR="00404E23">
        <w:t xml:space="preserve">: </w:t>
      </w:r>
      <w:r w:rsidR="00AD76E8">
        <w:t>Disaster Risk Reduction</w:t>
      </w:r>
    </w:p>
    <w:p w:rsidR="00180771" w:rsidRPr="00624768" w:rsidRDefault="00404E23" w:rsidP="00982E51">
      <w:pPr>
        <w:pStyle w:val="Heading1"/>
        <w:spacing w:before="480"/>
      </w:pPr>
      <w:r w:rsidRPr="00404E23">
        <w:rPr>
          <w:noProof/>
        </w:rPr>
        <w:t xml:space="preserve">CBS support to </w:t>
      </w:r>
      <w:r w:rsidR="00AD76E8">
        <w:rPr>
          <w:noProof/>
        </w:rPr>
        <w:t>disaster Risk Reduction</w:t>
      </w:r>
    </w:p>
    <w:p w:rsidR="00180771" w:rsidRPr="00AF2D08" w:rsidRDefault="006B21FE" w:rsidP="00180771">
      <w:pPr>
        <w:pStyle w:val="WMOBodyText"/>
        <w:jc w:val="center"/>
        <w:rPr>
          <w:b/>
          <w:bCs/>
          <w:color w:val="000000"/>
        </w:rPr>
      </w:pPr>
      <w:r>
        <w:rPr>
          <w:b/>
          <w:bCs/>
          <w:color w:val="000000"/>
          <w:shd w:val="clear" w:color="auto" w:fill="FFFFFF"/>
        </w:rPr>
        <w:t>Brief summary of the document</w:t>
      </w:r>
    </w:p>
    <w:p w:rsidR="00180771" w:rsidRPr="00624768" w:rsidRDefault="00180771" w:rsidP="00180771">
      <w:pPr>
        <w:pStyle w:val="Heading3"/>
      </w:pPr>
      <w:r w:rsidRPr="00624768">
        <w:t>DECISIONS/ACTIONS REQUIRED:</w:t>
      </w:r>
    </w:p>
    <w:p w:rsidR="0020095E" w:rsidRPr="000573AD" w:rsidRDefault="0020095E" w:rsidP="00180771">
      <w:pPr>
        <w:pStyle w:val="WMOResList1"/>
      </w:pPr>
      <w:r w:rsidRPr="000573AD">
        <w:t>(a)</w:t>
      </w:r>
      <w:r w:rsidRPr="000573AD">
        <w:tab/>
      </w:r>
      <w:r w:rsidR="00F1765E">
        <w:t>Request that CBS considers the requirements stemming from the</w:t>
      </w:r>
      <w:r w:rsidR="00F1765E" w:rsidRPr="00AE2E1C">
        <w:t xml:space="preserve"> </w:t>
      </w:r>
      <w:r w:rsidR="00CB163D" w:rsidRPr="00AE2E1C">
        <w:t xml:space="preserve">Sendai Framework for Disaster Risk Reduction 2015-2030 when </w:t>
      </w:r>
      <w:r w:rsidR="00F1765E">
        <w:t xml:space="preserve">it </w:t>
      </w:r>
      <w:r w:rsidR="00CB163D" w:rsidRPr="00AE2E1C">
        <w:t>develop</w:t>
      </w:r>
      <w:r w:rsidR="00F1765E">
        <w:t>s</w:t>
      </w:r>
      <w:r w:rsidR="00CB163D" w:rsidRPr="00AE2E1C">
        <w:t xml:space="preserve"> its </w:t>
      </w:r>
      <w:r w:rsidR="00F1765E">
        <w:t>W</w:t>
      </w:r>
      <w:r w:rsidR="00CB163D" w:rsidRPr="00AE2E1C">
        <w:t xml:space="preserve">ork </w:t>
      </w:r>
      <w:r w:rsidR="00F1765E">
        <w:t>P</w:t>
      </w:r>
      <w:r w:rsidR="00CB163D" w:rsidRPr="00AE2E1C">
        <w:t>lan;</w:t>
      </w:r>
    </w:p>
    <w:p w:rsidR="0020095E" w:rsidRPr="000573AD" w:rsidRDefault="0020095E" w:rsidP="0020095E">
      <w:pPr>
        <w:pStyle w:val="WMOResList1"/>
      </w:pPr>
      <w:r w:rsidRPr="000573AD">
        <w:t>(b)</w:t>
      </w:r>
      <w:r w:rsidRPr="000573AD">
        <w:tab/>
      </w:r>
      <w:r w:rsidR="00AD76E8">
        <w:t>Request the i</w:t>
      </w:r>
      <w:r w:rsidR="00AD76E8" w:rsidRPr="00AD76E8">
        <w:t xml:space="preserve">nclusion of </w:t>
      </w:r>
      <w:r w:rsidR="003B10D4">
        <w:t>the</w:t>
      </w:r>
      <w:bookmarkStart w:id="0" w:name="_GoBack"/>
      <w:bookmarkEnd w:id="0"/>
      <w:r w:rsidR="004E48B7">
        <w:t xml:space="preserve"> </w:t>
      </w:r>
      <w:r w:rsidR="00AD76E8" w:rsidRPr="00AD76E8">
        <w:t xml:space="preserve">WMO DRR Roadmap into </w:t>
      </w:r>
      <w:r w:rsidR="00F1765E">
        <w:t>CBS’</w:t>
      </w:r>
      <w:r w:rsidR="00AD76E8" w:rsidRPr="00AD76E8">
        <w:t xml:space="preserve"> </w:t>
      </w:r>
      <w:r w:rsidR="00F1765E">
        <w:t>W</w:t>
      </w:r>
      <w:r w:rsidR="00AD76E8" w:rsidRPr="00AD76E8">
        <w:t xml:space="preserve">ork </w:t>
      </w:r>
      <w:r w:rsidR="00F1765E">
        <w:t>P</w:t>
      </w:r>
      <w:r w:rsidR="00AD76E8" w:rsidRPr="00AD76E8">
        <w:t>lan;</w:t>
      </w:r>
    </w:p>
    <w:p w:rsidR="0020095E" w:rsidRDefault="0020095E" w:rsidP="0020095E">
      <w:pPr>
        <w:pStyle w:val="WMOResList1"/>
      </w:pPr>
      <w:r w:rsidRPr="00404E23">
        <w:t>(c)</w:t>
      </w:r>
      <w:r w:rsidRPr="00404E23">
        <w:tab/>
      </w:r>
      <w:r w:rsidR="00CB163D" w:rsidRPr="00AE2E1C">
        <w:t xml:space="preserve">Recommend to EC-68 the establishment of an Inter-Commission Task Team to address </w:t>
      </w:r>
      <w:r w:rsidR="004E48B7" w:rsidRPr="00AE2E1C">
        <w:t>C</w:t>
      </w:r>
      <w:r w:rsidR="004E48B7">
        <w:t>g-</w:t>
      </w:r>
      <w:r w:rsidR="00CB163D" w:rsidRPr="00AE2E1C">
        <w:t xml:space="preserve">17’s decision to standardize weather, water, climate, space weather and other related environmental hazard and risk information and to develop identifiers for cataloguing </w:t>
      </w:r>
      <w:r w:rsidR="004E48B7">
        <w:t xml:space="preserve">extreme </w:t>
      </w:r>
      <w:r w:rsidR="00CB163D" w:rsidRPr="00AE2E1C">
        <w:t>weather</w:t>
      </w:r>
      <w:r w:rsidR="004E48B7">
        <w:t>,</w:t>
      </w:r>
      <w:r w:rsidR="00CB163D" w:rsidRPr="00AE2E1C">
        <w:t xml:space="preserve"> water and climate events</w:t>
      </w:r>
      <w:r w:rsidR="00CB163D">
        <w:t>;</w:t>
      </w:r>
    </w:p>
    <w:p w:rsidR="00CB163D" w:rsidRDefault="00AD76E8" w:rsidP="00AD76E8">
      <w:pPr>
        <w:pStyle w:val="WMOResList1"/>
      </w:pPr>
      <w:r>
        <w:t>(d</w:t>
      </w:r>
      <w:r w:rsidRPr="00404E23">
        <w:t>)</w:t>
      </w:r>
      <w:r w:rsidRPr="00404E23">
        <w:tab/>
      </w:r>
      <w:r w:rsidR="00CB163D" w:rsidRPr="00CB163D">
        <w:t>To re</w:t>
      </w:r>
      <w:r w:rsidR="00F1765E">
        <w:t>nominate</w:t>
      </w:r>
      <w:r w:rsidR="00CB163D" w:rsidRPr="00CB163D">
        <w:t xml:space="preserve"> </w:t>
      </w:r>
      <w:r w:rsidR="004E48B7">
        <w:t>the CBS</w:t>
      </w:r>
      <w:r w:rsidR="004E48B7" w:rsidRPr="00CB163D">
        <w:t xml:space="preserve"> </w:t>
      </w:r>
      <w:r w:rsidR="00CB163D" w:rsidRPr="00CB163D">
        <w:t xml:space="preserve">DRR Focal </w:t>
      </w:r>
      <w:r w:rsidR="004E48B7">
        <w:t>P</w:t>
      </w:r>
      <w:r w:rsidR="00CB163D" w:rsidRPr="00CB163D">
        <w:t>oint for the next inter-sessional period; and,</w:t>
      </w:r>
    </w:p>
    <w:p w:rsidR="00CB163D" w:rsidRDefault="00CB163D" w:rsidP="00CB163D">
      <w:pPr>
        <w:pStyle w:val="WMOResList1"/>
      </w:pPr>
      <w:r>
        <w:t>(e</w:t>
      </w:r>
      <w:r w:rsidRPr="00404E23">
        <w:t>)</w:t>
      </w:r>
      <w:r w:rsidRPr="00404E23">
        <w:tab/>
      </w:r>
      <w:r w:rsidRPr="00AE2E1C">
        <w:t xml:space="preserve">Review and consideration of the attached </w:t>
      </w:r>
      <w:r w:rsidR="00B35949">
        <w:t xml:space="preserve">draft </w:t>
      </w:r>
      <w:r>
        <w:t xml:space="preserve">text with its annexes. </w:t>
      </w:r>
    </w:p>
    <w:p w:rsidR="00CB163D" w:rsidRDefault="00CB163D" w:rsidP="00AD76E8">
      <w:pPr>
        <w:pStyle w:val="WMOResList1"/>
      </w:pPr>
    </w:p>
    <w:p w:rsidR="0020095E" w:rsidRPr="000573AD" w:rsidRDefault="0020095E" w:rsidP="0020095E">
      <w:pPr>
        <w:pStyle w:val="Heading3"/>
      </w:pPr>
      <w:r w:rsidRPr="000573AD">
        <w:t xml:space="preserve">CONTENT OF DOCUMENT: </w:t>
      </w:r>
    </w:p>
    <w:p w:rsidR="0020095E" w:rsidRDefault="0020095E" w:rsidP="0020095E">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AD76E8" w:rsidRDefault="00AD76E8" w:rsidP="0020095E">
      <w:pPr>
        <w:pStyle w:val="WMOBodyText"/>
      </w:pPr>
    </w:p>
    <w:p w:rsidR="0020095E" w:rsidRPr="000573AD" w:rsidRDefault="0020095E" w:rsidP="0020095E">
      <w:pPr>
        <w:pStyle w:val="Heading1"/>
      </w:pPr>
      <w:r w:rsidRPr="000573AD">
        <w:rPr>
          <w:lang w:eastAsia="zh-CN"/>
        </w:rPr>
        <w:br w:type="page"/>
      </w:r>
      <w:bookmarkStart w:id="1" w:name="_APPENDIX_A:_"/>
      <w:bookmarkStart w:id="2" w:name="_Toc319327006"/>
      <w:bookmarkEnd w:id="1"/>
      <w:r w:rsidRPr="000573AD">
        <w:lastRenderedPageBreak/>
        <w:t>DRAFT TEXT FOR INCLUSION IN THE GENERAL SUMMARY</w:t>
      </w:r>
      <w:bookmarkEnd w:id="2"/>
    </w:p>
    <w:p w:rsidR="0020095E" w:rsidRDefault="00AD76E8" w:rsidP="00404E23">
      <w:pPr>
        <w:pStyle w:val="Heading3"/>
      </w:pPr>
      <w:bookmarkStart w:id="3" w:name="_Toc319327008"/>
      <w:r>
        <w:t>5.1</w:t>
      </w:r>
      <w:r w:rsidR="0020095E" w:rsidRPr="000573AD">
        <w:tab/>
      </w:r>
      <w:bookmarkEnd w:id="3"/>
      <w:r w:rsidR="00404E23" w:rsidRPr="00404E23">
        <w:t xml:space="preserve">CBS support to </w:t>
      </w:r>
      <w:r>
        <w:t>Disaster Risk Reduction</w:t>
      </w:r>
      <w:r w:rsidR="00404E23">
        <w:t xml:space="preserve"> </w:t>
      </w:r>
    </w:p>
    <w:p w:rsidR="00CB163D" w:rsidRDefault="00CB163D" w:rsidP="00CB163D">
      <w:pPr>
        <w:rPr>
          <w:lang w:eastAsia="zh-TW"/>
        </w:rPr>
      </w:pPr>
    </w:p>
    <w:p w:rsidR="001378DB" w:rsidRDefault="004E48B7" w:rsidP="001378DB">
      <w:pPr>
        <w:rPr>
          <w:b/>
        </w:rPr>
      </w:pPr>
      <w:r>
        <w:rPr>
          <w:b/>
        </w:rPr>
        <w:t xml:space="preserve">The </w:t>
      </w:r>
      <w:r w:rsidR="001378DB">
        <w:rPr>
          <w:b/>
        </w:rPr>
        <w:t xml:space="preserve">Sendai Framework </w:t>
      </w:r>
      <w:r>
        <w:rPr>
          <w:b/>
        </w:rPr>
        <w:t>for Disaster Risk Reduction 2015-2030</w:t>
      </w:r>
    </w:p>
    <w:p w:rsidR="001378DB" w:rsidRDefault="001378DB" w:rsidP="001378DB">
      <w:r>
        <w:t>The Sendai Framework for Disaster Risk Reduction 2015-2030 (Sendai Framework), the first major agreement of the 2015 global development agenda, was adopted by 187 countries at the Third United Nations (UN) World Conference on Disaster Risk Reduction (WCDRR) in March 2015. Over 6</w:t>
      </w:r>
      <w:r w:rsidR="004E48B7">
        <w:t> </w:t>
      </w:r>
      <w:r>
        <w:t>500 participants attended the Conference, including representatives from governments, intergovernmental organizations, non-governmental organizations, the media and National Meteorological and Hydrological Services (NMHSs). The Sendai Framework includes four priorities for action, including:</w:t>
      </w:r>
    </w:p>
    <w:p w:rsidR="001378DB" w:rsidRDefault="001378DB" w:rsidP="001378DB"/>
    <w:p w:rsidR="001378DB" w:rsidRDefault="00F46D6B" w:rsidP="001378DB">
      <w:pPr>
        <w:numPr>
          <w:ilvl w:val="0"/>
          <w:numId w:val="1"/>
        </w:numPr>
        <w:tabs>
          <w:tab w:val="clear" w:pos="1134"/>
        </w:tabs>
        <w:jc w:val="left"/>
      </w:pPr>
      <w:r>
        <w:t>T</w:t>
      </w:r>
      <w:r w:rsidR="001378DB">
        <w:t>he need for improved understanding of disaster risk in all its dimensions of exposure, vulnerability and hazard characteristics;</w:t>
      </w:r>
    </w:p>
    <w:p w:rsidR="001378DB" w:rsidRDefault="00F46D6B" w:rsidP="001378DB">
      <w:pPr>
        <w:numPr>
          <w:ilvl w:val="0"/>
          <w:numId w:val="1"/>
        </w:numPr>
        <w:tabs>
          <w:tab w:val="clear" w:pos="1134"/>
        </w:tabs>
        <w:jc w:val="left"/>
      </w:pPr>
      <w:r>
        <w:t>T</w:t>
      </w:r>
      <w:r w:rsidR="001378DB">
        <w:t>he strengthening of disaster risk governance</w:t>
      </w:r>
      <w:r w:rsidR="004E48B7">
        <w:t xml:space="preserve"> to manage disaster risk</w:t>
      </w:r>
      <w:r w:rsidR="001378DB">
        <w:t>, including national, regional and global platforms for DRR as mechanisms for coherence across agendas, monitoring and periodic reviews as well as accountability for disaster risk management;</w:t>
      </w:r>
    </w:p>
    <w:p w:rsidR="001378DB" w:rsidRDefault="00F46D6B" w:rsidP="001378DB">
      <w:pPr>
        <w:numPr>
          <w:ilvl w:val="0"/>
          <w:numId w:val="1"/>
        </w:numPr>
        <w:tabs>
          <w:tab w:val="clear" w:pos="1134"/>
        </w:tabs>
        <w:jc w:val="left"/>
      </w:pPr>
      <w:r>
        <w:t>I</w:t>
      </w:r>
      <w:r w:rsidR="001378DB">
        <w:t>nvesting in DRR for resilience including risk-informed donor policies and programmes and financial support and loans from international financial institutions; and</w:t>
      </w:r>
      <w:r w:rsidR="004E48B7">
        <w:t>,</w:t>
      </w:r>
    </w:p>
    <w:p w:rsidR="001378DB" w:rsidRDefault="00F46D6B" w:rsidP="001378DB">
      <w:pPr>
        <w:numPr>
          <w:ilvl w:val="0"/>
          <w:numId w:val="1"/>
        </w:numPr>
        <w:tabs>
          <w:tab w:val="clear" w:pos="1134"/>
        </w:tabs>
        <w:jc w:val="left"/>
      </w:pPr>
      <w:r>
        <w:t>E</w:t>
      </w:r>
      <w:r w:rsidR="001378DB">
        <w:t>nhancing disaster preparedness for effective response and to “Build Back Better” in recovery, rehabilitation and reconstruction, including improved resilience of health infrastructure, cultural heritage and workplaces.</w:t>
      </w:r>
    </w:p>
    <w:p w:rsidR="001378DB" w:rsidRDefault="001378DB" w:rsidP="001378DB">
      <w:pPr>
        <w:rPr>
          <w:b/>
        </w:rPr>
      </w:pPr>
    </w:p>
    <w:p w:rsidR="001378DB" w:rsidRDefault="001378DB" w:rsidP="001378DB">
      <w:r>
        <w:t>The WMO community has a wide range of services and products on offer for the implementation of the Sendai Framework. However</w:t>
      </w:r>
      <w:r w:rsidR="004E48B7">
        <w:t>,</w:t>
      </w:r>
      <w:r>
        <w:t xml:space="preserve"> other commitments made at WCDRR, at </w:t>
      </w:r>
      <w:r w:rsidR="004E48B7">
        <w:t>the 17</w:t>
      </w:r>
      <w:r w:rsidR="004E48B7" w:rsidRPr="00580D15">
        <w:rPr>
          <w:vertAlign w:val="superscript"/>
        </w:rPr>
        <w:t>th</w:t>
      </w:r>
      <w:r w:rsidR="004E48B7">
        <w:t xml:space="preserve"> </w:t>
      </w:r>
      <w:r>
        <w:t xml:space="preserve">Session of the World Meteorological Congress (Cg-17) and in subsequent processes still need to be implemented (see Annex </w:t>
      </w:r>
      <w:r w:rsidR="00C758F6">
        <w:t>I</w:t>
      </w:r>
      <w:r>
        <w:t xml:space="preserve"> for a list of decisions and requests by Cg-17</w:t>
      </w:r>
      <w:r w:rsidR="00F1765E">
        <w:t xml:space="preserve"> in relation to DRR</w:t>
      </w:r>
      <w:r>
        <w:t xml:space="preserve">). It is requested that CBS include relevant aspects of the Sendai Framework into its </w:t>
      </w:r>
      <w:r w:rsidR="004E48B7">
        <w:t>W</w:t>
      </w:r>
      <w:r>
        <w:t xml:space="preserve">ork </w:t>
      </w:r>
      <w:r w:rsidR="004E48B7">
        <w:t>P</w:t>
      </w:r>
      <w:r>
        <w:t xml:space="preserve">lan as well as the terms of reference </w:t>
      </w:r>
      <w:r w:rsidR="004E48B7">
        <w:t xml:space="preserve">(ToR) </w:t>
      </w:r>
      <w:r>
        <w:t xml:space="preserve">of </w:t>
      </w:r>
      <w:r w:rsidR="004E48B7">
        <w:t xml:space="preserve">its </w:t>
      </w:r>
      <w:r>
        <w:t>various expert</w:t>
      </w:r>
      <w:r w:rsidR="004E48B7">
        <w:t>/task</w:t>
      </w:r>
      <w:r>
        <w:t xml:space="preserve"> teams and OPAGs</w:t>
      </w:r>
      <w:r w:rsidR="00C758F6">
        <w:t>. For further information on the Sendai Framework and its implications for WMO please see Annex II</w:t>
      </w:r>
      <w:r w:rsidR="00A26241">
        <w:t xml:space="preserve"> Section 1</w:t>
      </w:r>
      <w:r>
        <w:t xml:space="preserve">.  </w:t>
      </w:r>
    </w:p>
    <w:p w:rsidR="001378DB" w:rsidRDefault="001378DB" w:rsidP="001378DB"/>
    <w:p w:rsidR="001378DB" w:rsidRDefault="001378DB" w:rsidP="001378DB">
      <w:pPr>
        <w:rPr>
          <w:b/>
        </w:rPr>
      </w:pPr>
      <w:r>
        <w:rPr>
          <w:b/>
        </w:rPr>
        <w:t xml:space="preserve">Inclusion of </w:t>
      </w:r>
      <w:r w:rsidR="004E48B7">
        <w:rPr>
          <w:b/>
        </w:rPr>
        <w:t xml:space="preserve">the </w:t>
      </w:r>
      <w:r>
        <w:rPr>
          <w:b/>
        </w:rPr>
        <w:t xml:space="preserve">WMO Roadmap into the CBS </w:t>
      </w:r>
      <w:r w:rsidR="004E48B7">
        <w:rPr>
          <w:b/>
        </w:rPr>
        <w:t>W</w:t>
      </w:r>
      <w:r>
        <w:rPr>
          <w:b/>
        </w:rPr>
        <w:t xml:space="preserve">ork </w:t>
      </w:r>
      <w:r w:rsidR="004E48B7">
        <w:rPr>
          <w:b/>
        </w:rPr>
        <w:t>P</w:t>
      </w:r>
      <w:r>
        <w:rPr>
          <w:b/>
        </w:rPr>
        <w:t>lan</w:t>
      </w:r>
    </w:p>
    <w:p w:rsidR="001378DB" w:rsidRDefault="004E48B7" w:rsidP="001378DB">
      <w:pPr>
        <w:rPr>
          <w:rFonts w:cs="Times New Roman"/>
        </w:rPr>
      </w:pPr>
      <w:r>
        <w:t xml:space="preserve">In order to support the </w:t>
      </w:r>
      <w:r w:rsidR="00F46D6B">
        <w:t>disaster risk reduction (</w:t>
      </w:r>
      <w:r>
        <w:t>DRR</w:t>
      </w:r>
      <w:r w:rsidR="00F46D6B">
        <w:t>)</w:t>
      </w:r>
      <w:r>
        <w:t xml:space="preserve"> priority of the organization, </w:t>
      </w:r>
      <w:r w:rsidR="001378DB">
        <w:t xml:space="preserve">WMO is now realigning its DRR Programme with the Sendai Framework, while considering the provisions of other global frameworks that are highly relevant to DRR, for example </w:t>
      </w:r>
      <w:r w:rsidRPr="004E48B7">
        <w:t xml:space="preserve">Transforming Our World - the 2030 Agenda for </w:t>
      </w:r>
      <w:r>
        <w:t>S</w:t>
      </w:r>
      <w:r w:rsidR="001378DB">
        <w:t xml:space="preserve">ustainable </w:t>
      </w:r>
      <w:r>
        <w:t>D</w:t>
      </w:r>
      <w:r w:rsidR="001378DB">
        <w:t>evelopment</w:t>
      </w:r>
      <w:r>
        <w:t xml:space="preserve"> and the Paris Agreement under the </w:t>
      </w:r>
      <w:r w:rsidRPr="004E48B7">
        <w:t>United Nations Framework Convention on Climate Change</w:t>
      </w:r>
      <w:r>
        <w:t xml:space="preserve"> (UNFCCC) as well as on</w:t>
      </w:r>
      <w:r w:rsidR="001378DB">
        <w:t xml:space="preserve"> humanitarian assistance and urban issues</w:t>
      </w:r>
      <w:r>
        <w:t xml:space="preserve"> which are to follow in 2016</w:t>
      </w:r>
      <w:r w:rsidR="001378DB">
        <w:t xml:space="preserve">. As a first step the WMO Congress </w:t>
      </w:r>
      <w:r>
        <w:t xml:space="preserve">(Cg) </w:t>
      </w:r>
      <w:r w:rsidR="001378DB">
        <w:t xml:space="preserve">and Executive Council </w:t>
      </w:r>
      <w:r>
        <w:t xml:space="preserve">(EC) </w:t>
      </w:r>
      <w:r w:rsidR="001378DB">
        <w:t xml:space="preserve">requested that WMO develop a WMO DRR Roadmap that will guide WMO activities in all components of disaster risk </w:t>
      </w:r>
      <w:r>
        <w:t xml:space="preserve">management </w:t>
      </w:r>
      <w:r w:rsidR="001378DB">
        <w:t>as well as their further enhancement and coordination across WMO constituent bodies and programmes. The specific objectives of the Roadmap are to:</w:t>
      </w:r>
    </w:p>
    <w:p w:rsidR="001378DB" w:rsidRDefault="001378DB" w:rsidP="001378DB"/>
    <w:p w:rsidR="001378DB" w:rsidRDefault="001378DB" w:rsidP="001378DB">
      <w:pPr>
        <w:numPr>
          <w:ilvl w:val="0"/>
          <w:numId w:val="2"/>
        </w:numPr>
        <w:tabs>
          <w:tab w:val="clear" w:pos="1134"/>
        </w:tabs>
        <w:jc w:val="left"/>
      </w:pPr>
      <w:r>
        <w:t>Provide a framework for WMO Members to enhance NMHSs’ contributions to national DRR efforts;</w:t>
      </w:r>
    </w:p>
    <w:p w:rsidR="001378DB" w:rsidRDefault="001378DB" w:rsidP="001378DB">
      <w:pPr>
        <w:numPr>
          <w:ilvl w:val="0"/>
          <w:numId w:val="2"/>
        </w:numPr>
        <w:tabs>
          <w:tab w:val="clear" w:pos="1134"/>
        </w:tabs>
        <w:jc w:val="left"/>
      </w:pPr>
      <w:r>
        <w:t>Provide a mechanism to enhance WMO programmatic coordination and collaboration in respect of DRR;</w:t>
      </w:r>
    </w:p>
    <w:p w:rsidR="001378DB" w:rsidRDefault="001378DB" w:rsidP="001378DB">
      <w:pPr>
        <w:numPr>
          <w:ilvl w:val="0"/>
          <w:numId w:val="2"/>
        </w:numPr>
        <w:tabs>
          <w:tab w:val="clear" w:pos="1134"/>
        </w:tabs>
        <w:jc w:val="left"/>
      </w:pPr>
      <w:r>
        <w:t>Reference developments in capability such as impact-based forecasting and risk-informed warnings of multiple hazards; and,</w:t>
      </w:r>
    </w:p>
    <w:p w:rsidR="001378DB" w:rsidRDefault="001378DB" w:rsidP="001378DB">
      <w:pPr>
        <w:numPr>
          <w:ilvl w:val="0"/>
          <w:numId w:val="2"/>
        </w:numPr>
        <w:tabs>
          <w:tab w:val="clear" w:pos="1134"/>
        </w:tabs>
        <w:jc w:val="left"/>
      </w:pPr>
      <w:r>
        <w:t xml:space="preserve">Identify both tactical and strategic opportunities to enhance the role of hydrometeorology and therefore of NMHSs and WMO in global and regional DRR fora (including coordinated and focused engagement with the international DRR stakeholder community, e.g. the </w:t>
      </w:r>
      <w:r w:rsidR="00F46D6B">
        <w:t>UN</w:t>
      </w:r>
      <w:r>
        <w:t xml:space="preserve"> </w:t>
      </w:r>
      <w:r>
        <w:lastRenderedPageBreak/>
        <w:t>system, regional and sub-regional organizations, the private sector, charities, NGOs, etc.) and in the implementation of relevant international frameworks and processes.</w:t>
      </w:r>
    </w:p>
    <w:p w:rsidR="001378DB" w:rsidRDefault="001378DB" w:rsidP="001378DB">
      <w:pPr>
        <w:autoSpaceDE w:val="0"/>
        <w:autoSpaceDN w:val="0"/>
        <w:adjustRightInd w:val="0"/>
      </w:pPr>
    </w:p>
    <w:p w:rsidR="001378DB" w:rsidRDefault="001378DB" w:rsidP="001378DB">
      <w:r>
        <w:t>The WMO DRR Roadmap, currently in draft form</w:t>
      </w:r>
      <w:r w:rsidR="004E48B7">
        <w:t xml:space="preserve"> after a first round of consultations among Members in 2015,</w:t>
      </w:r>
      <w:r>
        <w:t xml:space="preserve"> will be submitted to the 68</w:t>
      </w:r>
      <w:r>
        <w:rPr>
          <w:vertAlign w:val="superscript"/>
        </w:rPr>
        <w:t>th</w:t>
      </w:r>
      <w:r>
        <w:t xml:space="preserve"> session of the </w:t>
      </w:r>
      <w:r w:rsidR="004E48B7">
        <w:t>EC (EC-68)</w:t>
      </w:r>
      <w:r>
        <w:t xml:space="preserve"> for approval. It is recommended that once approved, CBS will consider the WMO DRR Roadmap when developing its new </w:t>
      </w:r>
      <w:r w:rsidR="004E48B7">
        <w:t>W</w:t>
      </w:r>
      <w:r>
        <w:t xml:space="preserve">ork </w:t>
      </w:r>
      <w:r w:rsidR="004E48B7">
        <w:t>P</w:t>
      </w:r>
      <w:r>
        <w:t>lan and T</w:t>
      </w:r>
      <w:r w:rsidR="004E48B7">
        <w:t>o</w:t>
      </w:r>
      <w:r>
        <w:t>R of its OPAG’s and task teams.</w:t>
      </w:r>
      <w:r w:rsidR="00A26241">
        <w:t xml:space="preserve"> For further information on the WMO DRR Roadmap see Annex II Section 2.</w:t>
      </w:r>
    </w:p>
    <w:p w:rsidR="001378DB" w:rsidRDefault="001378DB" w:rsidP="001378DB"/>
    <w:p w:rsidR="00A26241" w:rsidRPr="00A26241" w:rsidRDefault="00A26241" w:rsidP="00F46D6B">
      <w:pPr>
        <w:rPr>
          <w:b/>
        </w:rPr>
      </w:pPr>
      <w:r w:rsidRPr="00A26241">
        <w:rPr>
          <w:b/>
        </w:rPr>
        <w:t>Meeting of the WMO Disaster Risk Reduction Focal Points of Regional Associations, Technical Commissions and Technical Programmes (DRR FP RA-TC-TP)</w:t>
      </w:r>
    </w:p>
    <w:p w:rsidR="00A26241" w:rsidRPr="00AE2E1C" w:rsidRDefault="00A26241" w:rsidP="00A26241">
      <w:r>
        <w:t>T</w:t>
      </w:r>
      <w:r w:rsidRPr="00AE2E1C">
        <w:t xml:space="preserve">he WMO </w:t>
      </w:r>
      <w:r w:rsidR="00F46D6B">
        <w:t>DRR</w:t>
      </w:r>
      <w:r w:rsidRPr="00AE2E1C">
        <w:t xml:space="preserve"> Focal Points of Regional Associations, Technical Commissions and Technical Programmes (DRR FP RA-TC-TP) was held on 3-5 November 2015, at the WMO headquarters in Geneva, Switzerland. The meeting was co-chaired by Mr Michel Jean (DRR Focal Point of CBS) and Prof Kevin Horsburgh (DRR Focal Point of JCOMM).</w:t>
      </w:r>
      <w:r>
        <w:t xml:space="preserve"> A summary report of the meeting is provided in Annex II Section 3. </w:t>
      </w:r>
    </w:p>
    <w:p w:rsidR="00A26241" w:rsidRPr="00A26241" w:rsidRDefault="00A26241" w:rsidP="00A26241">
      <w:pPr>
        <w:pStyle w:val="WMOBodyText"/>
        <w:spacing w:before="0"/>
        <w:rPr>
          <w:lang w:eastAsia="en-US"/>
        </w:rPr>
      </w:pPr>
    </w:p>
    <w:p w:rsidR="001378DB" w:rsidRDefault="001378DB" w:rsidP="001378DB">
      <w:pPr>
        <w:rPr>
          <w:b/>
        </w:rPr>
      </w:pPr>
      <w:r>
        <w:rPr>
          <w:b/>
        </w:rPr>
        <w:t xml:space="preserve">Recommendation to EC-68 to establish an </w:t>
      </w:r>
      <w:r w:rsidR="004E48B7">
        <w:rPr>
          <w:b/>
        </w:rPr>
        <w:t>i</w:t>
      </w:r>
      <w:r>
        <w:rPr>
          <w:b/>
        </w:rPr>
        <w:t>nter-</w:t>
      </w:r>
      <w:r w:rsidR="004E48B7">
        <w:rPr>
          <w:b/>
        </w:rPr>
        <w:t>c</w:t>
      </w:r>
      <w:r>
        <w:rPr>
          <w:b/>
        </w:rPr>
        <w:t xml:space="preserve">ommission </w:t>
      </w:r>
      <w:r w:rsidR="004E48B7">
        <w:rPr>
          <w:b/>
        </w:rPr>
        <w:t>t</w:t>
      </w:r>
      <w:r>
        <w:rPr>
          <w:b/>
        </w:rPr>
        <w:t xml:space="preserve">ask </w:t>
      </w:r>
      <w:r w:rsidR="004E48B7">
        <w:rPr>
          <w:b/>
        </w:rPr>
        <w:t>t</w:t>
      </w:r>
      <w:r>
        <w:rPr>
          <w:b/>
        </w:rPr>
        <w:t xml:space="preserve">eam </w:t>
      </w:r>
      <w:r w:rsidR="004E48B7">
        <w:rPr>
          <w:b/>
        </w:rPr>
        <w:t>for the implementation of Resolution 9 (Cg-17)</w:t>
      </w:r>
    </w:p>
    <w:p w:rsidR="001378DB" w:rsidRDefault="001378DB" w:rsidP="001378DB">
      <w:r>
        <w:t xml:space="preserve">In support of the Sendai Framework’s first Priority for Action, </w:t>
      </w:r>
      <w:r w:rsidR="004E48B7">
        <w:t>Cg-</w:t>
      </w:r>
      <w:r>
        <w:t>17 through adoption of its Resolution 9</w:t>
      </w:r>
      <w:r w:rsidR="004E48B7">
        <w:t>,</w:t>
      </w:r>
      <w:r>
        <w:t xml:space="preserve"> decided to standardize weather, water, climate, space weather and other related environmental hazard information. </w:t>
      </w:r>
      <w:r w:rsidR="004E48B7">
        <w:t>C-</w:t>
      </w:r>
      <w:r>
        <w:t xml:space="preserve">17 also requested CBS to develop, in collaboration with all technical commissions </w:t>
      </w:r>
      <w:r w:rsidR="004E48B7">
        <w:t xml:space="preserve">(TCs) </w:t>
      </w:r>
      <w:r>
        <w:t>and regional associations</w:t>
      </w:r>
      <w:r w:rsidR="004E48B7">
        <w:t xml:space="preserve"> (RAs)</w:t>
      </w:r>
      <w:r>
        <w:t xml:space="preserve">, a proposal on standardized identifiers for cataloguing hazardous </w:t>
      </w:r>
      <w:r w:rsidR="004E48B7">
        <w:t xml:space="preserve">and </w:t>
      </w:r>
      <w:r w:rsidR="004E48B7" w:rsidRPr="004E48B7">
        <w:t xml:space="preserve">extreme weather, water and climate </w:t>
      </w:r>
      <w:r>
        <w:t xml:space="preserve">events for consideration by the </w:t>
      </w:r>
      <w:r w:rsidR="00F1765E">
        <w:t>EC</w:t>
      </w:r>
      <w:r>
        <w:t>. These measures will promote interoperability among datasets and facilitate Members’ efforts to assess risks and track climate-related loss and damage. Enhanced capabilities to monitor and model future climate conditions will improve the attribution of extreme weather</w:t>
      </w:r>
      <w:r w:rsidR="004E48B7">
        <w:t>, water and climate</w:t>
      </w:r>
      <w:r>
        <w:t xml:space="preserve"> events to climate change. The</w:t>
      </w:r>
      <w:r w:rsidR="004E48B7">
        <w:t>se</w:t>
      </w:r>
      <w:r>
        <w:t xml:space="preserve"> capabilities will also facilitate preparedness and adaptation at all timescales and will provide quality assurance of these data, including the official designation/validation of extreme events and archiving of event data and trend indices. The WMO, through its </w:t>
      </w:r>
      <w:r w:rsidR="004E48B7">
        <w:t>TCs</w:t>
      </w:r>
      <w:r>
        <w:t xml:space="preserve"> are already active and in some cases well advanced in addressing different aspects of the characterizing and cataloguing issue. </w:t>
      </w:r>
    </w:p>
    <w:p w:rsidR="001378DB" w:rsidRDefault="001378DB" w:rsidP="001378DB"/>
    <w:p w:rsidR="001378DB" w:rsidRDefault="001378DB" w:rsidP="001378DB">
      <w:r>
        <w:t xml:space="preserve">To address the decision of Cg-17 it is proposed that the CBS Management Group make a recommendation to EC-68 to establish an inter-commission task team on indexing and cataloguing that would coordinate activities of the </w:t>
      </w:r>
      <w:r w:rsidR="004E48B7">
        <w:t>TCs</w:t>
      </w:r>
      <w:r>
        <w:t xml:space="preserve"> and </w:t>
      </w:r>
      <w:r w:rsidR="004E48B7">
        <w:t>RAs</w:t>
      </w:r>
      <w:r>
        <w:t xml:space="preserve"> in the standardization of weather, water, climate, space weather and other related environmental hazard and risk information and the development of identifiers for cataloguing </w:t>
      </w:r>
      <w:r w:rsidR="004E48B7">
        <w:t xml:space="preserve">extreme </w:t>
      </w:r>
      <w:r>
        <w:t>weather</w:t>
      </w:r>
      <w:r w:rsidR="004E48B7">
        <w:t>,</w:t>
      </w:r>
      <w:r>
        <w:t xml:space="preserve"> water and climate events. It is also proposed that such a task team be co-chaired by both CBS and CC</w:t>
      </w:r>
      <w:r w:rsidR="00F46D6B">
        <w:t>l</w:t>
      </w:r>
      <w:r>
        <w:t>.</w:t>
      </w:r>
      <w:r w:rsidR="00CA50FA">
        <w:t xml:space="preserve"> For further information on WMO activities related to implementation of Resolution 9 </w:t>
      </w:r>
      <w:r w:rsidR="004E48B7">
        <w:t xml:space="preserve">(Cg-17) </w:t>
      </w:r>
      <w:r w:rsidR="00CA50FA">
        <w:t xml:space="preserve">please see Annex II Section 4.  </w:t>
      </w:r>
    </w:p>
    <w:p w:rsidR="001378DB" w:rsidRDefault="001378DB" w:rsidP="001378DB"/>
    <w:p w:rsidR="001378DB" w:rsidRDefault="001378DB" w:rsidP="001378DB">
      <w:pPr>
        <w:rPr>
          <w:b/>
        </w:rPr>
      </w:pPr>
      <w:r>
        <w:rPr>
          <w:b/>
        </w:rPr>
        <w:t xml:space="preserve">WMO international activities related to </w:t>
      </w:r>
      <w:r w:rsidR="004E48B7">
        <w:rPr>
          <w:b/>
        </w:rPr>
        <w:t>m</w:t>
      </w:r>
      <w:r>
        <w:rPr>
          <w:b/>
        </w:rPr>
        <w:t>ulti-</w:t>
      </w:r>
      <w:r w:rsidR="004E48B7">
        <w:rPr>
          <w:b/>
        </w:rPr>
        <w:t>h</w:t>
      </w:r>
      <w:r>
        <w:rPr>
          <w:b/>
        </w:rPr>
        <w:t xml:space="preserve">azard </w:t>
      </w:r>
      <w:r w:rsidR="004E48B7">
        <w:rPr>
          <w:b/>
        </w:rPr>
        <w:t>e</w:t>
      </w:r>
      <w:r>
        <w:rPr>
          <w:b/>
        </w:rPr>
        <w:t xml:space="preserve">arly </w:t>
      </w:r>
      <w:r w:rsidR="004E48B7">
        <w:rPr>
          <w:b/>
        </w:rPr>
        <w:t>w</w:t>
      </w:r>
      <w:r>
        <w:rPr>
          <w:b/>
        </w:rPr>
        <w:t xml:space="preserve">arning </w:t>
      </w:r>
      <w:r w:rsidR="004E48B7">
        <w:rPr>
          <w:b/>
        </w:rPr>
        <w:t>s</w:t>
      </w:r>
      <w:r>
        <w:rPr>
          <w:b/>
        </w:rPr>
        <w:t>ystems</w:t>
      </w:r>
    </w:p>
    <w:p w:rsidR="001378DB" w:rsidRDefault="001378DB" w:rsidP="001378DB">
      <w:r>
        <w:t xml:space="preserve">In line with the Sendai Framework and building upon the WMO community’s considerable capacities that contribute to </w:t>
      </w:r>
      <w:r w:rsidR="004E48B7" w:rsidRPr="004E48B7">
        <w:t xml:space="preserve">multi-hazard early warning systems </w:t>
      </w:r>
      <w:r w:rsidR="004E48B7">
        <w:t>(</w:t>
      </w:r>
      <w:r>
        <w:t>MHEWS</w:t>
      </w:r>
      <w:r w:rsidR="00F1765E">
        <w:t>s</w:t>
      </w:r>
      <w:r w:rsidR="004E48B7">
        <w:t>)</w:t>
      </w:r>
      <w:r>
        <w:t>, WMO is playing a key role in developing and promoting the International Network for MHEWS</w:t>
      </w:r>
      <w:r w:rsidR="00F1765E">
        <w:t>s</w:t>
      </w:r>
      <w:r>
        <w:t xml:space="preserve"> (IN-M</w:t>
      </w:r>
      <w:r w:rsidR="004E48B7">
        <w:t>H</w:t>
      </w:r>
      <w:r>
        <w:t>EWS) as well as the conduct of an International Conference on MHEWS</w:t>
      </w:r>
      <w:r w:rsidR="00F1765E">
        <w:t>s</w:t>
      </w:r>
      <w:r>
        <w:t xml:space="preserve"> (IC-M</w:t>
      </w:r>
      <w:r w:rsidR="004E48B7">
        <w:t>H</w:t>
      </w:r>
      <w:r>
        <w:t>EWS)</w:t>
      </w:r>
      <w:r w:rsidR="004E48B7">
        <w:t xml:space="preserve"> planned for December 2016</w:t>
      </w:r>
      <w:r>
        <w:t>. The IN-M</w:t>
      </w:r>
      <w:r w:rsidR="004E48B7">
        <w:t>H</w:t>
      </w:r>
      <w:r>
        <w:t xml:space="preserve">EWS </w:t>
      </w:r>
      <w:r w:rsidR="004E48B7">
        <w:t>is</w:t>
      </w:r>
      <w:r>
        <w:t xml:space="preserve"> a multi-stakeholder partnership that will facilitate the sharing of expertise and </w:t>
      </w:r>
      <w:r w:rsidR="004E48B7">
        <w:t xml:space="preserve">good </w:t>
      </w:r>
      <w:r>
        <w:t xml:space="preserve">practice </w:t>
      </w:r>
      <w:r w:rsidR="004E48B7">
        <w:t>i</w:t>
      </w:r>
      <w:r>
        <w:t>n strengthening MHEWS</w:t>
      </w:r>
      <w:r w:rsidR="00F1765E">
        <w:t>s</w:t>
      </w:r>
      <w:r>
        <w:t xml:space="preserve"> as </w:t>
      </w:r>
      <w:r w:rsidR="004E48B7">
        <w:t xml:space="preserve">a </w:t>
      </w:r>
      <w:r>
        <w:t xml:space="preserve">national strategy for </w:t>
      </w:r>
      <w:r w:rsidR="004E48B7">
        <w:t>DRR</w:t>
      </w:r>
      <w:r>
        <w:t>, climate change adaptation and building resilience. The IC-M</w:t>
      </w:r>
      <w:r w:rsidR="004E48B7">
        <w:t>H</w:t>
      </w:r>
      <w:r>
        <w:t xml:space="preserve">EWS will build upon the three international conferences </w:t>
      </w:r>
      <w:r w:rsidR="00C172B6">
        <w:t xml:space="preserve">on early warning </w:t>
      </w:r>
      <w:r>
        <w:t xml:space="preserve">(1998, 2003, and 2006, hosted by </w:t>
      </w:r>
      <w:r w:rsidR="004E48B7">
        <w:t xml:space="preserve">the Government of </w:t>
      </w:r>
      <w:r>
        <w:t xml:space="preserve">Germany) and three </w:t>
      </w:r>
      <w:r w:rsidR="004E48B7">
        <w:t xml:space="preserve">WMO </w:t>
      </w:r>
      <w:r>
        <w:t>expert symposia on MHEWS</w:t>
      </w:r>
      <w:r w:rsidR="00F1765E">
        <w:t>s</w:t>
      </w:r>
      <w:r>
        <w:t xml:space="preserve"> (2006, 2009 and 2010) and will identify effective strategies and actions needed to promote and strengthen MHEWS</w:t>
      </w:r>
      <w:r w:rsidR="00F1765E">
        <w:t>s</w:t>
      </w:r>
      <w:r>
        <w:t xml:space="preserve"> in support of the implementation of the Sendai Framework. </w:t>
      </w:r>
      <w:r w:rsidR="00CA50FA">
        <w:t xml:space="preserve">For further information on WMO international activities related </w:t>
      </w:r>
      <w:r w:rsidR="004E48B7">
        <w:t xml:space="preserve">to </w:t>
      </w:r>
      <w:r w:rsidR="00CA50FA">
        <w:t>MHEWS</w:t>
      </w:r>
      <w:r w:rsidR="00F1765E">
        <w:t>s</w:t>
      </w:r>
      <w:r w:rsidR="00CA50FA">
        <w:t xml:space="preserve"> please see Annex II Section</w:t>
      </w:r>
      <w:r w:rsidR="004E48B7">
        <w:t>s</w:t>
      </w:r>
      <w:r w:rsidR="00CA50FA">
        <w:t xml:space="preserve"> </w:t>
      </w:r>
      <w:r w:rsidR="00B33BC5">
        <w:t>5 and 6</w:t>
      </w:r>
      <w:r w:rsidR="00CA50FA">
        <w:t xml:space="preserve">.  </w:t>
      </w:r>
    </w:p>
    <w:p w:rsidR="001378DB" w:rsidRDefault="001378DB" w:rsidP="00CB163D">
      <w:pPr>
        <w:pStyle w:val="WMOBodyText"/>
        <w:sectPr w:rsidR="001378DB" w:rsidSect="0020095E">
          <w:headerReference w:type="default" r:id="rId9"/>
          <w:pgSz w:w="11907" w:h="16840" w:code="9"/>
          <w:pgMar w:top="1134" w:right="1134" w:bottom="1134" w:left="1134" w:header="1134" w:footer="1134" w:gutter="0"/>
          <w:cols w:space="720"/>
          <w:titlePg/>
          <w:docGrid w:linePitch="299"/>
        </w:sectPr>
      </w:pPr>
    </w:p>
    <w:p w:rsidR="00CB163D" w:rsidRPr="00933498" w:rsidRDefault="001378DB" w:rsidP="00933498">
      <w:pPr>
        <w:pStyle w:val="WMOBodyText"/>
        <w:jc w:val="right"/>
        <w:rPr>
          <w:b/>
        </w:rPr>
      </w:pPr>
      <w:r w:rsidRPr="00933498">
        <w:rPr>
          <w:b/>
        </w:rPr>
        <w:lastRenderedPageBreak/>
        <w:t>Annex I</w:t>
      </w:r>
    </w:p>
    <w:p w:rsidR="00933498" w:rsidRPr="00770D78" w:rsidRDefault="00933498" w:rsidP="00933498">
      <w:pPr>
        <w:pStyle w:val="Caption"/>
        <w:rPr>
          <w:color w:val="auto"/>
          <w:lang w:val="en-GB"/>
        </w:rPr>
      </w:pPr>
      <w:bookmarkStart w:id="4" w:name="_Ref437512925"/>
      <w:r w:rsidRPr="00770D78">
        <w:rPr>
          <w:color w:val="auto"/>
          <w:lang w:val="en-GB"/>
        </w:rPr>
        <w:t xml:space="preserve">Table </w:t>
      </w:r>
      <w:r w:rsidRPr="00770D78">
        <w:rPr>
          <w:color w:val="auto"/>
        </w:rPr>
        <w:fldChar w:fldCharType="begin"/>
      </w:r>
      <w:r w:rsidRPr="00770D78">
        <w:rPr>
          <w:color w:val="auto"/>
          <w:lang w:val="en-GB"/>
        </w:rPr>
        <w:instrText xml:space="preserve"> SEQ Table \* ARABIC </w:instrText>
      </w:r>
      <w:r w:rsidRPr="00770D78">
        <w:rPr>
          <w:color w:val="auto"/>
        </w:rPr>
        <w:fldChar w:fldCharType="separate"/>
      </w:r>
      <w:r w:rsidR="0072248A">
        <w:rPr>
          <w:noProof/>
          <w:color w:val="auto"/>
          <w:lang w:val="en-GB"/>
        </w:rPr>
        <w:t>1</w:t>
      </w:r>
      <w:r w:rsidRPr="00770D78">
        <w:rPr>
          <w:color w:val="auto"/>
        </w:rPr>
        <w:fldChar w:fldCharType="end"/>
      </w:r>
      <w:bookmarkEnd w:id="4"/>
      <w:r w:rsidRPr="00770D78">
        <w:rPr>
          <w:color w:val="auto"/>
          <w:lang w:val="en-GB"/>
        </w:rPr>
        <w:t>: Requests by Cg-17</w:t>
      </w:r>
    </w:p>
    <w:tbl>
      <w:tblPr>
        <w:tblStyle w:val="TableGrid"/>
        <w:tblW w:w="0" w:type="auto"/>
        <w:tblCellMar>
          <w:top w:w="28" w:type="dxa"/>
          <w:left w:w="28" w:type="dxa"/>
          <w:bottom w:w="28" w:type="dxa"/>
          <w:right w:w="28" w:type="dxa"/>
        </w:tblCellMar>
        <w:tblLook w:val="04A0" w:firstRow="1" w:lastRow="0" w:firstColumn="1" w:lastColumn="0" w:noHBand="0" w:noVBand="1"/>
      </w:tblPr>
      <w:tblGrid>
        <w:gridCol w:w="993"/>
        <w:gridCol w:w="5008"/>
        <w:gridCol w:w="3286"/>
        <w:gridCol w:w="2933"/>
        <w:gridCol w:w="2408"/>
      </w:tblGrid>
      <w:tr w:rsidR="00933498" w:rsidTr="00933498">
        <w:trPr>
          <w:tblHeader/>
        </w:trPr>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33498" w:rsidRDefault="00933498" w:rsidP="00F46D6B">
            <w:pPr>
              <w:spacing w:after="60"/>
              <w:jc w:val="left"/>
              <w:rPr>
                <w:b/>
                <w:sz w:val="18"/>
                <w:szCs w:val="18"/>
                <w:lang w:eastAsia="zh-TW"/>
              </w:rPr>
            </w:pPr>
            <w:r>
              <w:rPr>
                <w:b/>
                <w:sz w:val="18"/>
                <w:szCs w:val="18"/>
              </w:rPr>
              <w:t>Para</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33498" w:rsidRDefault="00933498" w:rsidP="00F46D6B">
            <w:pPr>
              <w:spacing w:after="60"/>
              <w:jc w:val="left"/>
              <w:rPr>
                <w:b/>
                <w:sz w:val="18"/>
                <w:szCs w:val="18"/>
                <w:lang w:eastAsia="zh-TW"/>
              </w:rPr>
            </w:pPr>
            <w:r>
              <w:rPr>
                <w:b/>
                <w:sz w:val="18"/>
                <w:szCs w:val="18"/>
              </w:rPr>
              <w:t>Request / decision (addressee in bold)</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33498" w:rsidRDefault="00933498" w:rsidP="00F46D6B">
            <w:pPr>
              <w:spacing w:after="60"/>
              <w:jc w:val="left"/>
              <w:rPr>
                <w:b/>
                <w:sz w:val="18"/>
                <w:szCs w:val="18"/>
                <w:lang w:eastAsia="zh-TW"/>
              </w:rPr>
            </w:pPr>
            <w:r>
              <w:rPr>
                <w:b/>
                <w:sz w:val="18"/>
                <w:szCs w:val="18"/>
              </w:rPr>
              <w:t>Approach to address the request</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33498" w:rsidRDefault="00933498" w:rsidP="00F46D6B">
            <w:pPr>
              <w:spacing w:after="60"/>
              <w:jc w:val="left"/>
              <w:rPr>
                <w:b/>
                <w:sz w:val="18"/>
                <w:szCs w:val="18"/>
                <w:lang w:eastAsia="zh-TW"/>
              </w:rPr>
            </w:pPr>
            <w:r>
              <w:rPr>
                <w:b/>
                <w:sz w:val="18"/>
                <w:szCs w:val="18"/>
              </w:rPr>
              <w:t>Timeframe</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933498" w:rsidRDefault="00933498" w:rsidP="00F46D6B">
            <w:pPr>
              <w:spacing w:after="60"/>
              <w:jc w:val="left"/>
              <w:rPr>
                <w:b/>
                <w:sz w:val="18"/>
                <w:szCs w:val="18"/>
                <w:lang w:eastAsia="zh-TW"/>
              </w:rPr>
            </w:pPr>
            <w:r>
              <w:rPr>
                <w:b/>
                <w:sz w:val="18"/>
                <w:szCs w:val="18"/>
              </w:rPr>
              <w:t>Status</w:t>
            </w:r>
          </w:p>
        </w:tc>
      </w:tr>
      <w:tr w:rsidR="00933498" w:rsidTr="00933498">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33498" w:rsidRDefault="00933498" w:rsidP="00F46D6B">
            <w:pPr>
              <w:spacing w:after="60"/>
              <w:jc w:val="left"/>
              <w:rPr>
                <w:b/>
                <w:sz w:val="18"/>
                <w:szCs w:val="18"/>
                <w:lang w:eastAsia="zh-TW"/>
              </w:rPr>
            </w:pPr>
            <w:r>
              <w:rPr>
                <w:b/>
                <w:sz w:val="18"/>
                <w:szCs w:val="18"/>
              </w:rPr>
              <w:t>Governance (Strategic Priorities, WMO DRR Roadmap, Coordination with RAs, TCs, and TPs, EC WG on DRR, etc.)</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3.2.1</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Recalled its decision to establish the cross-cutting DRR Programme through Resolution 29 (Cg-XIV).</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Further development of the WMO DRR Roadmap</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Development of a WMO DRR Work Plan for 2016-2017</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ongoing</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3.2.32</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Noted Resolution 8 (EC-66) requesting the </w:t>
            </w:r>
            <w:r>
              <w:rPr>
                <w:b/>
                <w:sz w:val="18"/>
                <w:szCs w:val="18"/>
              </w:rPr>
              <w:t>Secretary-General</w:t>
            </w:r>
            <w:r>
              <w:rPr>
                <w:sz w:val="18"/>
                <w:szCs w:val="18"/>
              </w:rPr>
              <w:t xml:space="preserve"> to “</w:t>
            </w:r>
            <w:r>
              <w:rPr>
                <w:i/>
                <w:sz w:val="18"/>
                <w:szCs w:val="18"/>
              </w:rPr>
              <w:t>urgently develop a WMO DRR Roadmap of prioritized and realistically achievable activities and deliverables, that are consistent with the WMO Strategic and Operating Plans, as well as the work plans for relevant WMO Programmes and projects</w:t>
            </w:r>
            <w:r>
              <w:rPr>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Continue updating the draft DRR Roadmap based on consultations with DRR FP RA-TC-TP, UI-EAGs, PTC/PRA, Members, EC WG on DRR</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ongoing</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3.2.33</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The </w:t>
            </w:r>
            <w:r>
              <w:rPr>
                <w:b/>
                <w:sz w:val="18"/>
                <w:szCs w:val="18"/>
              </w:rPr>
              <w:t>WMO DRR Programme</w:t>
            </w:r>
            <w:r>
              <w:rPr>
                <w:sz w:val="18"/>
                <w:szCs w:val="18"/>
              </w:rPr>
              <w:t xml:space="preserve"> should, in close collaboration with relevant technical programmes, and in particular the PWSP and HWRP, facilitate efforts that promote delivery of authoritative forecast and warning information to decision-making authorities at local, national, regional, and global levels as well as provide relevant hazard and risk analysis and assessment to assist DRM.</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3.2.34</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Secretary-General</w:t>
            </w:r>
            <w:r>
              <w:rPr>
                <w:sz w:val="18"/>
                <w:szCs w:val="18"/>
              </w:rPr>
              <w:t xml:space="preserve"> to leverage existing guideline documents already created by expert teams within the TCs, gather lessons learned from NMHSs and disaster management partners, and identify existing gaps within the DRR Roadmap outline, which need to be filled.</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Collect, review and synthesize existing guidelines, lessons learnt, gaps, etc.</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ongoing</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3.2.35</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Emphasized that all DRR work should proceed in consideration of all relevant guidelines and documents created by the expert teams within TCs, as well as input provided from NMHSs’ own DRR roadmaps, frameworks, and best practices.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Collect, review and synthesize existing guidelines, lessons learnt, gaps, etc.</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ongoing</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3.2.37</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Noted that specific thematic areas to be addressed by the Roadmap should be closely interlinked with the priorities for action of the Sendai Framework for DRR 2015-2030, including the emphasis on a people-centred, multi-hazard approach to DRR underpinned by science and technology.</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Align the DRR Roadmap with the Sendai Framework priorities and components as well as its targets and indicators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ongoing</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3.2.39</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 xml:space="preserve">Noted the enormous significance of the Sendai Framework for DRR 2015-2030 to the DRR priority of WMO and the need for assisting WMO Members in the effective implementation of </w:t>
            </w:r>
            <w:r>
              <w:rPr>
                <w:sz w:val="18"/>
                <w:szCs w:val="18"/>
              </w:rPr>
              <w:lastRenderedPageBreak/>
              <w:t>this Framework through:</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Developing DRR knowledge products</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Assisting with the coordinated national /regional DRR capacity development activities</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Promoting, engaging in, and facilitating multi-stakeholder partnerships on different levels.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lastRenderedPageBreak/>
              <w:t>Develop the DRR Roadmap and its Work Plan 2016-2017</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ongoing</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lastRenderedPageBreak/>
              <w:t>3.2.40</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Secretary-General</w:t>
            </w:r>
            <w:r>
              <w:rPr>
                <w:sz w:val="18"/>
                <w:szCs w:val="18"/>
              </w:rPr>
              <w:t xml:space="preserve">, </w:t>
            </w:r>
            <w:r>
              <w:rPr>
                <w:b/>
                <w:sz w:val="18"/>
                <w:szCs w:val="18"/>
              </w:rPr>
              <w:t>in consultation with Members and collaboration with TCs and RAs</w:t>
            </w:r>
            <w:r>
              <w:rPr>
                <w:sz w:val="18"/>
                <w:szCs w:val="18"/>
              </w:rPr>
              <w:t>, to develop a final draft of the WMO DRR Roadmap for consideration and approval by EC-68 in line with the Sendai Framework and other relevant international development frameworks (e.g. on sustainable development, climate change, humanitarian assistance, and urban issues).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Continue updating the draft DRR Roadmap based on consultations with DRR FP RA-TC-TP, UI-EAGs, PTC/PRA, Members, EC WG on DRR</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PTC/PRA Meeting on 20-21 Jan 2016</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1</w:t>
            </w:r>
            <w:r>
              <w:rPr>
                <w:sz w:val="18"/>
                <w:szCs w:val="18"/>
                <w:vertAlign w:val="superscript"/>
              </w:rPr>
              <w:t>st</w:t>
            </w:r>
            <w:r>
              <w:rPr>
                <w:sz w:val="18"/>
                <w:szCs w:val="18"/>
              </w:rPr>
              <w:t xml:space="preserve"> Meeting of the EC WG on DRR planned for 5-7 April 2016 (tentative)</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EC-68 on 15-24 June 2016</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ongoing</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3.2.41</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w:t>
            </w:r>
            <w:r>
              <w:rPr>
                <w:b/>
                <w:sz w:val="18"/>
                <w:szCs w:val="18"/>
              </w:rPr>
              <w:t>EC</w:t>
            </w:r>
            <w:r>
              <w:rPr>
                <w:sz w:val="18"/>
                <w:szCs w:val="18"/>
              </w:rPr>
              <w:t xml:space="preserve"> to establish an appropriate governance mechanism to guide the implementation of the WMO DRR priorities through the DRR Programme with the aim to strengthen the capacities of Members, especially of their NMHSs, and the role of the WMO operational and research networks and designated entities assisting and cooperating with WMO, to deliver high-quality services for DRR towards building resilience at all levels.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EC-67 created the EC WG on DRR</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1</w:t>
            </w:r>
            <w:r>
              <w:rPr>
                <w:sz w:val="18"/>
                <w:szCs w:val="18"/>
                <w:vertAlign w:val="superscript"/>
              </w:rPr>
              <w:t>st</w:t>
            </w:r>
            <w:r>
              <w:rPr>
                <w:sz w:val="18"/>
                <w:szCs w:val="18"/>
              </w:rPr>
              <w:t xml:space="preserve"> Meeting of the EC WG on DRR planned for 5-7 April 2016 (tentative)</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Teleconference of the co-chairs of the EC WG on DRR and of the DRR RA-TC-TP scheduled</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Teleconference of EC WG on DRR members planned</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3.2.20</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DRR FP TC-TP</w:t>
            </w:r>
            <w:r>
              <w:rPr>
                <w:sz w:val="18"/>
                <w:szCs w:val="18"/>
              </w:rPr>
              <w:t xml:space="preserve"> to include DRR focal points of the regional associations.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Ask PRA to nominate DRR Focal Points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Teleconference of the DRR FP RA-TC-TP planned in the week 11-15 Jan 2016, then every quarter</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Meeting of the DRR FP RA-TC-TP in Q4 2016</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RA DRR Focal Points nominated and included in the DRR FP RA-TC-TP</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Meeting of the DRR FP RA-TC-TP held on 3-5 Nov 2015</w:t>
            </w:r>
          </w:p>
        </w:tc>
      </w:tr>
      <w:tr w:rsidR="00933498" w:rsidTr="00933498">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33498" w:rsidRDefault="00933498" w:rsidP="00F46D6B">
            <w:pPr>
              <w:spacing w:after="60"/>
              <w:jc w:val="left"/>
              <w:rPr>
                <w:b/>
                <w:sz w:val="18"/>
                <w:szCs w:val="18"/>
                <w:lang w:eastAsia="zh-TW"/>
              </w:rPr>
            </w:pPr>
            <w:r>
              <w:rPr>
                <w:b/>
                <w:sz w:val="18"/>
                <w:szCs w:val="18"/>
              </w:rPr>
              <w:t>Service delivery &amp; stakeholder engagement (Support to Humanitarian Agencies, Response to major disasters, User-Interface Expert Advisory Groups (UI-EAGs), etc.)</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3.2.7</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Recalled Resolution 8 (EC-64) “</w:t>
            </w:r>
            <w:r>
              <w:rPr>
                <w:i/>
                <w:sz w:val="18"/>
                <w:szCs w:val="18"/>
              </w:rPr>
              <w:t>Enhanced Capabilities of Members to Reduce Risks and Potential Impacts of Hazards Caused by Weather, Climate, Water and Related Environmental Elements</w:t>
            </w:r>
            <w:r>
              <w:rPr>
                <w:sz w:val="18"/>
                <w:szCs w:val="18"/>
              </w:rPr>
              <w:t>” and its Annex “</w:t>
            </w:r>
            <w:r>
              <w:rPr>
                <w:i/>
                <w:sz w:val="18"/>
                <w:szCs w:val="18"/>
              </w:rPr>
              <w:t>DRR Programme Work Plan</w:t>
            </w:r>
            <w:r>
              <w:rPr>
                <w:sz w:val="18"/>
                <w:szCs w:val="18"/>
              </w:rPr>
              <w:t>”, including the adoption of an user-driven approach and the endorsement of UI-EAGs.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Development of a WMO DRR Work Plan for 2016-2017</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ongoing</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3.2.8</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Encouraged continuation with UI-EAGs and requested to develop a set of clear deliverables to allow progress to be tracked.</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Formalize memberships and TOR</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Organize their meetings</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Identify deliverables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UI-EAG HRA Meeting on 13-15 Dec 2015</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UI EAG MHEWS Meeting on 9-</w:t>
            </w:r>
            <w:r>
              <w:rPr>
                <w:sz w:val="18"/>
                <w:szCs w:val="18"/>
              </w:rPr>
              <w:lastRenderedPageBreak/>
              <w:t>11 Feb 2016 (tentative)</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lastRenderedPageBreak/>
              <w:t>Status document prepared for DRR FP RA-TC-TP</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lastRenderedPageBreak/>
              <w:t>Invitations for nominations for the UI-EAG HRA sent</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lastRenderedPageBreak/>
              <w:t>3.2.19</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Agreed that the UI-EAGs can contribute to the </w:t>
            </w:r>
            <w:r w:rsidR="00F46D6B" w:rsidRPr="00F46D6B">
              <w:rPr>
                <w:sz w:val="18"/>
                <w:szCs w:val="18"/>
              </w:rPr>
              <w:t xml:space="preserve">Global Framework for Climate Services </w:t>
            </w:r>
            <w:r w:rsidR="00F46D6B">
              <w:rPr>
                <w:sz w:val="18"/>
                <w:szCs w:val="18"/>
              </w:rPr>
              <w:t>(</w:t>
            </w:r>
            <w:r>
              <w:rPr>
                <w:sz w:val="18"/>
                <w:szCs w:val="18"/>
              </w:rPr>
              <w:t>GFCS</w:t>
            </w:r>
            <w:r w:rsidR="00F46D6B">
              <w:rPr>
                <w:sz w:val="18"/>
                <w:szCs w:val="18"/>
              </w:rPr>
              <w:t>)</w:t>
            </w:r>
            <w:r>
              <w:rPr>
                <w:sz w:val="18"/>
                <w:szCs w:val="18"/>
              </w:rPr>
              <w:t xml:space="preserve"> User Interface Platform (UIP) and that the deliverables of the WMO DRR Roadmap are relevant to strengthening of the UIP.</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Coordinate with GFCS (Office), Task Team on the GFCS 2015-2018 Operational and Resource Plan (TT-ORP), Task Team on Monitoring and Evaluation (TT-M&amp;E)</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Identify deliverables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Partners Advisory Committee (PAC) Q1 &amp; Q4 2016 (?)</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IBCS Management Committee Q4 2016 (?)</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IBCS-3 in 2018</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3.2.25</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Secretary-General</w:t>
            </w:r>
            <w:r>
              <w:rPr>
                <w:sz w:val="18"/>
                <w:szCs w:val="18"/>
              </w:rPr>
              <w:t xml:space="preserve">, </w:t>
            </w:r>
            <w:r>
              <w:rPr>
                <w:b/>
                <w:sz w:val="18"/>
                <w:szCs w:val="18"/>
              </w:rPr>
              <w:t>in coordination with the TCs, RAs, RSMCs, and other operational centres</w:t>
            </w:r>
            <w:r>
              <w:rPr>
                <w:sz w:val="18"/>
                <w:szCs w:val="18"/>
              </w:rPr>
              <w:t xml:space="preserve"> to analyse the issue [</w:t>
            </w:r>
            <w:r>
              <w:rPr>
                <w:i/>
                <w:sz w:val="18"/>
                <w:szCs w:val="18"/>
              </w:rPr>
              <w:t>response to major disasters</w:t>
            </w:r>
            <w:r>
              <w:rPr>
                <w:sz w:val="18"/>
                <w:szCs w:val="18"/>
              </w:rPr>
              <w:t>] and develop a draft working arrangement that elaborates the roles and responsibilities for the coordination of WMO’s response to Members' requests for assistance, noting that operational responsibility lies with the Members, and to report to EC for consideration.</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Development of internal guidelines / SOPs?`/ “Helpdesk”?</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r>
      <w:tr w:rsidR="00933498" w:rsidTr="00933498">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33498" w:rsidRDefault="00933498" w:rsidP="00F46D6B">
            <w:pPr>
              <w:spacing w:after="60"/>
              <w:jc w:val="left"/>
              <w:rPr>
                <w:b/>
                <w:sz w:val="18"/>
                <w:szCs w:val="18"/>
                <w:lang w:eastAsia="zh-TW"/>
              </w:rPr>
            </w:pPr>
            <w:r>
              <w:rPr>
                <w:b/>
                <w:sz w:val="18"/>
                <w:szCs w:val="18"/>
              </w:rPr>
              <w:t>Knowledge products (Guidelines, training material, identifiers for cataloguing extreme weather and climate events)</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3.2.15</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Urged the </w:t>
            </w:r>
            <w:r>
              <w:rPr>
                <w:b/>
                <w:sz w:val="18"/>
                <w:szCs w:val="18"/>
              </w:rPr>
              <w:t>RAs</w:t>
            </w:r>
            <w:r>
              <w:rPr>
                <w:sz w:val="18"/>
                <w:szCs w:val="18"/>
              </w:rPr>
              <w:t xml:space="preserve">, </w:t>
            </w:r>
            <w:r>
              <w:rPr>
                <w:b/>
                <w:sz w:val="18"/>
                <w:szCs w:val="18"/>
              </w:rPr>
              <w:t>with support from the Secretariat</w:t>
            </w:r>
            <w:r>
              <w:rPr>
                <w:sz w:val="18"/>
                <w:szCs w:val="18"/>
              </w:rPr>
              <w:t>, to document lessons learnt from the approach of the DRR Programme and the engagement of the RAs in the implementation of the DRR capacity development projects and to submit recommendations to EC on how the RAs can be effectively engaged in promoting this approach in other WMO Regions.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Incorporation in guidelines and training modules</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Publications (books, fact sheets, flyers, posters, website, etc.)</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 xml:space="preserve">To be distributed at major events (e.g. COP21 30 Nov – 11 Dec 2’015, World Humanitarian Summit 23-24 May 2016, IDRC 28-31 Aug 2016, Habitat III 17-20 Oct 2016, COP22 7-18 Nov 2016, etc.) </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Chapters for a book on disaster risk financing (status 2011?) available</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3.2.16</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Secretary-General</w:t>
            </w:r>
            <w:r>
              <w:rPr>
                <w:sz w:val="18"/>
                <w:szCs w:val="18"/>
              </w:rPr>
              <w:t xml:space="preserve"> to provide further guidance to Members in this area [</w:t>
            </w:r>
            <w:r>
              <w:rPr>
                <w:i/>
                <w:sz w:val="18"/>
                <w:szCs w:val="18"/>
              </w:rPr>
              <w:t>guidelines, standards, assessment reports, and training modules in the main areas of work of the DRR Programme that are consistent with Quality Management System (QMS) principles and that are to be demonstrated and further developed in the afore-mentioned capacity development projects</w:t>
            </w:r>
            <w:r>
              <w:rPr>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Draft guidelines for MHEWS available</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3.2.18</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Secretary-General</w:t>
            </w:r>
            <w:r>
              <w:rPr>
                <w:sz w:val="18"/>
                <w:szCs w:val="18"/>
              </w:rPr>
              <w:t xml:space="preserve"> to arrange for a review, regular update and access to DRR training material as a contribution to WMO’s Capacity Development Strategy and as part of the WMO DRR Roadmap implementation.</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Develop training modules</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Review and update these</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Make them accessible (coordinate with ETR, CADRI, UNISDR, etc.)</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Engaged in CADRI and with UNISDR Centre in Korea</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lastRenderedPageBreak/>
              <w:t>Resolution 9 (Cg-17)</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i/>
                <w:sz w:val="18"/>
                <w:szCs w:val="18"/>
              </w:rPr>
            </w:pPr>
            <w:r>
              <w:rPr>
                <w:i/>
                <w:sz w:val="18"/>
                <w:szCs w:val="18"/>
              </w:rPr>
              <w:t>Identifiers for cataloguing extreme weather, water and climate events.</w:t>
            </w:r>
          </w:p>
          <w:p w:rsidR="00933498" w:rsidRDefault="00933498" w:rsidP="00F46D6B">
            <w:pPr>
              <w:spacing w:after="60"/>
              <w:jc w:val="left"/>
              <w:rPr>
                <w:sz w:val="18"/>
                <w:szCs w:val="18"/>
              </w:rPr>
            </w:pPr>
            <w:r>
              <w:rPr>
                <w:sz w:val="18"/>
                <w:szCs w:val="18"/>
              </w:rPr>
              <w:t>Decided to standardize weather, water, climate, space weather and other related environmental hazard and risk information and develop identifiers for cataloguing weather, water and climate extreme events.</w:t>
            </w:r>
          </w:p>
          <w:p w:rsidR="00933498" w:rsidRDefault="00933498" w:rsidP="00F46D6B">
            <w:pPr>
              <w:spacing w:after="60"/>
              <w:jc w:val="left"/>
              <w:rPr>
                <w:sz w:val="18"/>
                <w:szCs w:val="18"/>
              </w:rPr>
            </w:pPr>
            <w:r>
              <w:rPr>
                <w:sz w:val="18"/>
                <w:szCs w:val="18"/>
              </w:rPr>
              <w:t xml:space="preserve">Requests </w:t>
            </w:r>
            <w:r>
              <w:rPr>
                <w:b/>
                <w:sz w:val="18"/>
                <w:szCs w:val="18"/>
              </w:rPr>
              <w:t>EC</w:t>
            </w:r>
            <w:r>
              <w:rPr>
                <w:sz w:val="18"/>
                <w:szCs w:val="18"/>
              </w:rPr>
              <w:t xml:space="preserve"> to provide oversight on the standardization of hazard information for loss and damage assessment;</w:t>
            </w:r>
          </w:p>
          <w:p w:rsidR="00933498" w:rsidRDefault="00933498" w:rsidP="00F46D6B">
            <w:pPr>
              <w:spacing w:after="60"/>
              <w:jc w:val="left"/>
              <w:rPr>
                <w:sz w:val="18"/>
                <w:szCs w:val="18"/>
              </w:rPr>
            </w:pPr>
            <w:r>
              <w:rPr>
                <w:sz w:val="18"/>
                <w:szCs w:val="18"/>
              </w:rPr>
              <w:t xml:space="preserve">Requests the </w:t>
            </w:r>
            <w:r>
              <w:rPr>
                <w:b/>
                <w:sz w:val="18"/>
                <w:szCs w:val="18"/>
              </w:rPr>
              <w:t>CBS</w:t>
            </w:r>
            <w:r>
              <w:rPr>
                <w:sz w:val="18"/>
                <w:szCs w:val="18"/>
              </w:rPr>
              <w:t xml:space="preserve"> to develop</w:t>
            </w:r>
            <w:r>
              <w:rPr>
                <w:b/>
                <w:sz w:val="18"/>
                <w:szCs w:val="18"/>
              </w:rPr>
              <w:t>, in collaboration with all TCs and RAs</w:t>
            </w:r>
            <w:r>
              <w:rPr>
                <w:sz w:val="18"/>
                <w:szCs w:val="18"/>
              </w:rPr>
              <w:t xml:space="preserve">, a proposal on standardized identifiers for cataloguing hazardous events </w:t>
            </w:r>
            <w:r>
              <w:rPr>
                <w:b/>
                <w:sz w:val="18"/>
                <w:szCs w:val="18"/>
              </w:rPr>
              <w:t>for consideration by EC</w:t>
            </w:r>
            <w:r>
              <w:rPr>
                <w:sz w:val="18"/>
                <w:szCs w:val="18"/>
              </w:rPr>
              <w:t>;</w:t>
            </w:r>
          </w:p>
          <w:p w:rsidR="00933498" w:rsidRDefault="00933498" w:rsidP="00F46D6B">
            <w:pPr>
              <w:spacing w:after="60"/>
              <w:jc w:val="left"/>
              <w:rPr>
                <w:sz w:val="18"/>
                <w:szCs w:val="18"/>
                <w:lang w:eastAsia="zh-TW"/>
              </w:rPr>
            </w:pPr>
            <w:r>
              <w:rPr>
                <w:sz w:val="18"/>
                <w:szCs w:val="18"/>
              </w:rPr>
              <w:t xml:space="preserve">Requests the </w:t>
            </w:r>
            <w:r>
              <w:rPr>
                <w:b/>
                <w:sz w:val="18"/>
                <w:szCs w:val="18"/>
              </w:rPr>
              <w:t>Secretary-General</w:t>
            </w:r>
            <w:r>
              <w:rPr>
                <w:sz w:val="18"/>
                <w:szCs w:val="18"/>
              </w:rPr>
              <w:t xml:space="preserve"> to take the necessary actions, within the available budgetary resources, to facilitate the work on this important issue.</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Employ consultant</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Coordinate with CLW and OBS as well as CCl, CHy, JCOMM, etc.</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Conduct UI-EAG HRA meeting</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Engage in relevant international processes (IRDR, INFORM, UNECE Task Force on Measuring Extreme Events and Disasters, CRED, etc.)</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UI-EAG HRA Meeting on 13-15 Dec 2015</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1</w:t>
            </w:r>
            <w:r>
              <w:rPr>
                <w:sz w:val="18"/>
                <w:szCs w:val="18"/>
                <w:vertAlign w:val="superscript"/>
              </w:rPr>
              <w:t>st</w:t>
            </w:r>
            <w:r>
              <w:rPr>
                <w:sz w:val="18"/>
                <w:szCs w:val="18"/>
              </w:rPr>
              <w:t xml:space="preserve"> Meeting of the EC WG on DRR planned for 5-7 April 2016 (tentative)</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EC-68 on 15-24 June 2016</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ongoing</w:t>
            </w:r>
          </w:p>
        </w:tc>
      </w:tr>
      <w:tr w:rsidR="00933498" w:rsidTr="00933498">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33498" w:rsidRDefault="00933498" w:rsidP="00F46D6B">
            <w:pPr>
              <w:keepNext/>
              <w:keepLines/>
              <w:spacing w:after="60"/>
              <w:jc w:val="left"/>
              <w:rPr>
                <w:b/>
                <w:sz w:val="18"/>
                <w:szCs w:val="18"/>
                <w:lang w:eastAsia="zh-TW"/>
              </w:rPr>
            </w:pPr>
            <w:r>
              <w:rPr>
                <w:b/>
                <w:sz w:val="18"/>
                <w:szCs w:val="18"/>
              </w:rPr>
              <w:t>National DRR capacity development projects with regional cooperation frameworks</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3.2.9</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Stressed the need to build on the lessons learnt from this Project [</w:t>
            </w:r>
            <w:r>
              <w:rPr>
                <w:b/>
                <w:i/>
                <w:sz w:val="18"/>
                <w:szCs w:val="18"/>
                <w:u w:val="single"/>
              </w:rPr>
              <w:t>Costa Rica</w:t>
            </w:r>
            <w:r>
              <w:rPr>
                <w:i/>
                <w:sz w:val="18"/>
                <w:szCs w:val="18"/>
              </w:rPr>
              <w:t xml:space="preserve"> Early Warning Systems for Hydrometeorological Hazards Project</w:t>
            </w:r>
            <w:r>
              <w:rPr>
                <w:sz w:val="18"/>
                <w:szCs w:val="18"/>
              </w:rPr>
              <w:t>, completed in 2013] and encouraged further expansion of such national DRR capacity development projects with regional cooperation frameworks.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3.2.12</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Supported the multi-national approach taken in this Project [</w:t>
            </w:r>
            <w:r>
              <w:rPr>
                <w:b/>
                <w:i/>
                <w:sz w:val="18"/>
                <w:szCs w:val="18"/>
                <w:u w:val="single"/>
              </w:rPr>
              <w:t>South-east European</w:t>
            </w:r>
            <w:r>
              <w:rPr>
                <w:i/>
                <w:sz w:val="18"/>
                <w:szCs w:val="18"/>
                <w:u w:val="single"/>
              </w:rPr>
              <w:t xml:space="preserve"> </w:t>
            </w:r>
            <w:r>
              <w:rPr>
                <w:i/>
                <w:sz w:val="18"/>
                <w:szCs w:val="18"/>
              </w:rPr>
              <w:t>Project Building Resilience to Disasters in the Western Balkans and Turkey</w:t>
            </w:r>
            <w:r>
              <w:rPr>
                <w:sz w:val="18"/>
                <w:szCs w:val="18"/>
              </w:rPr>
              <w:t>], including the project recommendations which include further actions in building a multi-hazard early warning platform which will contribute to better collaboration and harmonization of warnings and advisories in the region.</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Project proposal for a “</w:t>
            </w:r>
            <w:r>
              <w:rPr>
                <w:i/>
                <w:sz w:val="18"/>
                <w:szCs w:val="18"/>
              </w:rPr>
              <w:t>South East European Multi-hazard Early Warning Platform</w:t>
            </w:r>
            <w:r>
              <w:rPr>
                <w:sz w:val="18"/>
                <w:szCs w:val="18"/>
              </w:rPr>
              <w:t>”</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Coordinate with DRA (ROE)</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Draft proposal available</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3.2.13</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Highlighted that these activities [</w:t>
            </w:r>
            <w:r>
              <w:rPr>
                <w:i/>
                <w:sz w:val="18"/>
                <w:szCs w:val="18"/>
              </w:rPr>
              <w:t xml:space="preserve">assessment of the institutional and technical capacities and needs of the </w:t>
            </w:r>
            <w:r>
              <w:rPr>
                <w:b/>
                <w:i/>
                <w:sz w:val="18"/>
                <w:szCs w:val="18"/>
                <w:u w:val="single"/>
              </w:rPr>
              <w:t>Caribbean region</w:t>
            </w:r>
            <w:r>
              <w:rPr>
                <w:i/>
                <w:sz w:val="18"/>
                <w:szCs w:val="18"/>
              </w:rPr>
              <w:t xml:space="preserve"> to support MHEWS and risk assessment during 2010-2011</w:t>
            </w:r>
            <w:r>
              <w:rPr>
                <w:sz w:val="18"/>
                <w:szCs w:val="18"/>
              </w:rPr>
              <w:t>] provide the foundation for future capacity development projects in the region.</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3.2.14</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Secretary-General</w:t>
            </w:r>
            <w:r>
              <w:rPr>
                <w:sz w:val="18"/>
                <w:szCs w:val="18"/>
              </w:rPr>
              <w:t xml:space="preserve"> to continue to support the Haiti NMHS.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Coordinate with DRA</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3.2.21</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Secretary-General</w:t>
            </w:r>
            <w:r>
              <w:rPr>
                <w:sz w:val="18"/>
                <w:szCs w:val="18"/>
              </w:rPr>
              <w:t xml:space="preserve">, </w:t>
            </w:r>
            <w:r>
              <w:rPr>
                <w:b/>
                <w:sz w:val="18"/>
                <w:szCs w:val="18"/>
              </w:rPr>
              <w:t xml:space="preserve">together with the PTC </w:t>
            </w:r>
            <w:r>
              <w:rPr>
                <w:b/>
                <w:sz w:val="18"/>
                <w:szCs w:val="18"/>
              </w:rPr>
              <w:lastRenderedPageBreak/>
              <w:t>and with support from the DRR FP TC-TP, RA II, Members and partners</w:t>
            </w:r>
            <w:r>
              <w:rPr>
                <w:sz w:val="18"/>
                <w:szCs w:val="18"/>
              </w:rPr>
              <w:t>, to facilitate the scoping of the proposal [</w:t>
            </w:r>
            <w:r>
              <w:rPr>
                <w:i/>
                <w:sz w:val="18"/>
                <w:szCs w:val="18"/>
              </w:rPr>
              <w:t xml:space="preserve">DRR demonstration project in </w:t>
            </w:r>
            <w:r>
              <w:rPr>
                <w:b/>
                <w:i/>
                <w:sz w:val="18"/>
                <w:szCs w:val="18"/>
                <w:u w:val="single"/>
              </w:rPr>
              <w:t>South-East Asia</w:t>
            </w:r>
            <w:r>
              <w:rPr>
                <w:i/>
                <w:sz w:val="18"/>
                <w:szCs w:val="18"/>
              </w:rPr>
              <w:t xml:space="preserve"> that focuses on capacity development for risk analysis and MHEWS</w:t>
            </w:r>
            <w:r>
              <w:rPr>
                <w:sz w:val="18"/>
                <w:szCs w:val="18"/>
              </w:rPr>
              <w:t>] to complement existing relevant projects and activities in order to avoid duplication … and to provide relevant information including the scoping of the proposal for consideration by EC.</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lastRenderedPageBreak/>
              <w:t>Project proposal “</w:t>
            </w:r>
            <w:r>
              <w:rPr>
                <w:i/>
                <w:sz w:val="18"/>
                <w:szCs w:val="18"/>
              </w:rPr>
              <w:t xml:space="preserve">Strengthening </w:t>
            </w:r>
            <w:r>
              <w:rPr>
                <w:i/>
                <w:sz w:val="18"/>
                <w:szCs w:val="18"/>
              </w:rPr>
              <w:lastRenderedPageBreak/>
              <w:t xml:space="preserve">Regional Cooperation for Development and Sustainability of Meteorological, Hydrological and Climate Services to support </w:t>
            </w:r>
            <w:r w:rsidR="00F46D6B">
              <w:rPr>
                <w:i/>
                <w:sz w:val="18"/>
                <w:szCs w:val="18"/>
              </w:rPr>
              <w:t>DRR</w:t>
            </w:r>
            <w:r>
              <w:rPr>
                <w:i/>
                <w:sz w:val="18"/>
                <w:szCs w:val="18"/>
              </w:rPr>
              <w:t xml:space="preserve"> and Adaptation in Southeast Asia</w:t>
            </w:r>
            <w:r>
              <w:rPr>
                <w:sz w:val="18"/>
                <w:szCs w:val="18"/>
              </w:rPr>
              <w:t>”</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Coordinate with DRA, CLW, OBS, RES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Draft proposal available</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lastRenderedPageBreak/>
              <w:t>3.2.21</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w:t>
            </w:r>
            <w:r>
              <w:rPr>
                <w:b/>
                <w:sz w:val="18"/>
                <w:szCs w:val="18"/>
              </w:rPr>
              <w:t>CBS, in collaboration with CCl and CHy, and in coordination with UNOCHA</w:t>
            </w:r>
            <w:r>
              <w:rPr>
                <w:sz w:val="18"/>
                <w:szCs w:val="18"/>
              </w:rPr>
              <w:t xml:space="preserve">, to continue to work on the revision, with appropriate testing, of the Arrangements for the Provision of Meteorological Assistance to </w:t>
            </w:r>
            <w:r w:rsidR="00F46D6B">
              <w:rPr>
                <w:sz w:val="18"/>
                <w:szCs w:val="18"/>
              </w:rPr>
              <w:t>UN</w:t>
            </w:r>
            <w:r>
              <w:rPr>
                <w:sz w:val="18"/>
                <w:szCs w:val="18"/>
              </w:rPr>
              <w:t xml:space="preserve"> Humanitarian Missions, which are described in the </w:t>
            </w:r>
            <w:r>
              <w:rPr>
                <w:i/>
                <w:sz w:val="18"/>
                <w:szCs w:val="18"/>
              </w:rPr>
              <w:t>Manual on the GDPFS</w:t>
            </w:r>
            <w:r>
              <w:rPr>
                <w:sz w:val="18"/>
                <w:szCs w:val="18"/>
              </w:rPr>
              <w:t xml:space="preserve"> (WMO No. 485, Vol. I, Appendix 1-5).</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Coordination (e.g. through MoU) with UNOCHA, UNITAR, and JRC (GDCACS)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MoU with UNITAR signed</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Draft MoU with UNOCHA available</w:t>
            </w:r>
          </w:p>
        </w:tc>
      </w:tr>
      <w:tr w:rsidR="00933498" w:rsidTr="00933498">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33498" w:rsidRDefault="00933498" w:rsidP="00F46D6B">
            <w:pPr>
              <w:spacing w:after="60"/>
              <w:jc w:val="left"/>
              <w:rPr>
                <w:b/>
                <w:sz w:val="18"/>
                <w:szCs w:val="18"/>
                <w:lang w:eastAsia="zh-TW"/>
              </w:rPr>
            </w:pPr>
            <w:r>
              <w:rPr>
                <w:b/>
                <w:sz w:val="18"/>
                <w:szCs w:val="18"/>
              </w:rPr>
              <w:t>Partnerships (Sendai Framework for DRR 2015-2030, follow-up actions to WCDRR, engagement in national, regional and global Platforms for DRR and forums, etc.)</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3.2.62</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Encouraged all </w:t>
            </w:r>
            <w:r>
              <w:rPr>
                <w:b/>
                <w:sz w:val="18"/>
                <w:szCs w:val="18"/>
              </w:rPr>
              <w:t xml:space="preserve">Members </w:t>
            </w:r>
            <w:r>
              <w:rPr>
                <w:sz w:val="18"/>
                <w:szCs w:val="18"/>
              </w:rPr>
              <w:t>to adopt a shared approach with relevant agencies and organizations at the national level to promote implementation of the Sendai Framework; emphasized the need for a set of core commitments and actions to address the issue of resilience.</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3.2.64</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Urged </w:t>
            </w:r>
            <w:r>
              <w:rPr>
                <w:b/>
                <w:sz w:val="18"/>
                <w:szCs w:val="18"/>
              </w:rPr>
              <w:t xml:space="preserve">Members </w:t>
            </w:r>
            <w:r>
              <w:rPr>
                <w:sz w:val="18"/>
                <w:szCs w:val="18"/>
              </w:rPr>
              <w:t>to proactively engage in their national DRM and take on a leading role in relevant areas such as early warning and/or multi-hazard early warning systems to assist the development of DRR SOPs for appropriate response to these warnings.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Support Members to develop SOPs for their MHEWS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Support provided to Tanzania and Mauritius (upon their request)</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3.2.65</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Encouraged </w:t>
            </w:r>
            <w:r>
              <w:rPr>
                <w:b/>
                <w:sz w:val="18"/>
                <w:szCs w:val="18"/>
              </w:rPr>
              <w:t>WMO Members and the Secretariat</w:t>
            </w:r>
            <w:r>
              <w:rPr>
                <w:sz w:val="18"/>
                <w:szCs w:val="18"/>
              </w:rPr>
              <w:t xml:space="preserve"> to engage in relevant partnerships for effective implementation of the Sendai Framework, and in particular to take on a leading role in the fields of MHEWS and in identifying / cataloguing extreme weather and its impacts, water and climate events in cooperation with all activities of the GFCS.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Identify relevant networks and partnerships (MHEWS, Earth observations for DRM, reducing landslide disaster risk, water resources management, coherence with climate change adaptation initiatives, international partnership of science and technology for DRR, etc.)</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UNISDR Science &amp; Technology Conference 27-29 Jan 2016</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Etc.</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WMO on the Organizing Committee for the UNISDR Science &amp; Technology Conference 27-29 Jan 2016</w:t>
            </w:r>
          </w:p>
          <w:p w:rsidR="00933498" w:rsidRDefault="00933498" w:rsidP="00F46D6B">
            <w:pPr>
              <w:spacing w:after="60"/>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Resolution 10 (Cg-17)</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i/>
                <w:sz w:val="18"/>
                <w:szCs w:val="18"/>
              </w:rPr>
              <w:t>Sendai Framework for Disaster Risk Reduction 2015-2030 and WMO participation in the International Network for MHEWS (IN-MHEWS)</w:t>
            </w:r>
          </w:p>
          <w:p w:rsidR="00933498" w:rsidRDefault="00933498" w:rsidP="00F46D6B">
            <w:pPr>
              <w:spacing w:after="60"/>
              <w:jc w:val="left"/>
              <w:rPr>
                <w:sz w:val="18"/>
                <w:szCs w:val="18"/>
              </w:rPr>
            </w:pPr>
            <w:r>
              <w:rPr>
                <w:sz w:val="18"/>
                <w:szCs w:val="18"/>
              </w:rPr>
              <w:t xml:space="preserve">Requests </w:t>
            </w:r>
            <w:r>
              <w:rPr>
                <w:b/>
                <w:sz w:val="18"/>
                <w:szCs w:val="18"/>
              </w:rPr>
              <w:t>EC</w:t>
            </w:r>
            <w:r>
              <w:rPr>
                <w:sz w:val="18"/>
                <w:szCs w:val="18"/>
              </w:rPr>
              <w:t xml:space="preserve">, </w:t>
            </w:r>
            <w:r>
              <w:rPr>
                <w:b/>
                <w:sz w:val="18"/>
                <w:szCs w:val="18"/>
              </w:rPr>
              <w:t>working with RAs and relevant TCs</w:t>
            </w:r>
            <w:r>
              <w:rPr>
                <w:sz w:val="18"/>
                <w:szCs w:val="18"/>
              </w:rPr>
              <w:t xml:space="preserve">, to guide </w:t>
            </w:r>
            <w:r>
              <w:rPr>
                <w:sz w:val="18"/>
                <w:szCs w:val="18"/>
              </w:rPr>
              <w:lastRenderedPageBreak/>
              <w:t>the WMO contribution to the development of the hydrometeorological elements of IN-MHEWS, including possible governance mechanisms, operating modalities and appropriate monitoring and evaluation procedures;</w:t>
            </w:r>
          </w:p>
          <w:p w:rsidR="00933498" w:rsidRDefault="00933498" w:rsidP="00F46D6B">
            <w:pPr>
              <w:spacing w:after="60"/>
              <w:jc w:val="left"/>
              <w:rPr>
                <w:sz w:val="18"/>
                <w:szCs w:val="18"/>
              </w:rPr>
            </w:pPr>
            <w:r>
              <w:rPr>
                <w:sz w:val="18"/>
                <w:szCs w:val="18"/>
              </w:rPr>
              <w:t xml:space="preserve">Requests the </w:t>
            </w:r>
            <w:r>
              <w:rPr>
                <w:b/>
                <w:sz w:val="18"/>
                <w:szCs w:val="18"/>
              </w:rPr>
              <w:t>Secretary-General</w:t>
            </w:r>
            <w:r>
              <w:rPr>
                <w:sz w:val="18"/>
                <w:szCs w:val="18"/>
              </w:rPr>
              <w:t>:</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To proactively and continuously assist Members in their efforts to implement the Sendai Framework;</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To ensure relevant stakeholders in hydrometeorological aspects are actively engaged in the planning meetings of IN-MHEWS in 2015 to develop its collaborative arrangements and integrated plan of action;</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To keep Members informed about the progress in the establishment of IN-MHEWS and its activities;</w:t>
            </w:r>
          </w:p>
          <w:p w:rsidR="00933498" w:rsidRDefault="00933498" w:rsidP="00F46D6B">
            <w:pPr>
              <w:spacing w:after="60"/>
              <w:jc w:val="left"/>
              <w:rPr>
                <w:sz w:val="18"/>
                <w:szCs w:val="18"/>
              </w:rPr>
            </w:pPr>
            <w:r>
              <w:rPr>
                <w:sz w:val="18"/>
                <w:szCs w:val="18"/>
              </w:rPr>
              <w:t xml:space="preserve">Requests the </w:t>
            </w:r>
            <w:r>
              <w:rPr>
                <w:b/>
                <w:sz w:val="18"/>
                <w:szCs w:val="18"/>
              </w:rPr>
              <w:t>RAs</w:t>
            </w:r>
            <w:r>
              <w:rPr>
                <w:sz w:val="18"/>
                <w:szCs w:val="18"/>
              </w:rPr>
              <w:t xml:space="preserve"> to assist with the development of IN-MHEWS and to cooperate with the regional organizations and regional bodies to strengthen partnerships and support WMO Regional Centres to promote the implementation of the Sendai Framework, in particular MHEWS;</w:t>
            </w:r>
          </w:p>
          <w:p w:rsidR="00933498" w:rsidRDefault="00933498" w:rsidP="00F46D6B">
            <w:pPr>
              <w:spacing w:after="60"/>
              <w:jc w:val="left"/>
              <w:rPr>
                <w:sz w:val="18"/>
                <w:szCs w:val="18"/>
              </w:rPr>
            </w:pPr>
            <w:r>
              <w:rPr>
                <w:sz w:val="18"/>
                <w:szCs w:val="18"/>
              </w:rPr>
              <w:t xml:space="preserve">Requests the </w:t>
            </w:r>
            <w:r>
              <w:rPr>
                <w:b/>
                <w:sz w:val="18"/>
                <w:szCs w:val="18"/>
              </w:rPr>
              <w:t>TCs</w:t>
            </w:r>
            <w:r>
              <w:rPr>
                <w:sz w:val="18"/>
                <w:szCs w:val="18"/>
              </w:rPr>
              <w:t>:</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To assist with the development of IN-MHEWS, in particular the development of science-based methodologies and tools to support MHEWS;</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To develop appropriate training modules to enhance the capacity of NMHSs in implementing the Sendai Framework, in particular MHEWS, and climatological aspects of extreme weather impacts for planning and prevention;</w:t>
            </w:r>
          </w:p>
          <w:p w:rsidR="00933498" w:rsidRDefault="00933498" w:rsidP="00F46D6B">
            <w:pPr>
              <w:spacing w:after="60"/>
              <w:jc w:val="left"/>
              <w:rPr>
                <w:sz w:val="18"/>
                <w:szCs w:val="18"/>
                <w:lang w:eastAsia="zh-TW"/>
              </w:rPr>
            </w:pPr>
            <w:r>
              <w:rPr>
                <w:sz w:val="18"/>
                <w:szCs w:val="18"/>
              </w:rPr>
              <w:t xml:space="preserve">Requests </w:t>
            </w:r>
            <w:r>
              <w:rPr>
                <w:b/>
                <w:sz w:val="18"/>
                <w:szCs w:val="18"/>
              </w:rPr>
              <w:t>Members</w:t>
            </w:r>
            <w:r>
              <w:rPr>
                <w:sz w:val="18"/>
                <w:szCs w:val="18"/>
              </w:rPr>
              <w:t xml:space="preserve"> to adopt a shared approach with relevant agencies and organizations at the national level to promote implementation of the Sendai Framework.</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lastRenderedPageBreak/>
              <w:t>Take on a proactive role in establishing and maintaining the IN-MHEWS</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Coordinate with CREWS</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 xml:space="preserve">Organize an International </w:t>
            </w:r>
            <w:r>
              <w:rPr>
                <w:sz w:val="18"/>
                <w:szCs w:val="18"/>
              </w:rPr>
              <w:lastRenderedPageBreak/>
              <w:t>Conference on MHEWS (IC-MHEWS), drawing from the IN-MHEWS, to help facilitate wider implementation and awareness of MHEWS among Members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lastRenderedPageBreak/>
              <w:t>Teleconference of core partners planned for 3 or 4 Dec 2015</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UNISDR Science &amp; Technology Conference 27-29 Jan 2016</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 xml:space="preserve">IC-MHEWS 5-9 Dec 2016 </w:t>
            </w:r>
            <w:r>
              <w:rPr>
                <w:sz w:val="18"/>
                <w:szCs w:val="18"/>
              </w:rPr>
              <w:lastRenderedPageBreak/>
              <w:t>(tentative)</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lastRenderedPageBreak/>
              <w:t>Representatives from a number of UN and other agencies and Members supported the IN-MHEWS</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lastRenderedPageBreak/>
              <w:t>Concept notes for IN-MHEWS and IC-MHEWS available</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German National Platform for DRR contacted to sound out support and potential funding from the German Government</w:t>
            </w:r>
          </w:p>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Coordination meetings with UNISDR held</w:t>
            </w:r>
          </w:p>
          <w:p w:rsidR="00933498" w:rsidRDefault="00933498" w:rsidP="00F46D6B">
            <w:pPr>
              <w:spacing w:after="60"/>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lastRenderedPageBreak/>
              <w:t>3.2.23</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Urged the participation of </w:t>
            </w:r>
            <w:r>
              <w:rPr>
                <w:b/>
                <w:sz w:val="18"/>
                <w:szCs w:val="18"/>
              </w:rPr>
              <w:t>NMHSs and RAs</w:t>
            </w:r>
            <w:r>
              <w:rPr>
                <w:sz w:val="18"/>
                <w:szCs w:val="18"/>
              </w:rPr>
              <w:t xml:space="preserve"> in the national, regional, and global DRR platforms as this will lead to strengthened partnerships and cooperation for the identification and implementation of DRR capacity development projects. Cooperation with civil protection and planning agencies in national and regional Platforms for DRR and forums are particularly important as long and short-term decisions are taken on that level. Congress stressed the importance of engaging the RAs, through their various DRR </w:t>
            </w:r>
            <w:r>
              <w:rPr>
                <w:sz w:val="18"/>
                <w:szCs w:val="18"/>
              </w:rPr>
              <w:lastRenderedPageBreak/>
              <w:t>task teams or working groups, in DRR capacity development projects to provide advice and expertise on implementation, review, and evaluation of the outcomes, and recommendations for improvements, sustainability, and scaling up of the projects.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lastRenderedPageBreak/>
              <w:t>Encourage NMHSs to participate in the national, regional, and global DRR platforms (e.g. through (semi-)circular letters)</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Coordinate with RA/TC TTs, WGs etc. on DRR-related topics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Regional Platforms on DRR in 2016</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Global Platform on DRR in 2017</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C/DRR participated in Pacific DRR forum</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C/DRR participated in the Africa WG on DRR Meeting in Youndé</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lastRenderedPageBreak/>
              <w:t>3.2.29</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Noted that relations and partnerships with disaster risk management authorities, other national bodies and regional and global stakeholders [</w:t>
            </w:r>
            <w:r>
              <w:rPr>
                <w:i/>
                <w:sz w:val="18"/>
                <w:szCs w:val="18"/>
              </w:rPr>
              <w:t>mentioned: UNISDR, IFRC, UNESCAP, development banks and World Bank in particular</w:t>
            </w:r>
            <w:r>
              <w:rPr>
                <w:sz w:val="18"/>
                <w:szCs w:val="18"/>
              </w:rPr>
              <w:t>] should be improved for the efficient management of all disasters, including the reduction of risks and the prevention of creating new risks.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Develop actions pertaining to existing MOUs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 xml:space="preserve">32th IFRC Conference 8-10 Dec 2015 </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3.2.30</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Secretary-General</w:t>
            </w:r>
            <w:r>
              <w:rPr>
                <w:sz w:val="18"/>
                <w:szCs w:val="18"/>
              </w:rPr>
              <w:t xml:space="preserve"> to engage in a comprehensive dialogue with GDACS and other third-party service providers to facilitate improved cooperation and coordination of activities, while stressing the need to emphasize the mandated role of the NMHSs.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Coordination (e.g. through MoU) with UNOCHA, UNITAR, and JRC (GDCACS)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MoU with UNITAR signed</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Draft MoU with UNOCHA available</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3.2.31</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Secretary-General</w:t>
            </w:r>
            <w:r>
              <w:rPr>
                <w:sz w:val="18"/>
                <w:szCs w:val="18"/>
              </w:rPr>
              <w:t xml:space="preserve"> to further strengthen WMO partnerships with UNISDR and other relevant partners for the implementation of national and regional DRR projects in line with the Sendai Framework for DRR 2015–2030, including the partnerships of RAs, bodies such as the regional typhoon / hurricane committees which in many cases have existing DRR working structures, and WMO Regional Offices with regional bodies of international organizations and other partners.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rPr>
            </w:pPr>
            <w:r>
              <w:rPr>
                <w:sz w:val="18"/>
                <w:szCs w:val="18"/>
              </w:rPr>
              <w:t>Engage in the Words into Action guides</w:t>
            </w:r>
          </w:p>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Coordinate with regional typhoon / hurricane committees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r>
              <w:rPr>
                <w:sz w:val="18"/>
                <w:szCs w:val="18"/>
              </w:rPr>
              <w:t>Interest and WMO focal points for the Words into Action guides conveyed to UNISDR</w:t>
            </w:r>
          </w:p>
        </w:tc>
      </w:tr>
      <w:tr w:rsidR="00933498" w:rsidTr="00933498">
        <w:trPr>
          <w:trHeight w:val="49"/>
        </w:trPr>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33498" w:rsidRDefault="00933498" w:rsidP="00F46D6B">
            <w:pPr>
              <w:spacing w:after="60"/>
              <w:jc w:val="left"/>
              <w:rPr>
                <w:b/>
                <w:sz w:val="18"/>
                <w:szCs w:val="18"/>
                <w:lang w:eastAsia="zh-TW"/>
              </w:rPr>
            </w:pPr>
            <w:r>
              <w:rPr>
                <w:b/>
                <w:sz w:val="18"/>
                <w:szCs w:val="18"/>
              </w:rPr>
              <w:t>Requests by Cg-17 related to DRR within other Programme documents (non-exhaustive list)</w:t>
            </w: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Resolution 4 (Cg-17)</w:t>
            </w:r>
          </w:p>
          <w:p w:rsidR="00933498" w:rsidRDefault="00933498" w:rsidP="00F46D6B">
            <w:pPr>
              <w:spacing w:after="60"/>
              <w:jc w:val="left"/>
              <w:rPr>
                <w:sz w:val="18"/>
                <w:szCs w:val="18"/>
                <w:lang w:eastAsia="zh-TW"/>
              </w:rPr>
            </w:pPr>
            <w:r>
              <w:rPr>
                <w:sz w:val="18"/>
                <w:szCs w:val="18"/>
              </w:rPr>
              <w:t>PWS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REPORT OF THE EXTRAORDINARY SESSION (2014) OF THE COMMISSION FOR BASIC SYSTEMS RELEVANT TO TECHNICAL REGULATIONS CONCERNING PUBLIC WEATHER SERVICES COMPETENCIES</w:t>
            </w:r>
          </w:p>
          <w:p w:rsidR="00933498" w:rsidRDefault="00933498" w:rsidP="00F46D6B">
            <w:pPr>
              <w:spacing w:after="60"/>
              <w:jc w:val="left"/>
              <w:rPr>
                <w:sz w:val="18"/>
                <w:szCs w:val="18"/>
              </w:rPr>
            </w:pPr>
            <w:r>
              <w:rPr>
                <w:sz w:val="18"/>
                <w:szCs w:val="18"/>
              </w:rPr>
              <w:t>Recommendation 1 (CBS-Ext.(2014)) – Competency Framework for Public Weather Services Forecasters and Advisers</w:t>
            </w:r>
          </w:p>
          <w:p w:rsidR="00933498" w:rsidRDefault="00933498" w:rsidP="00F46D6B">
            <w:pPr>
              <w:spacing w:after="60"/>
              <w:jc w:val="left"/>
              <w:rPr>
                <w:sz w:val="18"/>
                <w:szCs w:val="18"/>
              </w:rPr>
            </w:pPr>
            <w:r>
              <w:rPr>
                <w:sz w:val="18"/>
                <w:szCs w:val="18"/>
              </w:rPr>
              <w:t>(a) Approves the Public Weather Services (PWS) forecasters and advisers top-level competency requirements to take effect from 1 December 2017, as follows:</w:t>
            </w:r>
          </w:p>
          <w:p w:rsidR="00933498" w:rsidRDefault="00933498" w:rsidP="00F46D6B">
            <w:pPr>
              <w:spacing w:after="60"/>
              <w:jc w:val="left"/>
              <w:rPr>
                <w:sz w:val="18"/>
                <w:szCs w:val="18"/>
              </w:rPr>
            </w:pPr>
            <w:r>
              <w:rPr>
                <w:sz w:val="18"/>
                <w:szCs w:val="18"/>
              </w:rPr>
              <w:lastRenderedPageBreak/>
              <w:t>Competency requirements for a disaster prevention and mitigation weather adviser</w:t>
            </w:r>
          </w:p>
          <w:p w:rsidR="00933498" w:rsidRDefault="00933498" w:rsidP="00F46D6B">
            <w:pPr>
              <w:pStyle w:val="ListParagraph"/>
              <w:numPr>
                <w:ilvl w:val="0"/>
                <w:numId w:val="10"/>
              </w:numPr>
              <w:tabs>
                <w:tab w:val="clear" w:pos="1134"/>
              </w:tabs>
              <w:spacing w:after="60"/>
              <w:jc w:val="left"/>
              <w:rPr>
                <w:sz w:val="18"/>
                <w:szCs w:val="18"/>
              </w:rPr>
            </w:pPr>
            <w:r>
              <w:rPr>
                <w:sz w:val="18"/>
                <w:szCs w:val="18"/>
              </w:rPr>
              <w:t>Communicate warnings and associated information, including uncertainties and confidence levels, to users;</w:t>
            </w:r>
          </w:p>
          <w:p w:rsidR="00933498" w:rsidRDefault="00933498" w:rsidP="00F46D6B">
            <w:pPr>
              <w:pStyle w:val="ListParagraph"/>
              <w:numPr>
                <w:ilvl w:val="0"/>
                <w:numId w:val="10"/>
              </w:numPr>
              <w:tabs>
                <w:tab w:val="clear" w:pos="1134"/>
              </w:tabs>
              <w:spacing w:after="60"/>
              <w:jc w:val="left"/>
              <w:rPr>
                <w:sz w:val="18"/>
                <w:szCs w:val="18"/>
              </w:rPr>
            </w:pPr>
            <w:r>
              <w:rPr>
                <w:sz w:val="18"/>
                <w:szCs w:val="18"/>
              </w:rPr>
              <w:t>Develop products, procedures and services to meet user needs;</w:t>
            </w:r>
          </w:p>
          <w:p w:rsidR="00933498" w:rsidRDefault="00933498" w:rsidP="00F46D6B">
            <w:pPr>
              <w:pStyle w:val="ListParagraph"/>
              <w:numPr>
                <w:ilvl w:val="0"/>
                <w:numId w:val="10"/>
              </w:numPr>
              <w:tabs>
                <w:tab w:val="clear" w:pos="1134"/>
              </w:tabs>
              <w:spacing w:after="60"/>
              <w:jc w:val="left"/>
              <w:rPr>
                <w:sz w:val="18"/>
                <w:szCs w:val="18"/>
              </w:rPr>
            </w:pPr>
            <w:r>
              <w:rPr>
                <w:sz w:val="18"/>
                <w:szCs w:val="18"/>
              </w:rPr>
              <w:t>Develop and manage disaster prevention and mitigation stakeholder relationships;</w:t>
            </w:r>
          </w:p>
          <w:p w:rsidR="00933498" w:rsidRDefault="00933498" w:rsidP="00F46D6B">
            <w:pPr>
              <w:pStyle w:val="ListParagraph"/>
              <w:numPr>
                <w:ilvl w:val="0"/>
                <w:numId w:val="10"/>
              </w:numPr>
              <w:tabs>
                <w:tab w:val="clear" w:pos="1134"/>
              </w:tabs>
              <w:spacing w:after="60"/>
              <w:jc w:val="left"/>
              <w:rPr>
                <w:sz w:val="18"/>
                <w:szCs w:val="18"/>
              </w:rPr>
            </w:pPr>
            <w:r>
              <w:rPr>
                <w:sz w:val="18"/>
                <w:szCs w:val="18"/>
              </w:rPr>
              <w:t>Promote and implement impact assessments and community outreach;</w:t>
            </w:r>
          </w:p>
          <w:p w:rsidR="00933498" w:rsidRDefault="00933498" w:rsidP="00F46D6B">
            <w:pPr>
              <w:pStyle w:val="ListParagraph"/>
              <w:numPr>
                <w:ilvl w:val="0"/>
                <w:numId w:val="10"/>
              </w:numPr>
              <w:tabs>
                <w:tab w:val="clear" w:pos="1134"/>
              </w:tabs>
              <w:spacing w:after="60"/>
              <w:jc w:val="left"/>
              <w:rPr>
                <w:sz w:val="18"/>
                <w:szCs w:val="18"/>
                <w:lang w:eastAsia="zh-TW"/>
              </w:rPr>
            </w:pPr>
            <w:r>
              <w:rPr>
                <w:sz w:val="18"/>
                <w:szCs w:val="18"/>
              </w:rPr>
              <w:t>Ensure the quality of information, services and procedures;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lastRenderedPageBreak/>
              <w:t>3.1.64</w:t>
            </w:r>
          </w:p>
          <w:p w:rsidR="00933498" w:rsidRDefault="00933498" w:rsidP="00F46D6B">
            <w:pPr>
              <w:spacing w:after="60"/>
              <w:jc w:val="left"/>
              <w:rPr>
                <w:sz w:val="18"/>
                <w:szCs w:val="18"/>
                <w:lang w:eastAsia="zh-TW"/>
              </w:rPr>
            </w:pPr>
            <w:r>
              <w:rPr>
                <w:sz w:val="18"/>
                <w:szCs w:val="18"/>
              </w:rPr>
              <w:t>TCP</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Stressed that such [</w:t>
            </w:r>
            <w:r>
              <w:rPr>
                <w:i/>
                <w:sz w:val="18"/>
                <w:szCs w:val="18"/>
              </w:rPr>
              <w:t>nationally and regionally coordinated early warning mechanisms under the TCP and increased accuracy of TC forecasting and preparedness</w:t>
            </w:r>
            <w:r>
              <w:rPr>
                <w:sz w:val="18"/>
                <w:szCs w:val="18"/>
              </w:rPr>
              <w:t>] early warning mechanisms should be further strengthened and improved by making use of all available modern technologies and advances in sciences which can contribute to improved DRR services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3.1.92</w:t>
            </w:r>
          </w:p>
          <w:p w:rsidR="00933498" w:rsidRDefault="00933498" w:rsidP="00F46D6B">
            <w:pPr>
              <w:spacing w:after="60"/>
              <w:jc w:val="left"/>
              <w:rPr>
                <w:sz w:val="18"/>
                <w:szCs w:val="18"/>
                <w:lang w:eastAsia="zh-TW"/>
              </w:rPr>
            </w:pPr>
            <w:r>
              <w:rPr>
                <w:sz w:val="18"/>
                <w:szCs w:val="18"/>
              </w:rPr>
              <w:t>TCP</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Urged </w:t>
            </w:r>
            <w:r>
              <w:rPr>
                <w:b/>
                <w:sz w:val="18"/>
                <w:szCs w:val="18"/>
              </w:rPr>
              <w:t>Members</w:t>
            </w:r>
            <w:r>
              <w:rPr>
                <w:sz w:val="18"/>
                <w:szCs w:val="18"/>
              </w:rPr>
              <w:t xml:space="preserve"> and encouraged the </w:t>
            </w:r>
            <w:r>
              <w:rPr>
                <w:b/>
                <w:sz w:val="18"/>
                <w:szCs w:val="18"/>
              </w:rPr>
              <w:t>Secretary-General</w:t>
            </w:r>
            <w:r>
              <w:rPr>
                <w:sz w:val="18"/>
                <w:szCs w:val="18"/>
              </w:rPr>
              <w:t xml:space="preserve"> to promote the involvement of hydrologists and DRR experts in the activities of regional TC bodies, in particular their annual and biennial sessions, to maximize the synergies between the three areas and thus fully meet the varied regional requirements.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3.1.94</w:t>
            </w:r>
          </w:p>
          <w:p w:rsidR="00933498" w:rsidRDefault="00933498" w:rsidP="00F46D6B">
            <w:pPr>
              <w:spacing w:after="60"/>
              <w:jc w:val="left"/>
              <w:rPr>
                <w:sz w:val="18"/>
                <w:szCs w:val="18"/>
                <w:lang w:eastAsia="zh-TW"/>
              </w:rPr>
            </w:pPr>
            <w:r>
              <w:rPr>
                <w:sz w:val="18"/>
                <w:szCs w:val="18"/>
              </w:rPr>
              <w:t>TCP</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Emphasized the cross-cutting nature of the activities of the TCP in addressing this priority area of the Sendai Framework and it reaffirmed that the TCP should continue to place emphasis on the people-centred early warning systems of tropical cyclones and further strengthen the global mechanisms to reduce the disaster risk associated with the tropical cyclones.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3.1.96</w:t>
            </w:r>
          </w:p>
          <w:p w:rsidR="00933498" w:rsidRDefault="00933498" w:rsidP="00F46D6B">
            <w:pPr>
              <w:spacing w:after="60"/>
              <w:jc w:val="left"/>
              <w:rPr>
                <w:sz w:val="18"/>
                <w:szCs w:val="18"/>
                <w:lang w:eastAsia="zh-TW"/>
              </w:rPr>
            </w:pPr>
            <w:r>
              <w:rPr>
                <w:sz w:val="18"/>
                <w:szCs w:val="18"/>
              </w:rPr>
              <w:t>TCP</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the </w:t>
            </w:r>
            <w:r>
              <w:rPr>
                <w:b/>
                <w:sz w:val="18"/>
                <w:szCs w:val="18"/>
              </w:rPr>
              <w:t>Secretary-General</w:t>
            </w:r>
            <w:r>
              <w:rPr>
                <w:sz w:val="18"/>
                <w:szCs w:val="18"/>
              </w:rPr>
              <w:t xml:space="preserve"> to enhance the contribution of the TCP to DRR services delivery through the implementation of impact-based monitoring, forecasting and risk-based warnings as well as through enhanced coordination of the TCP with other technical programmes.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lastRenderedPageBreak/>
              <w:t>3.1.107</w:t>
            </w:r>
          </w:p>
          <w:p w:rsidR="00933498" w:rsidRDefault="00933498" w:rsidP="00F46D6B">
            <w:pPr>
              <w:spacing w:after="60"/>
              <w:jc w:val="left"/>
              <w:rPr>
                <w:sz w:val="18"/>
                <w:szCs w:val="18"/>
                <w:lang w:eastAsia="zh-TW"/>
              </w:rPr>
            </w:pPr>
            <w:r>
              <w:rPr>
                <w:sz w:val="18"/>
                <w:szCs w:val="18"/>
              </w:rPr>
              <w:t>MMO</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Encouraged the </w:t>
            </w:r>
            <w:r>
              <w:rPr>
                <w:b/>
                <w:sz w:val="18"/>
                <w:szCs w:val="18"/>
              </w:rPr>
              <w:t>TCs</w:t>
            </w:r>
            <w:r>
              <w:rPr>
                <w:sz w:val="18"/>
                <w:szCs w:val="18"/>
              </w:rPr>
              <w:t xml:space="preserve"> to undertake collaborative and joint activities and projects for accelerated implementation of these and other activities [Guide to Storm Surge Forecasting, the Storm Surge Watch Scheme (SSWS), etc.] for risk reduction in coastal areas.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3.1.109</w:t>
            </w:r>
          </w:p>
          <w:p w:rsidR="00933498" w:rsidRDefault="00933498" w:rsidP="00F46D6B">
            <w:pPr>
              <w:spacing w:after="60"/>
              <w:jc w:val="left"/>
              <w:rPr>
                <w:sz w:val="18"/>
                <w:szCs w:val="18"/>
                <w:lang w:eastAsia="zh-TW"/>
              </w:rPr>
            </w:pPr>
            <w:r>
              <w:rPr>
                <w:sz w:val="18"/>
                <w:szCs w:val="18"/>
              </w:rPr>
              <w:t>MMO</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Requested </w:t>
            </w:r>
            <w:r>
              <w:rPr>
                <w:b/>
                <w:sz w:val="18"/>
                <w:szCs w:val="18"/>
              </w:rPr>
              <w:t>JCOMM</w:t>
            </w:r>
            <w:r>
              <w:rPr>
                <w:sz w:val="18"/>
                <w:szCs w:val="18"/>
              </w:rPr>
              <w:t xml:space="preserve"> and </w:t>
            </w:r>
            <w:r>
              <w:rPr>
                <w:b/>
                <w:sz w:val="18"/>
                <w:szCs w:val="18"/>
              </w:rPr>
              <w:t>CHy</w:t>
            </w:r>
            <w:r>
              <w:rPr>
                <w:sz w:val="18"/>
                <w:szCs w:val="18"/>
              </w:rPr>
              <w:t xml:space="preserve">, with support from the </w:t>
            </w:r>
            <w:r>
              <w:rPr>
                <w:b/>
                <w:sz w:val="18"/>
                <w:szCs w:val="18"/>
              </w:rPr>
              <w:t>Secretary-General</w:t>
            </w:r>
            <w:r>
              <w:rPr>
                <w:sz w:val="18"/>
                <w:szCs w:val="18"/>
              </w:rPr>
              <w:t>, to ensure continuing and close coordination on CIFDP, and advise on possible ways to take maximum benefit from these projects for the Members of the Regions who have similar issues of coastal inundation and requirements for integrated multi-hazard forecasting for coastal zones.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3.1.111</w:t>
            </w:r>
          </w:p>
          <w:p w:rsidR="00933498" w:rsidRDefault="00933498" w:rsidP="00F46D6B">
            <w:pPr>
              <w:spacing w:after="60"/>
              <w:jc w:val="left"/>
              <w:rPr>
                <w:sz w:val="18"/>
                <w:szCs w:val="18"/>
                <w:lang w:eastAsia="zh-TW"/>
              </w:rPr>
            </w:pPr>
            <w:r>
              <w:rPr>
                <w:sz w:val="18"/>
                <w:szCs w:val="18"/>
              </w:rPr>
              <w:t>MMO</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Encouraged </w:t>
            </w:r>
            <w:r>
              <w:rPr>
                <w:b/>
                <w:sz w:val="18"/>
                <w:szCs w:val="18"/>
              </w:rPr>
              <w:t>JCOMM</w:t>
            </w:r>
            <w:r>
              <w:rPr>
                <w:sz w:val="18"/>
                <w:szCs w:val="18"/>
              </w:rPr>
              <w:t xml:space="preserve"> to develop a strong collaboration between the CIFDP, the WMO SWFDP and the TCP.</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Resolution 13 (Cg-17)</w:t>
            </w:r>
          </w:p>
          <w:p w:rsidR="00933498" w:rsidRDefault="00933498" w:rsidP="00F46D6B">
            <w:pPr>
              <w:spacing w:after="60"/>
              <w:jc w:val="left"/>
              <w:rPr>
                <w:sz w:val="18"/>
                <w:szCs w:val="18"/>
                <w:lang w:eastAsia="zh-TW"/>
              </w:rPr>
            </w:pPr>
            <w:r>
              <w:rPr>
                <w:sz w:val="18"/>
                <w:szCs w:val="18"/>
              </w:rPr>
              <w:t>DPFS</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REPORT OF THE EXTRAORDINARY SESSION (2014) OF THE COMMISSION FOR BASIC SYSTEMS CONCERNING THE GLOBAL DATA-PROCESSING AND FORECASTING SYSTEM AND EMERGENCY RESPONSE ACTIVITIES</w:t>
            </w:r>
          </w:p>
          <w:p w:rsidR="00933498" w:rsidRDefault="00933498" w:rsidP="00F46D6B">
            <w:pPr>
              <w:spacing w:after="60"/>
              <w:jc w:val="left"/>
              <w:rPr>
                <w:sz w:val="18"/>
                <w:szCs w:val="18"/>
                <w:lang w:eastAsia="zh-TW"/>
              </w:rPr>
            </w:pPr>
            <w:r>
              <w:rPr>
                <w:sz w:val="18"/>
                <w:szCs w:val="18"/>
              </w:rPr>
              <w:t xml:space="preserve">Requests the </w:t>
            </w:r>
            <w:r>
              <w:rPr>
                <w:b/>
                <w:sz w:val="18"/>
                <w:szCs w:val="18"/>
              </w:rPr>
              <w:t>Executive Council</w:t>
            </w:r>
            <w:r>
              <w:rPr>
                <w:sz w:val="18"/>
                <w:szCs w:val="18"/>
              </w:rPr>
              <w:t xml:space="preserve"> to guide the cross-programmatic integration in SWFDP and the mechanism [</w:t>
            </w:r>
            <w:r>
              <w:rPr>
                <w:i/>
                <w:sz w:val="18"/>
                <w:szCs w:val="18"/>
              </w:rPr>
              <w:t>GDPFS/ERA</w:t>
            </w:r>
            <w:r>
              <w:rPr>
                <w:sz w:val="18"/>
                <w:szCs w:val="18"/>
              </w:rPr>
              <w:t>] to strengthen operational centres.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4.1.55</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Congress urged early finalization of this important work [</w:t>
            </w:r>
            <w:r>
              <w:rPr>
                <w:i/>
                <w:sz w:val="18"/>
                <w:szCs w:val="18"/>
              </w:rPr>
              <w:t>CCl work on definitions of extreme weather and climate events</w:t>
            </w:r>
            <w:r>
              <w:rPr>
                <w:sz w:val="18"/>
                <w:szCs w:val="18"/>
              </w:rPr>
              <w:t>] with recommendations on and formulation of agreed definitions and tools for appropriate consideration to be included or referenced in the WMO Technical Regulations.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4.1.90</w:t>
            </w:r>
          </w:p>
          <w:p w:rsidR="00933498" w:rsidRDefault="00933498" w:rsidP="00F46D6B">
            <w:pPr>
              <w:spacing w:after="60"/>
              <w:jc w:val="left"/>
              <w:rPr>
                <w:sz w:val="18"/>
                <w:szCs w:val="18"/>
                <w:lang w:eastAsia="zh-TW"/>
              </w:rPr>
            </w:pPr>
            <w:r>
              <w:rPr>
                <w:sz w:val="18"/>
                <w:szCs w:val="18"/>
              </w:rPr>
              <w:t>AgMP</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Congress noted that there is currently no global, authoritative, and consistent information on drought that is easily accessible to all users, including real-time assessments of ongoing drought and information on the understanding of the physical mechanisms and predictability of drought. With this in mind, Congress supported of the efforts of the WMO Secretariat, the TSU of the IDMP, the World Climate Research Programme, GEO, and the US NOAA to further develop the Global Drought Information System (GDIS).</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t>4.1.92</w:t>
            </w:r>
          </w:p>
          <w:p w:rsidR="00933498" w:rsidRDefault="00933498" w:rsidP="00F46D6B">
            <w:pPr>
              <w:spacing w:after="60"/>
              <w:jc w:val="left"/>
              <w:rPr>
                <w:sz w:val="18"/>
                <w:szCs w:val="18"/>
                <w:lang w:eastAsia="zh-TW"/>
              </w:rPr>
            </w:pPr>
            <w:r>
              <w:rPr>
                <w:sz w:val="18"/>
                <w:szCs w:val="18"/>
              </w:rPr>
              <w:lastRenderedPageBreak/>
              <w:t>AgMP</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lastRenderedPageBreak/>
              <w:t xml:space="preserve">Congress encouraged the </w:t>
            </w:r>
            <w:r>
              <w:rPr>
                <w:b/>
                <w:sz w:val="18"/>
                <w:szCs w:val="18"/>
              </w:rPr>
              <w:t xml:space="preserve">Secretariat </w:t>
            </w:r>
            <w:r>
              <w:rPr>
                <w:sz w:val="18"/>
                <w:szCs w:val="18"/>
              </w:rPr>
              <w:t>to liaise and coordinate with these activities [</w:t>
            </w:r>
            <w:r>
              <w:rPr>
                <w:i/>
                <w:sz w:val="18"/>
                <w:szCs w:val="18"/>
              </w:rPr>
              <w:t xml:space="preserve">DRR FP RA-TC-TP and </w:t>
            </w:r>
            <w:r>
              <w:rPr>
                <w:i/>
                <w:sz w:val="18"/>
                <w:szCs w:val="18"/>
              </w:rPr>
              <w:lastRenderedPageBreak/>
              <w:t>implementation of the Sendai Framework</w:t>
            </w:r>
            <w:r>
              <w:rPr>
                <w:sz w:val="18"/>
                <w:szCs w:val="18"/>
              </w:rPr>
              <w:t>] to ensure that drought issues are adequately represented.</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r w:rsidR="00933498" w:rsidTr="00933498">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rPr>
            </w:pPr>
            <w:r>
              <w:rPr>
                <w:sz w:val="18"/>
                <w:szCs w:val="18"/>
              </w:rPr>
              <w:lastRenderedPageBreak/>
              <w:t>4.2.4.22</w:t>
            </w:r>
          </w:p>
          <w:p w:rsidR="00933498" w:rsidRDefault="00933498" w:rsidP="00F46D6B">
            <w:pPr>
              <w:spacing w:after="60"/>
              <w:jc w:val="left"/>
              <w:rPr>
                <w:sz w:val="18"/>
                <w:szCs w:val="18"/>
                <w:lang w:eastAsia="zh-TW"/>
              </w:rPr>
            </w:pPr>
            <w:r>
              <w:rPr>
                <w:sz w:val="18"/>
                <w:szCs w:val="18"/>
              </w:rPr>
              <w:t>WWW</w:t>
            </w:r>
          </w:p>
        </w:tc>
        <w:tc>
          <w:tcPr>
            <w:tcW w:w="0" w:type="auto"/>
            <w:tcBorders>
              <w:top w:val="single" w:sz="4" w:space="0" w:color="auto"/>
              <w:left w:val="single" w:sz="4" w:space="0" w:color="auto"/>
              <w:bottom w:val="single" w:sz="4" w:space="0" w:color="auto"/>
              <w:right w:val="single" w:sz="4" w:space="0" w:color="auto"/>
            </w:tcBorders>
            <w:hideMark/>
          </w:tcPr>
          <w:p w:rsidR="00933498" w:rsidRDefault="00933498" w:rsidP="00F46D6B">
            <w:pPr>
              <w:spacing w:after="60"/>
              <w:jc w:val="left"/>
              <w:rPr>
                <w:sz w:val="18"/>
                <w:szCs w:val="18"/>
                <w:lang w:eastAsia="zh-TW"/>
              </w:rPr>
            </w:pPr>
            <w:r>
              <w:rPr>
                <w:sz w:val="18"/>
                <w:szCs w:val="18"/>
              </w:rPr>
              <w:t xml:space="preserve">Recommended that best practices be shared to ensure that key satellite data and products are available in critical situations. In this regard, Congress noted the planned WMO Joint RA II and RA V Workshop on WIGOS for </w:t>
            </w:r>
            <w:r w:rsidR="00F46D6B">
              <w:rPr>
                <w:sz w:val="18"/>
                <w:szCs w:val="18"/>
              </w:rPr>
              <w:t>DRR</w:t>
            </w:r>
            <w:r>
              <w:rPr>
                <w:sz w:val="18"/>
                <w:szCs w:val="18"/>
              </w:rPr>
              <w:t>, to be convened in Jakarta, Indonesia, from 13–15 October 2015.</w:t>
            </w: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spacing w:after="60"/>
              <w:jc w:val="left"/>
              <w:rPr>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tcPr>
          <w:p w:rsidR="00933498" w:rsidRDefault="00933498" w:rsidP="00F46D6B">
            <w:pPr>
              <w:pStyle w:val="ListParagraph"/>
              <w:numPr>
                <w:ilvl w:val="0"/>
                <w:numId w:val="9"/>
              </w:numPr>
              <w:tabs>
                <w:tab w:val="clear" w:pos="1134"/>
              </w:tabs>
              <w:spacing w:after="60"/>
              <w:ind w:left="284" w:hanging="284"/>
              <w:jc w:val="left"/>
              <w:rPr>
                <w:sz w:val="18"/>
                <w:szCs w:val="18"/>
                <w:lang w:eastAsia="zh-TW"/>
              </w:rPr>
            </w:pPr>
          </w:p>
        </w:tc>
      </w:tr>
    </w:tbl>
    <w:p w:rsidR="00933498" w:rsidRDefault="00933498" w:rsidP="00933498">
      <w:pPr>
        <w:rPr>
          <w:rFonts w:cstheme="minorBidi"/>
          <w:szCs w:val="22"/>
          <w:lang w:val="en-US" w:eastAsia="zh-TW"/>
        </w:rPr>
      </w:pPr>
    </w:p>
    <w:p w:rsidR="001378DB" w:rsidRPr="00933498" w:rsidRDefault="001378DB" w:rsidP="00CB163D">
      <w:pPr>
        <w:pStyle w:val="WMOBodyText"/>
        <w:rPr>
          <w:lang w:val="en-US"/>
        </w:rPr>
      </w:pPr>
    </w:p>
    <w:p w:rsidR="001378DB" w:rsidRDefault="001378DB" w:rsidP="00CB163D">
      <w:pPr>
        <w:pStyle w:val="WMOBodyText"/>
        <w:sectPr w:rsidR="001378DB" w:rsidSect="00933498">
          <w:pgSz w:w="16840" w:h="11907" w:orient="landscape" w:code="9"/>
          <w:pgMar w:top="1134" w:right="1134" w:bottom="1134" w:left="1134" w:header="1134" w:footer="1134" w:gutter="0"/>
          <w:cols w:space="720"/>
          <w:titlePg/>
          <w:docGrid w:linePitch="299"/>
        </w:sectPr>
      </w:pPr>
    </w:p>
    <w:p w:rsidR="001378DB" w:rsidRDefault="001378DB" w:rsidP="001378DB">
      <w:pPr>
        <w:pStyle w:val="WMOBodyText"/>
        <w:jc w:val="right"/>
        <w:rPr>
          <w:b/>
        </w:rPr>
      </w:pPr>
      <w:r w:rsidRPr="001378DB">
        <w:rPr>
          <w:b/>
        </w:rPr>
        <w:lastRenderedPageBreak/>
        <w:t>Annex II</w:t>
      </w:r>
    </w:p>
    <w:p w:rsidR="001378DB" w:rsidRPr="001378DB" w:rsidRDefault="001378DB" w:rsidP="001378DB">
      <w:pPr>
        <w:pStyle w:val="WMOBodyText"/>
        <w:jc w:val="right"/>
        <w:rPr>
          <w:b/>
        </w:rPr>
      </w:pPr>
    </w:p>
    <w:p w:rsidR="001378DB" w:rsidRDefault="001378DB" w:rsidP="001378DB">
      <w:pPr>
        <w:numPr>
          <w:ilvl w:val="0"/>
          <w:numId w:val="3"/>
        </w:numPr>
        <w:tabs>
          <w:tab w:val="clear" w:pos="1134"/>
        </w:tabs>
        <w:jc w:val="left"/>
        <w:rPr>
          <w:b/>
          <w:sz w:val="28"/>
        </w:rPr>
      </w:pPr>
      <w:r>
        <w:rPr>
          <w:b/>
          <w:sz w:val="28"/>
        </w:rPr>
        <w:t>Sendai Framework Agreement and its implications for WMO Members and Their NMHSs</w:t>
      </w:r>
    </w:p>
    <w:p w:rsidR="001378DB" w:rsidRDefault="001378DB" w:rsidP="001378DB"/>
    <w:p w:rsidR="001378DB" w:rsidRDefault="001378DB" w:rsidP="001378DB">
      <w:r>
        <w:t>The Sendai Framework for Disaster Risk Reduction 2015-2030 (Sendai Framework) was the first major agreement of the 2015 global development agenda. It is the successor instrument to the Hyogo Framework for Action 2005-2015: Building the Resilience of Nations and Communities to Disasters (HFA). Its seven global targets and four priorities for action are highly relevant to WMO as disaster risk reduction (DRR) is one of the seven priority areas of the Organization. Protecting lives, livelihoods and property is at the core of its mission – thus, WMO will support the implementation of the Sendai Framework through a wide range of scientific and technical activities.</w:t>
      </w:r>
    </w:p>
    <w:p w:rsidR="001378DB" w:rsidRDefault="001378DB" w:rsidP="001378DB"/>
    <w:p w:rsidR="001378DB" w:rsidRDefault="001378DB" w:rsidP="001378DB">
      <w:r>
        <w:t>The Sendai Framework was adopted by 187 countries at the Third United Nations (UN) World Conference on Disaster Risk Reduction (WCDRR) held in Sendai, Japan, from 14 to 18 March 2015. Over 6</w:t>
      </w:r>
      <w:r w:rsidR="004E48B7">
        <w:t> </w:t>
      </w:r>
      <w:r>
        <w:t xml:space="preserve">500 participants attended the Conference, including representatives from governments, intergovernmental organizations, non-governmental organizations, the media and National Meteorological and Hydrological Services (NMHSs). The adoption of the Sendai Framework was the main outcome of WCDRR, and was endorsed by the </w:t>
      </w:r>
      <w:r w:rsidR="00F46D6B">
        <w:t>UN</w:t>
      </w:r>
      <w:r>
        <w:t xml:space="preserve"> General Assembly on 3 June 2015.</w:t>
      </w:r>
    </w:p>
    <w:p w:rsidR="001378DB" w:rsidRDefault="001378DB" w:rsidP="001378DB"/>
    <w:p w:rsidR="001378DB" w:rsidRDefault="001378DB" w:rsidP="001378DB">
      <w:r>
        <w:t>From 2013 to 2015, WMO and its Members engaged in the consultative processes and negotiations that led to the adoption of the Sendai Framework. These included the 2013 Global Platform for DRR, the Regional Platforms and Ministerial Conferences for DRR, as well as the three sessions of the Preparatory Committee for WCDRR, the open-ended informal consultative and negotiation meetings and the meetings of the Informal Working Group on Targets and Indicators of the Preparatory Committee. NMHS representatives and WMO staff actively participated and contributed to the discussions at the Conference sessions as well as to the organizing teams that conceptualized and prepared these sessions.</w:t>
      </w:r>
    </w:p>
    <w:p w:rsidR="001378DB" w:rsidRDefault="001378DB" w:rsidP="001378DB"/>
    <w:p w:rsidR="001378DB" w:rsidRDefault="001378DB" w:rsidP="001378DB">
      <w:pPr>
        <w:numPr>
          <w:ilvl w:val="1"/>
          <w:numId w:val="3"/>
        </w:numPr>
        <w:tabs>
          <w:tab w:val="clear" w:pos="1134"/>
        </w:tabs>
        <w:jc w:val="left"/>
        <w:rPr>
          <w:b/>
        </w:rPr>
      </w:pPr>
      <w:r>
        <w:rPr>
          <w:b/>
        </w:rPr>
        <w:t>Global targets and priorities for action</w:t>
      </w:r>
    </w:p>
    <w:p w:rsidR="001378DB" w:rsidRDefault="001378DB" w:rsidP="001378DB"/>
    <w:p w:rsidR="001378DB" w:rsidRDefault="001378DB" w:rsidP="001378DB">
      <w:r>
        <w:t>The Sendai Framework is built on elements that ensure continuity with the work done by countries and other stakeholders under the HFA. The HFA, in turn, gave further impetus to the global work carried out under the International Framework for Action for the International Decade for Natural Disaster Reduction of 1989; the Yokohama Strategy for a Safer World: Guidelines for Natural Disaster Prevention, Preparedness and Mitigation and its Plan of Action adopted in 1994; and the International Strategy for Disaster Reduction of 1999.</w:t>
      </w:r>
    </w:p>
    <w:p w:rsidR="001378DB" w:rsidRDefault="001378DB" w:rsidP="001378DB"/>
    <w:p w:rsidR="001378DB" w:rsidRDefault="001378DB" w:rsidP="001378DB">
      <w:r>
        <w:t>The Sendai Framework introduces a number of innovations that emerged from the consultations and negotiations. The most significant shifts include:</w:t>
      </w:r>
    </w:p>
    <w:p w:rsidR="001378DB" w:rsidRDefault="001378DB" w:rsidP="001378DB"/>
    <w:p w:rsidR="001378DB" w:rsidRDefault="001378DB" w:rsidP="001378DB">
      <w:pPr>
        <w:numPr>
          <w:ilvl w:val="0"/>
          <w:numId w:val="2"/>
        </w:numPr>
        <w:tabs>
          <w:tab w:val="clear" w:pos="1134"/>
        </w:tabs>
        <w:jc w:val="left"/>
      </w:pPr>
      <w:r>
        <w:t>a strong emphasis on disaster risk management as opposed to disaster management;</w:t>
      </w:r>
    </w:p>
    <w:p w:rsidR="001378DB" w:rsidRDefault="001378DB" w:rsidP="001378DB">
      <w:pPr>
        <w:numPr>
          <w:ilvl w:val="0"/>
          <w:numId w:val="2"/>
        </w:numPr>
        <w:tabs>
          <w:tab w:val="clear" w:pos="1134"/>
        </w:tabs>
        <w:jc w:val="left"/>
      </w:pPr>
      <w:r>
        <w:t>the substantial reduction of disaster risk and losses in lives, livelihoods and health, and in the economic, physical, social, cultural and environmental assets of persons, businesses, communities and countries as an expected outcome;</w:t>
      </w:r>
    </w:p>
    <w:p w:rsidR="001378DB" w:rsidRDefault="001378DB" w:rsidP="001378DB">
      <w:pPr>
        <w:numPr>
          <w:ilvl w:val="0"/>
          <w:numId w:val="2"/>
        </w:numPr>
        <w:tabs>
          <w:tab w:val="clear" w:pos="1134"/>
        </w:tabs>
        <w:jc w:val="left"/>
      </w:pPr>
      <w:r>
        <w:t>a goal focused on preventing the creation of new risks, reducing existing risks and strengthening resilience; and,</w:t>
      </w:r>
    </w:p>
    <w:p w:rsidR="001378DB" w:rsidRDefault="001378DB" w:rsidP="001378DB">
      <w:pPr>
        <w:numPr>
          <w:ilvl w:val="0"/>
          <w:numId w:val="2"/>
        </w:numPr>
        <w:tabs>
          <w:tab w:val="clear" w:pos="1134"/>
        </w:tabs>
        <w:jc w:val="left"/>
      </w:pPr>
      <w:r>
        <w:t xml:space="preserve">the definition of seven global targets for achieving the expected outcome. </w:t>
      </w:r>
    </w:p>
    <w:p w:rsidR="001378DB" w:rsidRDefault="001378DB" w:rsidP="001378DB"/>
    <w:p w:rsidR="001378DB" w:rsidRDefault="001378DB" w:rsidP="001378DB">
      <w:r>
        <w:t xml:space="preserve">Another innovation of this 15-year, voluntary, non-binding agreement is a set of guiding principles. These recognize that each State, with all its institutions, has the primary role to reduce disaster risk but that responsibility should be shared with other stakeholders, including local governments, civil society and the private sector. In addition, the scope of the Sendai Framework has been broadened significantly to focus on both natural and man-made hazards and related </w:t>
      </w:r>
      <w:r>
        <w:lastRenderedPageBreak/>
        <w:t>environmental, technological and biological hazards and risks. There is also clear recognition of stakeholders and their roles, including the role of the UN System and the strengthening of international cooperation and global partnerships.</w:t>
      </w:r>
    </w:p>
    <w:p w:rsidR="001378DB" w:rsidRDefault="001378DB" w:rsidP="001378DB"/>
    <w:p w:rsidR="001378DB" w:rsidRDefault="001378DB" w:rsidP="001378DB">
      <w:r>
        <w:t xml:space="preserve">Through its four </w:t>
      </w:r>
      <w:r w:rsidR="00F1765E">
        <w:t>P</w:t>
      </w:r>
      <w:r>
        <w:t xml:space="preserve">riorities for </w:t>
      </w:r>
      <w:r w:rsidR="00F1765E">
        <w:t>A</w:t>
      </w:r>
      <w:r>
        <w:t>ction, the Sendai Framework articulates:</w:t>
      </w:r>
    </w:p>
    <w:p w:rsidR="001378DB" w:rsidRDefault="001378DB" w:rsidP="001378DB"/>
    <w:p w:rsidR="001378DB" w:rsidRDefault="00F1765E" w:rsidP="00205252">
      <w:pPr>
        <w:pStyle w:val="ListParagraph"/>
        <w:numPr>
          <w:ilvl w:val="0"/>
          <w:numId w:val="19"/>
        </w:numPr>
        <w:tabs>
          <w:tab w:val="clear" w:pos="1134"/>
        </w:tabs>
        <w:jc w:val="left"/>
      </w:pPr>
      <w:r>
        <w:t>T</w:t>
      </w:r>
      <w:r w:rsidR="001378DB">
        <w:t>he need for improved understanding of disaster risk in all its dimensions of exposure, vulnerability and hazard characteristics;</w:t>
      </w:r>
    </w:p>
    <w:p w:rsidR="001378DB" w:rsidRDefault="00F1765E" w:rsidP="00205252">
      <w:pPr>
        <w:pStyle w:val="ListParagraph"/>
        <w:numPr>
          <w:ilvl w:val="0"/>
          <w:numId w:val="19"/>
        </w:numPr>
        <w:tabs>
          <w:tab w:val="clear" w:pos="1134"/>
        </w:tabs>
        <w:jc w:val="left"/>
      </w:pPr>
      <w:r>
        <w:t>T</w:t>
      </w:r>
      <w:r w:rsidR="001378DB">
        <w:t>he strengthening of disaster risk governance, including national, regional and global platforms for DRR as mechanisms for coherence across agendas, monitoring and periodic reviews as well as accountability for disaster risk management;</w:t>
      </w:r>
    </w:p>
    <w:p w:rsidR="001378DB" w:rsidRDefault="00F1765E" w:rsidP="00205252">
      <w:pPr>
        <w:pStyle w:val="ListParagraph"/>
        <w:numPr>
          <w:ilvl w:val="0"/>
          <w:numId w:val="19"/>
        </w:numPr>
        <w:tabs>
          <w:tab w:val="clear" w:pos="1134"/>
        </w:tabs>
        <w:jc w:val="left"/>
      </w:pPr>
      <w:r>
        <w:t>I</w:t>
      </w:r>
      <w:r w:rsidR="001378DB">
        <w:t>nvesting in DRR for resilience including risk-informed donor policies and programmes and financial support and loans from international financial institutions; and</w:t>
      </w:r>
      <w:r>
        <w:t>,</w:t>
      </w:r>
    </w:p>
    <w:p w:rsidR="001378DB" w:rsidRDefault="00F1765E" w:rsidP="00205252">
      <w:pPr>
        <w:pStyle w:val="ListParagraph"/>
        <w:numPr>
          <w:ilvl w:val="0"/>
          <w:numId w:val="19"/>
        </w:numPr>
        <w:tabs>
          <w:tab w:val="clear" w:pos="1134"/>
        </w:tabs>
        <w:jc w:val="left"/>
      </w:pPr>
      <w:r>
        <w:t>E</w:t>
      </w:r>
      <w:r w:rsidR="001378DB">
        <w:t>nhancing disaster preparedness for effective response and to “Build Back Better” in recovery, rehabilitation and reconstruction, including improved resilience of health infrastructure, cultural heritage and workplaces.</w:t>
      </w:r>
    </w:p>
    <w:p w:rsidR="001378DB" w:rsidRDefault="001378DB" w:rsidP="001378DB"/>
    <w:p w:rsidR="001378DB" w:rsidRDefault="001378DB" w:rsidP="001378DB">
      <w:r>
        <w:t>The seven global targets outlined in the Sendai Framework are</w:t>
      </w:r>
    </w:p>
    <w:p w:rsidR="001378DB" w:rsidRDefault="001378DB" w:rsidP="001378DB"/>
    <w:p w:rsidR="001378DB" w:rsidRDefault="001378DB" w:rsidP="001378DB">
      <w:pPr>
        <w:numPr>
          <w:ilvl w:val="0"/>
          <w:numId w:val="4"/>
        </w:numPr>
        <w:tabs>
          <w:tab w:val="clear" w:pos="1134"/>
        </w:tabs>
        <w:ind w:left="714" w:hanging="357"/>
        <w:jc w:val="left"/>
      </w:pPr>
      <w:r>
        <w:t>Substantially reduce global disaster mortality by 2030, aiming to lower average per 100 000 global mortality rate in the decade 2020–2030 compared to the period 2005–2015;</w:t>
      </w:r>
    </w:p>
    <w:p w:rsidR="001378DB" w:rsidRDefault="001378DB" w:rsidP="001378DB">
      <w:pPr>
        <w:numPr>
          <w:ilvl w:val="0"/>
          <w:numId w:val="4"/>
        </w:numPr>
        <w:tabs>
          <w:tab w:val="clear" w:pos="1134"/>
        </w:tabs>
        <w:ind w:left="714" w:hanging="357"/>
        <w:jc w:val="left"/>
      </w:pPr>
      <w:r>
        <w:t>Substantially reduce the number of affected people globally by 2030, aiming to lower the average global figure per 100 000 in the decade 2020–2030 compared to the period 2005–2015;</w:t>
      </w:r>
    </w:p>
    <w:p w:rsidR="001378DB" w:rsidRDefault="001378DB" w:rsidP="001378DB">
      <w:pPr>
        <w:numPr>
          <w:ilvl w:val="0"/>
          <w:numId w:val="4"/>
        </w:numPr>
        <w:tabs>
          <w:tab w:val="clear" w:pos="1134"/>
        </w:tabs>
        <w:ind w:left="714" w:hanging="357"/>
        <w:jc w:val="left"/>
      </w:pPr>
      <w:r>
        <w:t>Reduce direct disaster economic loss in relation to global gross domestic product by 2030;</w:t>
      </w:r>
    </w:p>
    <w:p w:rsidR="001378DB" w:rsidRDefault="001378DB" w:rsidP="001378DB">
      <w:pPr>
        <w:numPr>
          <w:ilvl w:val="0"/>
          <w:numId w:val="4"/>
        </w:numPr>
        <w:tabs>
          <w:tab w:val="clear" w:pos="1134"/>
        </w:tabs>
        <w:ind w:left="714" w:hanging="357"/>
        <w:jc w:val="left"/>
      </w:pPr>
      <w:r>
        <w:t>Substantially reduce disaster damage to critical infrastructure and disruption of basic services, such as health and educational facilities, including through developing their resilience by 2030;</w:t>
      </w:r>
    </w:p>
    <w:p w:rsidR="001378DB" w:rsidRDefault="001378DB" w:rsidP="001378DB">
      <w:pPr>
        <w:numPr>
          <w:ilvl w:val="0"/>
          <w:numId w:val="4"/>
        </w:numPr>
        <w:tabs>
          <w:tab w:val="clear" w:pos="1134"/>
        </w:tabs>
        <w:ind w:left="714" w:hanging="357"/>
        <w:jc w:val="left"/>
      </w:pPr>
      <w:r>
        <w:t>Substantially increase the number of countries with national and local DRR strategies by 2020;</w:t>
      </w:r>
    </w:p>
    <w:p w:rsidR="001378DB" w:rsidRDefault="001378DB" w:rsidP="001378DB">
      <w:pPr>
        <w:numPr>
          <w:ilvl w:val="0"/>
          <w:numId w:val="4"/>
        </w:numPr>
        <w:tabs>
          <w:tab w:val="clear" w:pos="1134"/>
        </w:tabs>
        <w:ind w:left="714" w:hanging="357"/>
        <w:jc w:val="left"/>
      </w:pPr>
      <w:r>
        <w:t>Substantially enhance international cooperation to developing countries through adequate and sustainable support to complement their national actions for implementation of this framework by 2030; and,</w:t>
      </w:r>
    </w:p>
    <w:p w:rsidR="001378DB" w:rsidRDefault="001378DB" w:rsidP="001378DB">
      <w:pPr>
        <w:numPr>
          <w:ilvl w:val="0"/>
          <w:numId w:val="4"/>
        </w:numPr>
        <w:tabs>
          <w:tab w:val="clear" w:pos="1134"/>
        </w:tabs>
        <w:ind w:left="714" w:hanging="357"/>
        <w:jc w:val="left"/>
      </w:pPr>
      <w:r>
        <w:t>Substantially increase the availability of and access to multi-hazard early warning systems (MHEWSs) and disaster risk information and assessments by 2030.</w:t>
      </w:r>
    </w:p>
    <w:p w:rsidR="001378DB" w:rsidRDefault="001378DB" w:rsidP="001378DB"/>
    <w:p w:rsidR="001378DB" w:rsidRDefault="001378DB" w:rsidP="001378DB">
      <w:pPr>
        <w:numPr>
          <w:ilvl w:val="1"/>
          <w:numId w:val="3"/>
        </w:numPr>
        <w:tabs>
          <w:tab w:val="clear" w:pos="1134"/>
        </w:tabs>
        <w:jc w:val="left"/>
        <w:rPr>
          <w:b/>
        </w:rPr>
      </w:pPr>
      <w:r>
        <w:rPr>
          <w:b/>
        </w:rPr>
        <w:t>Implications for WMO and its Members – opportunities and challenges</w:t>
      </w:r>
    </w:p>
    <w:p w:rsidR="001378DB" w:rsidRDefault="001378DB" w:rsidP="001378DB"/>
    <w:p w:rsidR="001378DB" w:rsidRDefault="001378DB" w:rsidP="001378DB">
      <w:r>
        <w:t>There are a number of provisions in the Sendai Framework, called for by and addressed to States, which are especially relevant to WMO:</w:t>
      </w:r>
    </w:p>
    <w:p w:rsidR="001378DB" w:rsidRDefault="001378DB" w:rsidP="001378DB"/>
    <w:p w:rsidR="001378DB" w:rsidRDefault="001378DB" w:rsidP="001378DB">
      <w:pPr>
        <w:numPr>
          <w:ilvl w:val="0"/>
          <w:numId w:val="2"/>
        </w:numPr>
        <w:tabs>
          <w:tab w:val="clear" w:pos="1134"/>
        </w:tabs>
        <w:jc w:val="left"/>
      </w:pPr>
      <w:r>
        <w:t>Promoting the collection, analysis, management and use of relevant data and practical information in line with national circumstances and making use of space and in situ information that results from maintained and strengthened in situ and remotely- sensed Earth and climate observations.</w:t>
      </w:r>
    </w:p>
    <w:p w:rsidR="001378DB" w:rsidRDefault="001378DB" w:rsidP="001378DB">
      <w:pPr>
        <w:numPr>
          <w:ilvl w:val="0"/>
          <w:numId w:val="2"/>
        </w:numPr>
        <w:tabs>
          <w:tab w:val="clear" w:pos="1134"/>
        </w:tabs>
        <w:jc w:val="left"/>
      </w:pPr>
      <w:r>
        <w:t>Ensuring dissemination of reliable data in an appropriate format and accessibility of non-sensitive information, taking into account the needs of different categories of users (including social and cultural requirements, in particular, gender).</w:t>
      </w:r>
    </w:p>
    <w:p w:rsidR="001378DB" w:rsidRDefault="001378DB" w:rsidP="001378DB">
      <w:pPr>
        <w:numPr>
          <w:ilvl w:val="0"/>
          <w:numId w:val="2"/>
        </w:numPr>
        <w:tabs>
          <w:tab w:val="clear" w:pos="1134"/>
        </w:tabs>
        <w:jc w:val="left"/>
      </w:pPr>
      <w:r>
        <w:t>Strengthening disaster risk modelling, assessment, mapping, monitoring and MHEWSs through the strengthening of technical and scientific capacity to capitalize on and consolidate existing knowledge and through developing and applying methodologies and tools.</w:t>
      </w:r>
    </w:p>
    <w:p w:rsidR="001378DB" w:rsidRDefault="001378DB" w:rsidP="001378DB">
      <w:pPr>
        <w:numPr>
          <w:ilvl w:val="0"/>
          <w:numId w:val="2"/>
        </w:numPr>
        <w:tabs>
          <w:tab w:val="clear" w:pos="1134"/>
        </w:tabs>
        <w:jc w:val="left"/>
      </w:pPr>
      <w:r>
        <w:t xml:space="preserve">Promoting and improving dialogue and cooperation among scientific and technological communities, the private sector, other relevant stakeholders and policymakers in order to </w:t>
      </w:r>
      <w:r>
        <w:lastRenderedPageBreak/>
        <w:t>facilitate a science/policy interface for effective decision-making in disaster risk management and for sharing good practices internationally.</w:t>
      </w:r>
    </w:p>
    <w:p w:rsidR="001378DB" w:rsidRDefault="001378DB" w:rsidP="001378DB">
      <w:pPr>
        <w:numPr>
          <w:ilvl w:val="0"/>
          <w:numId w:val="2"/>
        </w:numPr>
        <w:tabs>
          <w:tab w:val="clear" w:pos="1134"/>
        </w:tabs>
        <w:jc w:val="left"/>
      </w:pPr>
      <w:r>
        <w:t>Strengthening disaster-resilient public and private investments in structural, non-structural and functional disaster risk prevention and reduction measures.</w:t>
      </w:r>
    </w:p>
    <w:p w:rsidR="001378DB" w:rsidRDefault="001378DB" w:rsidP="001378DB">
      <w:pPr>
        <w:numPr>
          <w:ilvl w:val="0"/>
          <w:numId w:val="2"/>
        </w:numPr>
        <w:tabs>
          <w:tab w:val="clear" w:pos="1134"/>
        </w:tabs>
        <w:jc w:val="left"/>
      </w:pPr>
      <w:r>
        <w:t>Investing in, developing, maintaining and strengthening people-centred, multi-sectoral MHEWSs, including telecommunications systems for hazard monitoring and emergencies, simple and low-cost early warning equipment and facilities, and broadened release channels for warning information that is tailored to different user needs.</w:t>
      </w:r>
    </w:p>
    <w:p w:rsidR="001378DB" w:rsidRDefault="001378DB" w:rsidP="00F46D6B">
      <w:pPr>
        <w:numPr>
          <w:ilvl w:val="0"/>
          <w:numId w:val="2"/>
        </w:numPr>
        <w:tabs>
          <w:tab w:val="clear" w:pos="1134"/>
        </w:tabs>
        <w:jc w:val="left"/>
      </w:pPr>
      <w:r>
        <w:t xml:space="preserve">Promoting the further development of and investment in effective, nationally compatible, regional multi- hazard early warning mechanisms, where relevant, contributing to </w:t>
      </w:r>
      <w:r w:rsidR="00F46D6B" w:rsidRPr="00F46D6B">
        <w:t xml:space="preserve">Global Framework for Climate Services </w:t>
      </w:r>
      <w:r w:rsidR="00F46D6B">
        <w:t>(</w:t>
      </w:r>
      <w:r>
        <w:t>GFCS</w:t>
      </w:r>
      <w:r w:rsidR="00F46D6B">
        <w:t>)</w:t>
      </w:r>
      <w:r>
        <w:t>, and facilitate the sharing and exchange of information across all countries.</w:t>
      </w:r>
    </w:p>
    <w:p w:rsidR="001378DB" w:rsidRDefault="001378DB" w:rsidP="001378DB">
      <w:pPr>
        <w:numPr>
          <w:ilvl w:val="0"/>
          <w:numId w:val="2"/>
        </w:numPr>
        <w:tabs>
          <w:tab w:val="clear" w:pos="1134"/>
        </w:tabs>
        <w:jc w:val="left"/>
      </w:pPr>
      <w:r>
        <w:t>Supporting relevant UN entities to strengthen and implement global mechanisms on hydrometeorological issues in order to raise awareness and improve the understanding of water-related disaster risks.</w:t>
      </w:r>
    </w:p>
    <w:p w:rsidR="001378DB" w:rsidRDefault="001378DB" w:rsidP="001378DB">
      <w:pPr>
        <w:numPr>
          <w:ilvl w:val="0"/>
          <w:numId w:val="2"/>
        </w:numPr>
        <w:tabs>
          <w:tab w:val="clear" w:pos="1134"/>
        </w:tabs>
        <w:jc w:val="left"/>
      </w:pPr>
      <w:r>
        <w:t>Promoting international cooperation for DRR and enhanced coordination of respective strategies of UN entities and other international and regional organizations, especially in developing countries, in particular, the least developed countries, Small Island Developing States (SIDS), landlocked developing countries and African countries.</w:t>
      </w:r>
    </w:p>
    <w:p w:rsidR="001378DB" w:rsidRDefault="001378DB" w:rsidP="001378DB"/>
    <w:p w:rsidR="001378DB" w:rsidRDefault="001378DB" w:rsidP="001378DB">
      <w:pPr>
        <w:numPr>
          <w:ilvl w:val="1"/>
          <w:numId w:val="3"/>
        </w:numPr>
        <w:tabs>
          <w:tab w:val="clear" w:pos="1134"/>
        </w:tabs>
        <w:jc w:val="left"/>
        <w:rPr>
          <w:b/>
        </w:rPr>
      </w:pPr>
      <w:r>
        <w:rPr>
          <w:b/>
        </w:rPr>
        <w:t>WMO addressing the challenges and opportunities</w:t>
      </w:r>
    </w:p>
    <w:p w:rsidR="001378DB" w:rsidRDefault="001378DB" w:rsidP="001378DB"/>
    <w:p w:rsidR="001378DB" w:rsidRDefault="001378DB" w:rsidP="001378DB">
      <w:r>
        <w:t xml:space="preserve">The </w:t>
      </w:r>
      <w:r w:rsidR="004E48B7">
        <w:t>17</w:t>
      </w:r>
      <w:r w:rsidR="004E48B7" w:rsidRPr="00580D15">
        <w:rPr>
          <w:vertAlign w:val="superscript"/>
        </w:rPr>
        <w:t>th</w:t>
      </w:r>
      <w:r w:rsidR="004E48B7">
        <w:t xml:space="preserve"> session of the </w:t>
      </w:r>
      <w:r>
        <w:t>World Meteorological Congress in June 2015 (Cg-17) reaffirmed DRR as one of the high-priority areas for WMO, thereby acknowledging the significance of the Sendai Framework for WMO and the new opportunities and challenges it poses for NMHSs. The scope and objectives of the WMO DRR Programme, established in 2003, were aligned with the HFA to support NMHSs in: the provision of hazard information for risk assessments, prevention, response, recovery and risk transfer across sectors; the preparedness through early warning systems (EWSs); the ability to respond to user requirements and the cooperation and engagement in disaster governance structures at all levels. Through this crosscutting Programme, WMO has played an important role in supporting its Members in implementing the HFA. The WMO DRR priority cuts across all the other Organization priorities and contributes to related priority areas such as capacity development and the implementation of the GFCS.</w:t>
      </w:r>
    </w:p>
    <w:p w:rsidR="001378DB" w:rsidRDefault="001378DB" w:rsidP="001378DB"/>
    <w:p w:rsidR="001378DB" w:rsidRDefault="001378DB" w:rsidP="001378DB">
      <w:r>
        <w:t xml:space="preserve">WMO is now realigning its DRR Programme with the Sendai Framework, while considering the provisions of other global frameworks that are highly relevant to DRR, for example, on sustainable development, climate change, humanitarian assistance and urban issues. A first step was the decision by Cg-17 and the Executive Council (EC) to produce and regularly update a WMO DRR Roadmap (Section 2 provides a status of the </w:t>
      </w:r>
      <w:r w:rsidR="00F46D6B">
        <w:t>R</w:t>
      </w:r>
      <w:r>
        <w:t>oadmap). This document will guide WMO activities in all components of disaster risk management as well as their further enhancement and coordination across WMO constituent bodies and programmes. The Roadmap is a coordinated organization-wide plan of action with prioritized activities and deliverables. It will be continuously updated and verified for consistency with the WMO Strategic and Operating Plan by its constituent bodies as well as the work plans for related WMO programmes and projects. Furthermore, the Roadmap considers relevant WMO guidelines and documents as well as input from NMHSs’ own DRR roadmaps, frameworks and good practices.</w:t>
      </w:r>
    </w:p>
    <w:p w:rsidR="001378DB" w:rsidRDefault="001378DB" w:rsidP="001378DB"/>
    <w:p w:rsidR="001378DB" w:rsidRDefault="001378DB" w:rsidP="001378DB">
      <w:r>
        <w:t xml:space="preserve">A network of DRR Focal Points of the technical commissions (TCs) and technical programmes (TPs) (DRR FP TC-TP) had been created through nominations by the Presidents of TCs (PTC) and relevant coordinating mechanisms of TPs and inter-commission activities. Cg-17 reconfirmed the establishment of the DRR FP TC-TP and requested to include focal points of the RAs as a mechanism to support the WMO-wide coordination of DRR activities. The presidents of the RAs and TCs then nominated (or reconfirmed) respective DRR Focal Points (now DRR FP RA-TC-TP). Their first meeting was held from 3-5 November 2015 (Section 3 provides a summary of outcomes of the meeting). Cg-17 furthermore encouraged the Secretariat to continue with user-driven </w:t>
      </w:r>
      <w:r>
        <w:lastRenderedPageBreak/>
        <w:t>approaches such as the User-Interface Expert Advisory Groups (UI-EAGs) in the development of DRR knowledge products, science-based and risk-informed services, and in the implementation of demonstration projects as detailed in the DRR Roadmap and its Work Plans for the DRR Programme.</w:t>
      </w:r>
    </w:p>
    <w:p w:rsidR="001378DB" w:rsidRDefault="001378DB" w:rsidP="001378DB"/>
    <w:p w:rsidR="001378DB" w:rsidRDefault="001378DB" w:rsidP="001378DB">
      <w:r>
        <w:t>Following Cg-17, EC-67 in June 2015 established the new EC Working Group on DRR (EC WG-DRR) to provide guidance on the implementation of the WMO DRR priority in the WMO Strategic Plan 2016-2019. By doing so and by committing to the implementation of the UN Plan of Action on DRR for Resilience, WMO will also assist Members to implement the Sendai Framework.</w:t>
      </w:r>
    </w:p>
    <w:p w:rsidR="001378DB" w:rsidRDefault="001378DB" w:rsidP="001378DB"/>
    <w:p w:rsidR="001378DB" w:rsidRDefault="001378DB" w:rsidP="001378DB">
      <w:pPr>
        <w:numPr>
          <w:ilvl w:val="1"/>
          <w:numId w:val="3"/>
        </w:numPr>
        <w:tabs>
          <w:tab w:val="clear" w:pos="1134"/>
        </w:tabs>
        <w:jc w:val="left"/>
        <w:rPr>
          <w:b/>
        </w:rPr>
      </w:pPr>
      <w:r>
        <w:rPr>
          <w:b/>
        </w:rPr>
        <w:t>WMO support for implementing the Sendai Framework</w:t>
      </w:r>
    </w:p>
    <w:p w:rsidR="001378DB" w:rsidRDefault="001378DB" w:rsidP="001378DB"/>
    <w:p w:rsidR="001378DB" w:rsidRDefault="001378DB" w:rsidP="001378DB">
      <w:r>
        <w:t xml:space="preserve">The WMO community has a wide range of services and products on offer for the implementation of the Sendai Framework. But other commitments made at WCDRR, at Cg-17 and in subsequent processes still need to be implemented. The following are some examples of how WMO will be contributing to the </w:t>
      </w:r>
      <w:r w:rsidR="00F1765E">
        <w:t xml:space="preserve">four </w:t>
      </w:r>
      <w:r>
        <w:t>Priorities for Action</w:t>
      </w:r>
      <w:r w:rsidR="00F1765E">
        <w:t xml:space="preserve"> of the Sendai Framework</w:t>
      </w:r>
      <w:r>
        <w:t xml:space="preserve">: </w:t>
      </w:r>
    </w:p>
    <w:p w:rsidR="001378DB" w:rsidRDefault="001378DB" w:rsidP="001378DB"/>
    <w:p w:rsidR="001378DB" w:rsidRDefault="001378DB" w:rsidP="001378DB">
      <w:r>
        <w:rPr>
          <w:b/>
          <w:i/>
        </w:rPr>
        <w:t>Priority for Action 1:</w:t>
      </w:r>
      <w:r>
        <w:t xml:space="preserve"> In support of the Sendai Framework’s first Priority for Action, Congress 17 through adoption of its Resolution 9 decided to standardize weather, water, climate, space weather and other related environmental hazard information (Section 4 provides further background on Resolution 9). Congress 17 also requested CBS to develop, in collaboration with all </w:t>
      </w:r>
      <w:r w:rsidR="00F46D6B">
        <w:t>TCs</w:t>
      </w:r>
      <w:r>
        <w:t xml:space="preserve"> and </w:t>
      </w:r>
      <w:r w:rsidR="00F46D6B">
        <w:t>RA</w:t>
      </w:r>
      <w:r>
        <w:t xml:space="preserve">s, a proposal on standardized identifiers for cataloguing hazardous events for consideration by the </w:t>
      </w:r>
      <w:r w:rsidR="00F1765E">
        <w:t>EC</w:t>
      </w:r>
      <w:r>
        <w:t>. These measures will promote interoperability among datasets and facilitate Members’ efforts to assess risks and track climate-related loss and damage. Enhanced capabilities to monitor and model future climate conditions will improve the attribution of extreme weather events to climate change. The capabilities will also facilitate preparedness and adaptation at all timescales and will provide quality assurance of these data, including the official designation/validation of extreme events and archiving of event data and trend indices. WMO continuously improves the quality and quantity of hydrometeorological data through the WMO Integrated Global Observing System (WIGOS), which enables the collection of data from satellites, ocean buoys, aircraft, ships and land-based stations, and related programmes.</w:t>
      </w:r>
    </w:p>
    <w:p w:rsidR="001378DB" w:rsidRDefault="001378DB" w:rsidP="001378DB"/>
    <w:p w:rsidR="001378DB" w:rsidRDefault="001378DB" w:rsidP="001378DB">
      <w:r>
        <w:rPr>
          <w:b/>
          <w:i/>
        </w:rPr>
        <w:t>Priority for Action 3:</w:t>
      </w:r>
      <w:r>
        <w:t xml:space="preserve"> Contributing to the second Priority for Action, WMO encourages NMHSs to actively engage in their national disaster risk management and governance and in national, sub-regional, regional and global platforms for DRR. This can help to clarify the roles and responsibilities of various public- (including NMHSs) and private-sector actors and stakeholders who are providing and benefiting from weather and climate services. WMO advocates for reflecting these roles in national and local regulatory frameworks, planning, budgets, coordination/collaboration and operations, supported by, for example, standard operating procedures and guidelines.</w:t>
      </w:r>
    </w:p>
    <w:p w:rsidR="001378DB" w:rsidRDefault="001378DB" w:rsidP="001378DB"/>
    <w:p w:rsidR="001378DB" w:rsidRDefault="001378DB" w:rsidP="001378DB">
      <w:r>
        <w:rPr>
          <w:b/>
          <w:i/>
        </w:rPr>
        <w:t>Priority for Action 3:</w:t>
      </w:r>
      <w:r>
        <w:t xml:space="preserve"> For NMHSs, the third Priority for Action applies to the maintenance, modernization, integration and further development of core capacities including: (a) operational weather, climate and hydrological observations, information and services to inform risk reduction and adaptation measures and medium- and long-term strategic planning for community resilience in the context of climate change and (b) high-impact weather and climate research, including modelling. WMO is helping Members to access funding and showcase the socioeconomic benefits of weather and climate services and to implement capacity development and demonstration projects. It is also equally important to ensure that investments are materialized in information and communications technologies (ICTs). These ICTs facilitate monitoring of the environment, retrieving and processing vital data, and disseminating and receiving information before, during and after disasters. This is important particularly for early warning where timely evacuation can save thousands of lives. These investments should move beyond hardware requirements and ensure that the human capital of the country is capacitated to develop, operate and maintain such systems.</w:t>
      </w:r>
    </w:p>
    <w:p w:rsidR="001378DB" w:rsidRDefault="001378DB" w:rsidP="001378DB"/>
    <w:p w:rsidR="001378DB" w:rsidRDefault="001378DB" w:rsidP="001378DB">
      <w:r>
        <w:rPr>
          <w:b/>
          <w:i/>
        </w:rPr>
        <w:t>Priority for Action 4:</w:t>
      </w:r>
      <w:r>
        <w:t xml:space="preserve"> The WMO can make significant contributions to the implementation of the Sendai Framework is under the fourth Priority for Action namely the four components of MHEWSs:</w:t>
      </w:r>
    </w:p>
    <w:p w:rsidR="001378DB" w:rsidRDefault="001378DB" w:rsidP="001378DB"/>
    <w:p w:rsidR="001378DB" w:rsidRDefault="001378DB" w:rsidP="001378DB">
      <w:pPr>
        <w:numPr>
          <w:ilvl w:val="0"/>
          <w:numId w:val="5"/>
        </w:numPr>
        <w:tabs>
          <w:tab w:val="clear" w:pos="1134"/>
        </w:tabs>
        <w:jc w:val="left"/>
      </w:pPr>
      <w:r>
        <w:t>Analyses and assessment of risks involved;</w:t>
      </w:r>
    </w:p>
    <w:p w:rsidR="001378DB" w:rsidRDefault="001378DB" w:rsidP="001378DB">
      <w:pPr>
        <w:numPr>
          <w:ilvl w:val="0"/>
          <w:numId w:val="5"/>
        </w:numPr>
        <w:tabs>
          <w:tab w:val="clear" w:pos="1134"/>
        </w:tabs>
        <w:jc w:val="left"/>
      </w:pPr>
      <w:r>
        <w:t>Detection, monitoring, analysis and forecasting the hazards;</w:t>
      </w:r>
    </w:p>
    <w:p w:rsidR="001378DB" w:rsidRDefault="001378DB" w:rsidP="001378DB">
      <w:pPr>
        <w:numPr>
          <w:ilvl w:val="0"/>
          <w:numId w:val="5"/>
        </w:numPr>
        <w:tabs>
          <w:tab w:val="clear" w:pos="1134"/>
        </w:tabs>
        <w:jc w:val="left"/>
      </w:pPr>
      <w:r>
        <w:t>Dissemination and communication of timely, accurate, actionable, inclusive and authoritative warnings; and,</w:t>
      </w:r>
    </w:p>
    <w:p w:rsidR="001378DB" w:rsidRDefault="001378DB" w:rsidP="001378DB">
      <w:pPr>
        <w:numPr>
          <w:ilvl w:val="0"/>
          <w:numId w:val="5"/>
        </w:numPr>
        <w:tabs>
          <w:tab w:val="clear" w:pos="1134"/>
        </w:tabs>
        <w:jc w:val="left"/>
      </w:pPr>
      <w:r>
        <w:t>Preparedness and response capabilities.</w:t>
      </w:r>
    </w:p>
    <w:p w:rsidR="001378DB" w:rsidRDefault="001378DB" w:rsidP="001378DB"/>
    <w:p w:rsidR="001378DB" w:rsidRDefault="001378DB" w:rsidP="001378DB">
      <w:r>
        <w:t xml:space="preserve">While the </w:t>
      </w:r>
      <w:r>
        <w:rPr>
          <w:i/>
        </w:rPr>
        <w:t>first component</w:t>
      </w:r>
      <w:r>
        <w:t xml:space="preserve"> of MHEWS</w:t>
      </w:r>
      <w:r w:rsidR="00F1765E">
        <w:t>s</w:t>
      </w:r>
      <w:r>
        <w:t xml:space="preserve"> is addressed under the first Priority for Action, the </w:t>
      </w:r>
      <w:r>
        <w:rPr>
          <w:i/>
        </w:rPr>
        <w:t xml:space="preserve">second component </w:t>
      </w:r>
      <w:r>
        <w:t>is supported by the WMO Global Data-Processing and Forecasting System (GDPFS). It involves three World Meteorological Centres and 40 Regional Centres, including Regional Specialized Meteorological Centres, Regional Climate Centres and Regional Drought Management Centres. These centres process data and routinely provide countries with analyses and meteorological forecasts, and support the early warning capacities of NMHSs. Hazard-specific (for example, flash floods, tropical cyclones, coastal hazards or technological hazards) and sector-specific (for example, agriculture, aviation and humanitarian assistance) warning services are supported by WMO programmes through the following:</w:t>
      </w:r>
    </w:p>
    <w:p w:rsidR="001378DB" w:rsidRDefault="001378DB" w:rsidP="001378DB"/>
    <w:p w:rsidR="001378DB" w:rsidRDefault="001378DB" w:rsidP="001378DB">
      <w:pPr>
        <w:numPr>
          <w:ilvl w:val="0"/>
          <w:numId w:val="2"/>
        </w:numPr>
        <w:tabs>
          <w:tab w:val="clear" w:pos="1134"/>
        </w:tabs>
        <w:jc w:val="left"/>
      </w:pPr>
      <w:r>
        <w:t>Strengthening of impact-based forecast and risk- based warning services;</w:t>
      </w:r>
    </w:p>
    <w:p w:rsidR="001378DB" w:rsidRDefault="001378DB" w:rsidP="001378DB">
      <w:pPr>
        <w:numPr>
          <w:ilvl w:val="0"/>
          <w:numId w:val="2"/>
        </w:numPr>
        <w:tabs>
          <w:tab w:val="clear" w:pos="1134"/>
        </w:tabs>
        <w:jc w:val="left"/>
      </w:pPr>
      <w:r>
        <w:t>Addressing weather, climate, water and environmental issues for improved service delivery for DRR in the sectors of health, agriculture, land transportation and energy, and in megacities and large urban complexes;</w:t>
      </w:r>
    </w:p>
    <w:p w:rsidR="001378DB" w:rsidRDefault="001378DB" w:rsidP="001378DB">
      <w:pPr>
        <w:numPr>
          <w:ilvl w:val="0"/>
          <w:numId w:val="2"/>
        </w:numPr>
        <w:tabs>
          <w:tab w:val="clear" w:pos="1134"/>
        </w:tabs>
        <w:jc w:val="left"/>
      </w:pPr>
      <w:r>
        <w:t>Promoting people-centred MHEWSs for tropical cyclones and further strengthening the global mechanisms to reduce the disaster risk associated with tropical cyclones;</w:t>
      </w:r>
    </w:p>
    <w:p w:rsidR="001378DB" w:rsidRDefault="001378DB" w:rsidP="001378DB">
      <w:pPr>
        <w:numPr>
          <w:ilvl w:val="0"/>
          <w:numId w:val="2"/>
        </w:numPr>
        <w:tabs>
          <w:tab w:val="clear" w:pos="1134"/>
        </w:tabs>
        <w:jc w:val="left"/>
      </w:pPr>
      <w:r>
        <w:t>Promoting risk-informed decisions by the aviation community and transportation sector concerned with the impact of airborne dust and particles during volcanic eruptions, wildfires, sandstorms, dust storms and the like, through enhanced information systems and services; and</w:t>
      </w:r>
    </w:p>
    <w:p w:rsidR="001378DB" w:rsidRDefault="001378DB" w:rsidP="001378DB">
      <w:pPr>
        <w:numPr>
          <w:ilvl w:val="0"/>
          <w:numId w:val="2"/>
        </w:numPr>
        <w:tabs>
          <w:tab w:val="clear" w:pos="1134"/>
        </w:tabs>
        <w:jc w:val="left"/>
      </w:pPr>
      <w:r>
        <w:t>Developing approaches to deal with the emerging challenges and opportunities to access, use and manage Big Data, crowd sourced data and data obtained through social media, particularly those relevant to risk assessment. </w:t>
      </w:r>
    </w:p>
    <w:p w:rsidR="001378DB" w:rsidRDefault="001378DB" w:rsidP="001378DB"/>
    <w:p w:rsidR="001378DB" w:rsidRDefault="001378DB" w:rsidP="001378DB">
      <w:r>
        <w:t>The third component is supported by the WMO Global Telecommunication System (GTS) that interconnects all NMHSs for the collection and distribution of meteorological and related data, forecasts and alerts, including tsunami and seismic-related information and warnings. This system is being transformed into an overarching WMO Information System that enables systematic access, retrieval, dissemination and exchange of data and information of all WMO and related international programmes. In addition, the Common Alert Protocol (CAP) provides the international standard for emergency alerting and public warning for all hazards, including those related to weather events, earthquakes, tsunamis, volcanoes, public health, power outages and many other emergencies. This Protocol also applies to all media, including communications media ranging from sirens to mobile phones, faxes, radio, television and various web-based communication networks.</w:t>
      </w:r>
    </w:p>
    <w:p w:rsidR="001378DB" w:rsidRDefault="001378DB" w:rsidP="001378DB"/>
    <w:p w:rsidR="001378DB" w:rsidRDefault="001378DB" w:rsidP="001378DB">
      <w:r>
        <w:t>For the fourth component, emergency response is supported by WMO, especially on the global level. Through its work with the Inter-Agency Standing Committee (IASC), the Global Disaster Alert and Coordination System (GDACS) and Copernicus, WMO links weather and climate services to international humanitarian agencies in order to improve humanitarian contingency planning, preparedness and response.</w:t>
      </w:r>
    </w:p>
    <w:p w:rsidR="001378DB" w:rsidRDefault="001378DB" w:rsidP="001378DB"/>
    <w:p w:rsidR="001378DB" w:rsidRDefault="001378DB" w:rsidP="001378DB">
      <w:r>
        <w:t xml:space="preserve">Moreover, as the Sendai Framework emphasizes the importance of international cooperation and multi-stakeholder partnerships for DRR, WMO will seize opportunities for greater engagement in new or reinforced partnerships, projects, funding streams and so forth. Multi-stakeholder </w:t>
      </w:r>
      <w:r>
        <w:lastRenderedPageBreak/>
        <w:t>partnership is a key strategy of WMO to support its Members, particularly their NMHSs, in strengthening service delivery at all levels. To facilitate effective multi-stakeholder partnerships at national and local levels, WMO will extend technical support in the development of national guidelines and standard operating procedures for multi-agency coordination, for example on MHEWSs, to its Members. </w:t>
      </w:r>
    </w:p>
    <w:p w:rsidR="001378DB" w:rsidRDefault="001378DB" w:rsidP="001378DB"/>
    <w:p w:rsidR="001378DB" w:rsidRDefault="001378DB" w:rsidP="001378DB">
      <w:r>
        <w:t>National technical agencies such as meteorological, hydrological, geological and marine services play crucial roles in collecting, analysing and providing hazard and risk information. Their collaboration with disaster risk management agencies, natural and social scientists and the media, for example, is important for making effective use of this information and the services provided. It is also important for supporting risk-informed decision-making and development planning at national and local levels. Thus, NMHSs need to be fully integrated into national disaster risk management systems, with horizontal and vertical partnerships across the various sectors, stakeholders and levels.</w:t>
      </w:r>
    </w:p>
    <w:p w:rsidR="001378DB" w:rsidRDefault="001378DB" w:rsidP="001378DB"/>
    <w:p w:rsidR="001378DB" w:rsidRDefault="001378DB" w:rsidP="001378DB">
      <w:r>
        <w:t>Strengthening MHEWSs through partnership and coordination among stakeholders across all sectors and at all levels is important in pursuing a holistic and integrated approach to DRR and disaster risk management. Moreover, because hazards do not respect national boundaries and may overwhelm national capacity, national MHEWSs need to be complemented by regional cooperation frameworks. Regional and international cooperation among nations will ensure harmonization and interoperability of their EWSs and MHEWSs and leverage resources for managing the risks associated with trans-boundary and large-scale hazards. In this regard, WMO is playing a key role in developing and promoting the International Network for MHEWS</w:t>
      </w:r>
      <w:r w:rsidR="00F1765E">
        <w:t>s</w:t>
      </w:r>
      <w:r>
        <w:t xml:space="preserve"> (IN-MHEWS, see Annex IV) which was proposed at WCDRR as a major outcome of the Working Session on Early Warning (HFA Priority 2). Cg-17 requested the RAs, TCs and the Secretary-General to assist with the further development of IN-MHEWS, including the organization of an International Conference on MHEWS</w:t>
      </w:r>
      <w:r w:rsidR="00F1765E">
        <w:t>s</w:t>
      </w:r>
      <w:r>
        <w:t xml:space="preserve"> (IC-MHEWS, planned for December 2016, see Annex V).</w:t>
      </w:r>
    </w:p>
    <w:p w:rsidR="001378DB" w:rsidRDefault="001378DB" w:rsidP="001378DB"/>
    <w:p w:rsidR="001378DB" w:rsidRDefault="001378DB" w:rsidP="00580D15">
      <w:pPr>
        <w:rPr>
          <w:szCs w:val="22"/>
        </w:rPr>
      </w:pPr>
      <w:r>
        <w:rPr>
          <w:szCs w:val="22"/>
        </w:rPr>
        <w:t>Furthermore, WMO will contribute to the development of a number of targeted Sendai Framework implementation guides</w:t>
      </w:r>
      <w:r w:rsidR="004E48B7">
        <w:rPr>
          <w:szCs w:val="22"/>
        </w:rPr>
        <w:t xml:space="preserve"> (“Words into Action”)</w:t>
      </w:r>
      <w:r>
        <w:rPr>
          <w:szCs w:val="22"/>
        </w:rPr>
        <w:t xml:space="preserve">, for example, on early warning, risk assessment, ecosystem-based DRR and others. WMO </w:t>
      </w:r>
      <w:r w:rsidRPr="004E48B7">
        <w:t>has</w:t>
      </w:r>
      <w:r>
        <w:rPr>
          <w:szCs w:val="22"/>
        </w:rPr>
        <w:t xml:space="preserve"> also been providing significant support to the Open-ended Inter-governmental Expert Working Group (OIEWG DRR) for the development of a set of possible indicators and terminology to measure global progress in the implementation of the Sendai Framework, in coherence with the work of the Inter-Agency Expert Group on Sustainable Development Goal Indicators (IAEG SDG).</w:t>
      </w:r>
    </w:p>
    <w:p w:rsidR="001378DB" w:rsidRDefault="001378DB" w:rsidP="001378DB">
      <w:pPr>
        <w:pStyle w:val="NormalWeb"/>
        <w:spacing w:before="0" w:beforeAutospacing="0" w:after="0" w:afterAutospacing="0"/>
        <w:rPr>
          <w:rFonts w:ascii="Arial" w:hAnsi="Arial" w:cs="Arial"/>
          <w:sz w:val="22"/>
          <w:szCs w:val="22"/>
        </w:rPr>
      </w:pPr>
    </w:p>
    <w:p w:rsidR="001378DB" w:rsidRDefault="001378DB" w:rsidP="001378DB">
      <w:pPr>
        <w:numPr>
          <w:ilvl w:val="0"/>
          <w:numId w:val="3"/>
        </w:numPr>
        <w:tabs>
          <w:tab w:val="clear" w:pos="1134"/>
        </w:tabs>
        <w:jc w:val="left"/>
        <w:rPr>
          <w:b/>
          <w:sz w:val="28"/>
        </w:rPr>
      </w:pPr>
      <w:r>
        <w:rPr>
          <w:b/>
          <w:sz w:val="28"/>
        </w:rPr>
        <w:t xml:space="preserve">Status update on </w:t>
      </w:r>
      <w:r w:rsidR="004E48B7">
        <w:rPr>
          <w:b/>
          <w:sz w:val="28"/>
        </w:rPr>
        <w:t>the d</w:t>
      </w:r>
      <w:r>
        <w:rPr>
          <w:b/>
          <w:sz w:val="28"/>
        </w:rPr>
        <w:t>raft WMO DRR Roadmap</w:t>
      </w:r>
    </w:p>
    <w:p w:rsidR="001378DB" w:rsidRDefault="001378DB" w:rsidP="001378DB">
      <w:pPr>
        <w:autoSpaceDE w:val="0"/>
        <w:autoSpaceDN w:val="0"/>
        <w:adjustRightInd w:val="0"/>
      </w:pPr>
    </w:p>
    <w:p w:rsidR="001378DB" w:rsidRDefault="001378DB" w:rsidP="001378DB">
      <w:r>
        <w:t xml:space="preserve">A zero draft of the WMO DRR Roadmap was developed by the WMO Secretariat, assisted by a number of Members (Canada, China, Japan, United Kingdom, and the United States of America), for consideration by Cg-17 in May 2015, at the request of the EC-66 in June 2014. Specifically, EC-66 requested the WMO Secretariat, “in consultation with Members, to urgently develop a WMO DRR roadmap of prioritized and realistically achievable activities and deliverables that are consistent with the WMO Strategic and Operating Plans as well as the work plans for relevant WMO programmes and projects”. In addition, EC calls for a clear identification of the role of NMHSs and WMO, working with their partners, in the implementation of international planning processes, such as the Sendai Framework for DRR 2015-2030, the successor to the HFA. </w:t>
      </w:r>
    </w:p>
    <w:p w:rsidR="001378DB" w:rsidRDefault="001378DB" w:rsidP="001378DB"/>
    <w:p w:rsidR="001378DB" w:rsidRDefault="001378DB" w:rsidP="001378DB">
      <w:r>
        <w:t xml:space="preserve">The EC request was timely since 2015 marked a pivotal year in the global development agenda: The Sendai Framework was adopted at the WCDRR in Sendai in March 2015, the Third International Conference on Financing for Development (Addis Ababa, Ethiopia, July 2015) resulted in an intergovernmentally negotiated and agreed outcome on financing sustainable development and in September 2015, the </w:t>
      </w:r>
      <w:r w:rsidR="00F46D6B">
        <w:t>UN</w:t>
      </w:r>
      <w:r>
        <w:t xml:space="preserve"> Summit adopted</w:t>
      </w:r>
      <w:r w:rsidR="004E48B7">
        <w:t xml:space="preserve"> </w:t>
      </w:r>
      <w:r w:rsidR="004E48B7" w:rsidRPr="004E48B7">
        <w:t xml:space="preserve">Transforming Our World </w:t>
      </w:r>
      <w:r w:rsidR="004E48B7">
        <w:t>–</w:t>
      </w:r>
      <w:r w:rsidR="004E48B7" w:rsidRPr="004E48B7">
        <w:t xml:space="preserve"> </w:t>
      </w:r>
      <w:r>
        <w:t xml:space="preserve">the 2030 Agenda for Sustainable Development with a set of </w:t>
      </w:r>
      <w:r>
        <w:rPr>
          <w:iCs/>
        </w:rPr>
        <w:t xml:space="preserve">Sustainable Development Goals (SDGs), of </w:t>
      </w:r>
      <w:r>
        <w:rPr>
          <w:iCs/>
        </w:rPr>
        <w:lastRenderedPageBreak/>
        <w:t xml:space="preserve">which </w:t>
      </w:r>
      <w:r>
        <w:t xml:space="preserve">disaster risk management for achieving </w:t>
      </w:r>
      <w:r>
        <w:rPr>
          <w:iCs/>
        </w:rPr>
        <w:t>DRR is an integral part</w:t>
      </w:r>
      <w:r>
        <w:t>. In addition, the Paris Agreement, a new international and binding climate change agreement, was adopted at the 21</w:t>
      </w:r>
      <w:r>
        <w:rPr>
          <w:vertAlign w:val="superscript"/>
        </w:rPr>
        <w:t>st</w:t>
      </w:r>
      <w:r>
        <w:t xml:space="preserve"> Session of the Conference of the Parties (COP21/CMP11) to the United Nations Framework Convention on Climate Change (UNFCCC), in December in Paris, to be implemented from 2020 onwards. Negotiations on this treaty include measures to reduce and transfer disaster risk and how to deal with loss and damage if climate change mitigation and adaptation are not sufficient. This rare alignment of international policy processes with national government, private sector, and civil society interests is an opportunity to position disaster risk management as a cornerstone in efforts to foster DRR, climate change adaptation (CCA) and resilience, together with sustainable development.</w:t>
      </w:r>
    </w:p>
    <w:p w:rsidR="001378DB" w:rsidRDefault="001378DB" w:rsidP="001378DB"/>
    <w:p w:rsidR="001378DB" w:rsidRDefault="001378DB" w:rsidP="001378DB">
      <w:r>
        <w:t>In addition to this global development agenda, an increasing number of actors are demanding access to timely multi-hazard / climate change warnings and information in order to better inform their own tactical strategic decision making. For many of these actors the demand for information is being successfully realised through WMO Members, however this demand is also being served by 3</w:t>
      </w:r>
      <w:r>
        <w:rPr>
          <w:vertAlign w:val="superscript"/>
        </w:rPr>
        <w:t>rd</w:t>
      </w:r>
      <w:r>
        <w:t xml:space="preserve"> party organisations including regional intergovernmental bodies, the private sector and non-governmental organizations (NGOs). On the grounds that this could potentially undermine the role of the local NMHS and lead to a confused message for decision makers, it is therefore important that the Roadmap also acts as a vehicle by which WMO looks to improve coordination / collaboration with respect to the global response to the current DRR-focused development agenda. </w:t>
      </w:r>
    </w:p>
    <w:p w:rsidR="001378DB" w:rsidRDefault="001378DB" w:rsidP="001378DB"/>
    <w:p w:rsidR="001378DB" w:rsidRDefault="001378DB" w:rsidP="001378DB">
      <w:r>
        <w:t>The Roadmap is first and foremost a document that can be used by both WMO Members and the external side to understand how NMHSs can contribute to increasing the resilience of communities, nations, regions, and the world under the above-mentioned frameworks, through a coordinated WMO-wide plan of action for DRR. It is neither a reference document for the theoretical or practical aspects of DRR nor a separate project or programme. However, it will discuss the activities required to address DRR as one of seven WMO priority areas in its Strategic Plan 2016-2019. Therefore, a key feature is to utilize existing WMO mechanisms (constituent bodies and programmes) and their plans and expert groups wherever possible, above all the WMO DRR Programme, identify synergies to leverage WMO activities and projects to realise a DRR vision for NMHSs and the Organization and, if appropriate, forge links to external initiatives. In this way, the document is a means for the cross-cutting DRR Programme to achieve its goals. This comprehensive, cross-cutting set of activities will also contribute to the realization of other WMO priorities such as the GFCS and capacity development.</w:t>
      </w:r>
    </w:p>
    <w:p w:rsidR="001378DB" w:rsidRDefault="001378DB" w:rsidP="001378DB">
      <w:pPr>
        <w:autoSpaceDE w:val="0"/>
        <w:autoSpaceDN w:val="0"/>
        <w:adjustRightInd w:val="0"/>
      </w:pPr>
    </w:p>
    <w:p w:rsidR="001378DB" w:rsidRDefault="001378DB" w:rsidP="001378DB">
      <w:pPr>
        <w:autoSpaceDE w:val="0"/>
        <w:autoSpaceDN w:val="0"/>
        <w:adjustRightInd w:val="0"/>
      </w:pPr>
      <w:r>
        <w:t>The Roadmap will cover four inter-sessional periods of WMO, corresponding to the 15 years lifetime of the Sendai Framework, and will align closely with a number of existing global conventions and international development frameworks under development (e.g. on humanitarian and urban issues), as well as WMO frameworks and strategic documents. Each financial period may have different phases in terms of development, implementation, operation and evaluation. The period 2016-2019 may consist mainly of the establishment of a baseline, DRR components of existing projects and activities, and new pilot activities. The timescales involved require the Roadmap to be a “living” document which will define an initial set of activities and identify key milestones along this journey towards a “DRR service-ready” NMHS and Organization over all. Over the course of time the DRR landscape is certain to change and this initial document will necessitate regular updates and therefore further endorsement from the WMO decision-making bodies.</w:t>
      </w:r>
    </w:p>
    <w:p w:rsidR="001378DB" w:rsidRDefault="001378DB" w:rsidP="001378DB">
      <w:pPr>
        <w:autoSpaceDE w:val="0"/>
        <w:autoSpaceDN w:val="0"/>
        <w:adjustRightInd w:val="0"/>
      </w:pPr>
    </w:p>
    <w:p w:rsidR="001378DB" w:rsidRDefault="001378DB" w:rsidP="001378DB">
      <w:pPr>
        <w:rPr>
          <w:rFonts w:cs="Times New Roman"/>
        </w:rPr>
      </w:pPr>
      <w:r>
        <w:t>Specific objectives of the Roadmap are – assisted and coordinated by the WMO DRR Programme  to:</w:t>
      </w:r>
    </w:p>
    <w:p w:rsidR="001378DB" w:rsidRDefault="001378DB" w:rsidP="001378DB"/>
    <w:p w:rsidR="001378DB" w:rsidRDefault="001378DB" w:rsidP="001378DB">
      <w:pPr>
        <w:numPr>
          <w:ilvl w:val="0"/>
          <w:numId w:val="2"/>
        </w:numPr>
        <w:tabs>
          <w:tab w:val="clear" w:pos="1134"/>
        </w:tabs>
        <w:jc w:val="left"/>
      </w:pPr>
      <w:r>
        <w:t>Provide a framework for WMO Members to enhance NMHSs’ contributions to national DRR efforts;</w:t>
      </w:r>
    </w:p>
    <w:p w:rsidR="001378DB" w:rsidRDefault="001378DB" w:rsidP="001378DB">
      <w:pPr>
        <w:numPr>
          <w:ilvl w:val="0"/>
          <w:numId w:val="2"/>
        </w:numPr>
        <w:tabs>
          <w:tab w:val="clear" w:pos="1134"/>
        </w:tabs>
        <w:jc w:val="left"/>
      </w:pPr>
      <w:r>
        <w:t>Provide a mechanism to enhance WMO programmatic coordination and collaboration in respect of DRR;</w:t>
      </w:r>
    </w:p>
    <w:p w:rsidR="001378DB" w:rsidRDefault="001378DB" w:rsidP="001378DB">
      <w:pPr>
        <w:numPr>
          <w:ilvl w:val="0"/>
          <w:numId w:val="2"/>
        </w:numPr>
        <w:tabs>
          <w:tab w:val="clear" w:pos="1134"/>
        </w:tabs>
        <w:jc w:val="left"/>
      </w:pPr>
      <w:r>
        <w:lastRenderedPageBreak/>
        <w:t>Reference developments in capability such as impact-based forecasting and risk-informed warnings of multiple hazards; and,</w:t>
      </w:r>
    </w:p>
    <w:p w:rsidR="001378DB" w:rsidRDefault="001378DB" w:rsidP="001378DB">
      <w:pPr>
        <w:numPr>
          <w:ilvl w:val="0"/>
          <w:numId w:val="2"/>
        </w:numPr>
        <w:tabs>
          <w:tab w:val="clear" w:pos="1134"/>
        </w:tabs>
        <w:jc w:val="left"/>
      </w:pPr>
      <w:r>
        <w:t xml:space="preserve">Identify both tactical and strategic opportunities to enhance the role of hydrometeorology and therefore of NMHSs and WMO in global and regional DRR fora (including coordinated and focused engagement with the international DRR stakeholder community, e.g. the </w:t>
      </w:r>
      <w:r w:rsidR="00F46D6B">
        <w:t>UN</w:t>
      </w:r>
      <w:r>
        <w:t xml:space="preserve"> system, regional and sub-regional organizations, the private sector, charities, NGOs, etc.) and in the implementation of relevant international frameworks and processes.</w:t>
      </w:r>
    </w:p>
    <w:p w:rsidR="001378DB" w:rsidRDefault="001378DB" w:rsidP="001378DB">
      <w:pPr>
        <w:autoSpaceDE w:val="0"/>
        <w:autoSpaceDN w:val="0"/>
        <w:adjustRightInd w:val="0"/>
      </w:pPr>
    </w:p>
    <w:p w:rsidR="001378DB" w:rsidRDefault="001378DB" w:rsidP="001378DB">
      <w:pPr>
        <w:autoSpaceDE w:val="0"/>
        <w:autoSpaceDN w:val="0"/>
        <w:adjustRightInd w:val="0"/>
      </w:pPr>
      <w:r>
        <w:t>The structure of the current draft of the Roadmap document can be outlined as follows:</w:t>
      </w:r>
    </w:p>
    <w:p w:rsidR="001378DB" w:rsidRDefault="001378DB" w:rsidP="001378DB">
      <w:pPr>
        <w:autoSpaceDE w:val="0"/>
        <w:autoSpaceDN w:val="0"/>
        <w:adjustRightInd w:val="0"/>
      </w:pPr>
    </w:p>
    <w:p w:rsidR="001378DB" w:rsidRDefault="001378DB" w:rsidP="001378DB">
      <w:pPr>
        <w:numPr>
          <w:ilvl w:val="0"/>
          <w:numId w:val="2"/>
        </w:numPr>
        <w:tabs>
          <w:tab w:val="clear" w:pos="1134"/>
        </w:tabs>
        <w:jc w:val="left"/>
        <w:rPr>
          <w:i/>
        </w:rPr>
      </w:pPr>
      <w:r>
        <w:rPr>
          <w:i/>
        </w:rPr>
        <w:t>Executive Summary</w:t>
      </w:r>
    </w:p>
    <w:p w:rsidR="001378DB" w:rsidRDefault="001378DB" w:rsidP="001378DB">
      <w:pPr>
        <w:numPr>
          <w:ilvl w:val="0"/>
          <w:numId w:val="2"/>
        </w:numPr>
        <w:tabs>
          <w:tab w:val="clear" w:pos="1134"/>
        </w:tabs>
        <w:jc w:val="left"/>
      </w:pPr>
      <w:r>
        <w:rPr>
          <w:i/>
        </w:rPr>
        <w:t>Preamble</w:t>
      </w:r>
      <w:r>
        <w:t xml:space="preserve"> (EC/Cg requests, initial consultations, nature of the document, other background information)</w:t>
      </w:r>
    </w:p>
    <w:p w:rsidR="001378DB" w:rsidRDefault="001378DB" w:rsidP="001378DB">
      <w:pPr>
        <w:numPr>
          <w:ilvl w:val="0"/>
          <w:numId w:val="2"/>
        </w:numPr>
        <w:tabs>
          <w:tab w:val="clear" w:pos="1134"/>
        </w:tabs>
        <w:jc w:val="left"/>
      </w:pPr>
      <w:r>
        <w:rPr>
          <w:i/>
        </w:rPr>
        <w:t>Introduction</w:t>
      </w:r>
      <w:r>
        <w:t xml:space="preserve"> (rationale, concepts, vision, objectives, structure of the document)</w:t>
      </w:r>
    </w:p>
    <w:p w:rsidR="001378DB" w:rsidRDefault="001378DB" w:rsidP="001378DB">
      <w:pPr>
        <w:numPr>
          <w:ilvl w:val="0"/>
          <w:numId w:val="2"/>
        </w:numPr>
        <w:tabs>
          <w:tab w:val="clear" w:pos="1134"/>
        </w:tabs>
        <w:jc w:val="left"/>
      </w:pPr>
      <w:r>
        <w:rPr>
          <w:i/>
        </w:rPr>
        <w:t xml:space="preserve">Benefits of the Roadmap to Members </w:t>
      </w:r>
      <w:r>
        <w:t>(social, economic, environmental, coordination)</w:t>
      </w:r>
    </w:p>
    <w:p w:rsidR="001378DB" w:rsidRDefault="001378DB" w:rsidP="001378DB">
      <w:pPr>
        <w:numPr>
          <w:ilvl w:val="0"/>
          <w:numId w:val="2"/>
        </w:numPr>
        <w:tabs>
          <w:tab w:val="clear" w:pos="1134"/>
        </w:tabs>
        <w:jc w:val="left"/>
      </w:pPr>
      <w:r>
        <w:rPr>
          <w:i/>
        </w:rPr>
        <w:t>Design Process</w:t>
      </w:r>
      <w:r>
        <w:t xml:space="preserve"> (key linkages, future consultations, regular updates, etc.)</w:t>
      </w:r>
    </w:p>
    <w:p w:rsidR="001378DB" w:rsidRDefault="001378DB" w:rsidP="001378DB">
      <w:pPr>
        <w:numPr>
          <w:ilvl w:val="0"/>
          <w:numId w:val="2"/>
        </w:numPr>
        <w:tabs>
          <w:tab w:val="clear" w:pos="1134"/>
        </w:tabs>
        <w:jc w:val="left"/>
      </w:pPr>
      <w:r>
        <w:rPr>
          <w:i/>
        </w:rPr>
        <w:t>Activities</w:t>
      </w:r>
      <w:r>
        <w:t xml:space="preserve"> (per thematic area aligned with the Sendai Framework and per pillar)</w:t>
      </w:r>
    </w:p>
    <w:p w:rsidR="001378DB" w:rsidRDefault="001378DB" w:rsidP="001378DB">
      <w:pPr>
        <w:numPr>
          <w:ilvl w:val="0"/>
          <w:numId w:val="2"/>
        </w:numPr>
        <w:tabs>
          <w:tab w:val="clear" w:pos="1134"/>
        </w:tabs>
        <w:jc w:val="left"/>
      </w:pPr>
      <w:r>
        <w:rPr>
          <w:i/>
        </w:rPr>
        <w:t>Implementation Process</w:t>
      </w:r>
      <w:r>
        <w:t xml:space="preserve"> (governance and user-interface mechanisms, roles and responsibilities, timeline, prioritization, resources, communication, monitoring and evaluation, implementing partners, etc.)</w:t>
      </w:r>
    </w:p>
    <w:p w:rsidR="001378DB" w:rsidRDefault="001378DB" w:rsidP="001378DB">
      <w:pPr>
        <w:numPr>
          <w:ilvl w:val="0"/>
          <w:numId w:val="2"/>
        </w:numPr>
        <w:tabs>
          <w:tab w:val="clear" w:pos="1134"/>
        </w:tabs>
        <w:jc w:val="left"/>
        <w:rPr>
          <w:i/>
        </w:rPr>
      </w:pPr>
      <w:r>
        <w:rPr>
          <w:i/>
        </w:rPr>
        <w:t>A Work Plan 2016-2017</w:t>
      </w:r>
    </w:p>
    <w:p w:rsidR="001378DB" w:rsidRDefault="001378DB" w:rsidP="001378DB">
      <w:pPr>
        <w:numPr>
          <w:ilvl w:val="0"/>
          <w:numId w:val="2"/>
        </w:numPr>
        <w:tabs>
          <w:tab w:val="clear" w:pos="1134"/>
        </w:tabs>
        <w:jc w:val="left"/>
      </w:pPr>
      <w:r>
        <w:rPr>
          <w:i/>
        </w:rPr>
        <w:t>Annexes</w:t>
      </w:r>
      <w:r>
        <w:t xml:space="preserve"> (Cg/EC references, acronyms, definitions, linkages, etc.)</w:t>
      </w:r>
    </w:p>
    <w:p w:rsidR="001378DB" w:rsidRDefault="001378DB" w:rsidP="001378DB"/>
    <w:p w:rsidR="001378DB" w:rsidRDefault="001378DB" w:rsidP="001378DB">
      <w:r>
        <w:t>The new draft WMO DRR Roadmap (“</w:t>
      </w:r>
      <w:r w:rsidR="004E48B7">
        <w:t xml:space="preserve">Zero </w:t>
      </w:r>
      <w:r>
        <w:t>Draft 1.</w:t>
      </w:r>
      <w:r w:rsidR="004E48B7">
        <w:t>2</w:t>
      </w:r>
      <w:r>
        <w:t xml:space="preserve">”) </w:t>
      </w:r>
      <w:r w:rsidR="004E48B7">
        <w:t>is</w:t>
      </w:r>
      <w:r>
        <w:t xml:space="preserve"> available on the website of the DRR Programme (</w:t>
      </w:r>
      <w:hyperlink r:id="rId10" w:history="1">
        <w:r>
          <w:rPr>
            <w:rStyle w:val="Hyperlink"/>
          </w:rPr>
          <w:t>http://www.wmo.int/pages/prog/drr/</w:t>
        </w:r>
      </w:hyperlink>
      <w:r>
        <w:t>).</w:t>
      </w:r>
    </w:p>
    <w:p w:rsidR="001378DB" w:rsidRDefault="001378DB" w:rsidP="001378DB"/>
    <w:p w:rsidR="001378DB" w:rsidRDefault="001378DB" w:rsidP="001378DB">
      <w:pPr>
        <w:numPr>
          <w:ilvl w:val="0"/>
          <w:numId w:val="3"/>
        </w:numPr>
        <w:tabs>
          <w:tab w:val="clear" w:pos="1134"/>
        </w:tabs>
        <w:jc w:val="left"/>
        <w:rPr>
          <w:b/>
          <w:sz w:val="28"/>
        </w:rPr>
      </w:pPr>
      <w:r>
        <w:rPr>
          <w:b/>
          <w:sz w:val="28"/>
        </w:rPr>
        <w:t>Summary report of the 2015 Meeting of the DRR Focal Points of RAs, TCs and TPs (DRR FP RA-TC-TP)</w:t>
      </w:r>
    </w:p>
    <w:p w:rsidR="001378DB" w:rsidRDefault="001378DB" w:rsidP="001378DB">
      <w:pPr>
        <w:autoSpaceDE w:val="0"/>
        <w:autoSpaceDN w:val="0"/>
        <w:adjustRightInd w:val="0"/>
      </w:pPr>
    </w:p>
    <w:p w:rsidR="001378DB" w:rsidRDefault="001378DB" w:rsidP="001378DB">
      <w:pPr>
        <w:rPr>
          <w:rFonts w:cs="Times New Roman"/>
        </w:rPr>
      </w:pPr>
      <w:r>
        <w:t>EC-64 had urged the PTC to identify concrete intra- and inter-commission collaborations to support the implementation of the DRR Work Plan 2012-2015. In order to better define users of different weather, water, and climate services for DRR and their requirements as well as to leverage the activities of RAs, TCs and TPs, EC-64 supported the utilization of DRR user-interface expert advisory groups (UI-EAGs), comprised of leading experts from the diverse DRR user community (public and private sectors), UN and international partner agencies, academia as well as from the NMHSs. It decided to endorse the establishment of UI-EAGs on: (i) Hazard/Risk Analysis (HRA); (ii) Multi-Hazard Early Warning Systems (MHEWS</w:t>
      </w:r>
      <w:r w:rsidR="00F1765E">
        <w:t>s</w:t>
      </w:r>
      <w:r>
        <w:t>); (iii) Disaster Risk Financing (DRF); and, (iv) Humanitarian Planning and Response (HUM). EC-65 urged the presidents of TCs to engage actively with these DRR user-interface mechanisms.</w:t>
      </w:r>
    </w:p>
    <w:p w:rsidR="001378DB" w:rsidRDefault="001378DB" w:rsidP="001378DB"/>
    <w:p w:rsidR="001378DB" w:rsidRDefault="001378DB" w:rsidP="001378DB">
      <w:r>
        <w:t>Therefore, a network of DRR Focal Points of the TCs and TPs (DRR FP TC-TP) had been created through nominations by the PTC and relevant coordinating mechanisms of TPs and inter-commission activities. Cg-17 reconfirmed the establishment of the DRR FP TC-TP and requested to include focal points of the RAs as a mechanism to support the WMO-wide coordination of DRR activities. The PRA and PTC then nominated (or reconfirmed) respective DRR Focal Points (now DRR FP RA-TC-TP).</w:t>
      </w:r>
    </w:p>
    <w:p w:rsidR="001378DB" w:rsidRDefault="001378DB" w:rsidP="001378DB"/>
    <w:p w:rsidR="001378DB" w:rsidRDefault="001378DB" w:rsidP="001378DB">
      <w:r>
        <w:t xml:space="preserve">The 2015 Meeting of the WMO </w:t>
      </w:r>
      <w:r w:rsidR="00F46D6B">
        <w:t>DRR</w:t>
      </w:r>
      <w:r>
        <w:t xml:space="preserve"> Focal Points of </w:t>
      </w:r>
      <w:r w:rsidR="00F46D6B">
        <w:t>RA</w:t>
      </w:r>
      <w:r>
        <w:t xml:space="preserve">s, </w:t>
      </w:r>
      <w:r w:rsidR="00F46D6B">
        <w:t>TC</w:t>
      </w:r>
      <w:r>
        <w:t xml:space="preserve">s and </w:t>
      </w:r>
      <w:r w:rsidR="00F1765E">
        <w:t>TPs</w:t>
      </w:r>
      <w:r>
        <w:t xml:space="preserve"> (DRR FP RA-TC-TP) was held on 3-5 November 2015, at the WMO headquarters in Geneva, Switzerland. The meeting was co-chaired by the two co-chairs of the DRR FP RA-TC-TP, Mr Michel Jean (DRR Focal Point of CBS) and Prof Kevin Horsburgh (DRR Focal Point of JCOMM).</w:t>
      </w:r>
    </w:p>
    <w:p w:rsidR="001378DB" w:rsidRDefault="001378DB" w:rsidP="001378DB">
      <w:pPr>
        <w:autoSpaceDE w:val="0"/>
        <w:autoSpaceDN w:val="0"/>
        <w:adjustRightInd w:val="0"/>
      </w:pPr>
    </w:p>
    <w:p w:rsidR="001378DB" w:rsidRDefault="001378DB" w:rsidP="001378DB">
      <w:pPr>
        <w:autoSpaceDE w:val="0"/>
        <w:autoSpaceDN w:val="0"/>
        <w:adjustRightInd w:val="0"/>
      </w:pPr>
      <w:r>
        <w:t>The goals of the 2015 Meeting of the DRR FP RA-TC-TP were to:</w:t>
      </w:r>
    </w:p>
    <w:p w:rsidR="001378DB" w:rsidRDefault="001378DB" w:rsidP="001378DB">
      <w:pPr>
        <w:autoSpaceDE w:val="0"/>
        <w:autoSpaceDN w:val="0"/>
        <w:adjustRightInd w:val="0"/>
      </w:pPr>
    </w:p>
    <w:p w:rsidR="001378DB" w:rsidRDefault="001378DB" w:rsidP="001378DB">
      <w:pPr>
        <w:numPr>
          <w:ilvl w:val="0"/>
          <w:numId w:val="6"/>
        </w:numPr>
        <w:tabs>
          <w:tab w:val="clear" w:pos="1134"/>
        </w:tabs>
        <w:jc w:val="left"/>
      </w:pPr>
      <w:r>
        <w:lastRenderedPageBreak/>
        <w:t xml:space="preserve">Review and finalize the draft Terms of References (ToR) of the DRR FP RA-TC-TP; </w:t>
      </w:r>
    </w:p>
    <w:p w:rsidR="001378DB" w:rsidRDefault="001378DB" w:rsidP="001378DB">
      <w:pPr>
        <w:numPr>
          <w:ilvl w:val="0"/>
          <w:numId w:val="6"/>
        </w:numPr>
        <w:tabs>
          <w:tab w:val="clear" w:pos="1134"/>
        </w:tabs>
        <w:ind w:left="714" w:hanging="357"/>
        <w:jc w:val="left"/>
      </w:pPr>
      <w:r>
        <w:t>Review and provide input to the current draft of the WMO DRR Roadmap, in particular to the activities for the intersessional period 2016–2019;</w:t>
      </w:r>
    </w:p>
    <w:p w:rsidR="001378DB" w:rsidRDefault="001378DB" w:rsidP="001378DB">
      <w:pPr>
        <w:numPr>
          <w:ilvl w:val="0"/>
          <w:numId w:val="6"/>
        </w:numPr>
        <w:tabs>
          <w:tab w:val="clear" w:pos="1134"/>
        </w:tabs>
        <w:ind w:left="714" w:hanging="357"/>
        <w:jc w:val="left"/>
      </w:pPr>
      <w:r>
        <w:t>Provide guidance and recommendations on the process for the development of standard identifiers for cataloguing extreme weather, water, and climate events including standard hazard definitions and a respective governing mechanism;</w:t>
      </w:r>
    </w:p>
    <w:p w:rsidR="001378DB" w:rsidRDefault="001378DB" w:rsidP="001378DB">
      <w:pPr>
        <w:numPr>
          <w:ilvl w:val="0"/>
          <w:numId w:val="6"/>
        </w:numPr>
        <w:tabs>
          <w:tab w:val="clear" w:pos="1134"/>
        </w:tabs>
        <w:ind w:left="714" w:hanging="357"/>
        <w:jc w:val="left"/>
      </w:pPr>
      <w:r>
        <w:t xml:space="preserve">Discuss relevant DRR-related projects and activities of the RAs, TCs, and TPs and their relation to prospective projects and activities of the DRR Programme. </w:t>
      </w:r>
    </w:p>
    <w:p w:rsidR="001378DB" w:rsidRDefault="001378DB" w:rsidP="001378DB">
      <w:pPr>
        <w:numPr>
          <w:ilvl w:val="0"/>
          <w:numId w:val="6"/>
        </w:numPr>
        <w:tabs>
          <w:tab w:val="clear" w:pos="1134"/>
        </w:tabs>
        <w:ind w:left="714" w:hanging="357"/>
        <w:jc w:val="left"/>
      </w:pPr>
      <w:r>
        <w:t>Development of priorities for action and recommendations to better leverage DRR-related projects and activities of the RAs, TCs and TPs;</w:t>
      </w:r>
    </w:p>
    <w:p w:rsidR="001378DB" w:rsidRDefault="001378DB" w:rsidP="001378DB">
      <w:pPr>
        <w:numPr>
          <w:ilvl w:val="0"/>
          <w:numId w:val="6"/>
        </w:numPr>
        <w:tabs>
          <w:tab w:val="clear" w:pos="1134"/>
        </w:tabs>
        <w:ind w:left="714" w:hanging="357"/>
        <w:jc w:val="left"/>
      </w:pPr>
      <w:r>
        <w:t>Provide recommendations for governance mechanisms / oversight arrangements including interactions with the PTC/PRA, Working Groups on DRR (or similar, if applicable) within RAs, TCs, and TPs, and the DRR UI-EAGs; and,</w:t>
      </w:r>
    </w:p>
    <w:p w:rsidR="001378DB" w:rsidRDefault="001378DB" w:rsidP="001378DB">
      <w:pPr>
        <w:numPr>
          <w:ilvl w:val="0"/>
          <w:numId w:val="6"/>
        </w:numPr>
        <w:tabs>
          <w:tab w:val="clear" w:pos="1134"/>
        </w:tabs>
        <w:ind w:left="714" w:hanging="357"/>
        <w:jc w:val="left"/>
      </w:pPr>
      <w:r>
        <w:t>Develop a prioritized work plan for 2016–2017.</w:t>
      </w:r>
    </w:p>
    <w:p w:rsidR="001378DB" w:rsidRDefault="001378DB" w:rsidP="001378DB">
      <w:pPr>
        <w:autoSpaceDE w:val="0"/>
        <w:autoSpaceDN w:val="0"/>
        <w:adjustRightInd w:val="0"/>
      </w:pPr>
    </w:p>
    <w:p w:rsidR="001378DB" w:rsidRDefault="001378DB" w:rsidP="001378DB">
      <w:pPr>
        <w:autoSpaceDE w:val="0"/>
        <w:autoSpaceDN w:val="0"/>
        <w:adjustRightInd w:val="0"/>
      </w:pPr>
      <w:r>
        <w:t xml:space="preserve">During the meeting, the Secretariat started by outlining the major decisions by Cg-17 and EC-67 and recalling also decisions of earlier Cg and EC sessions that resulted in the main governance and implementation mechanisms of the DRR Programme, namely the EC WG DRR, the DRR FP RA-TC-TP and the UI-EAGs. The participants were then provided with an update on the DRR Roadmap. Furthermore a template for a DRR Work Plan as part of the Roadmap over the next two years was presented and populated during the meeting. The Secretariat then provided a briefing on needs and requirements for hazard information to support collection of national loss and damage data and conduct risk analysis, addressing Resolution 9 (Cg-17) </w:t>
      </w:r>
      <w:r>
        <w:rPr>
          <w:i/>
        </w:rPr>
        <w:t>Identifiers for Cataloguing Extreme Weather, Water and Climate Events</w:t>
      </w:r>
      <w:r>
        <w:t>. The co-chairs then briefly reviewed the outcomes of the 2013 Coordination Meeting of the DRR FP TC-TP and the first draft of the ToR of the DRR FP RA-TC-TP. The final version of the ToR is as follows (as of 5 November 2015):</w:t>
      </w:r>
    </w:p>
    <w:p w:rsidR="001378DB" w:rsidRDefault="001378DB" w:rsidP="001378DB">
      <w:pPr>
        <w:autoSpaceDE w:val="0"/>
        <w:autoSpaceDN w:val="0"/>
        <w:adjustRightInd w:val="0"/>
      </w:pPr>
    </w:p>
    <w:p w:rsidR="001378DB" w:rsidRDefault="001378DB" w:rsidP="001378DB">
      <w:pPr>
        <w:autoSpaceDE w:val="0"/>
        <w:autoSpaceDN w:val="0"/>
        <w:adjustRightInd w:val="0"/>
      </w:pPr>
      <w:r>
        <w:t xml:space="preserve">The WMO </w:t>
      </w:r>
      <w:r w:rsidR="00F46D6B">
        <w:t>DRR</w:t>
      </w:r>
      <w:r>
        <w:t xml:space="preserve"> focal points (FPs) of the RAs, TCs, and TPs (DRR FP RA-TC-TP) will serve under the direction of the </w:t>
      </w:r>
      <w:r w:rsidR="00F46D6B">
        <w:t>EC</w:t>
      </w:r>
      <w:r>
        <w:t xml:space="preserve"> Working Group on </w:t>
      </w:r>
      <w:r w:rsidR="00F46D6B">
        <w:t>DRR</w:t>
      </w:r>
      <w:r>
        <w:t xml:space="preserve"> (EC WG on DRR) using the following ToR:</w:t>
      </w:r>
    </w:p>
    <w:p w:rsidR="001378DB" w:rsidRDefault="001378DB" w:rsidP="001378DB">
      <w:pPr>
        <w:autoSpaceDE w:val="0"/>
        <w:autoSpaceDN w:val="0"/>
        <w:adjustRightInd w:val="0"/>
      </w:pPr>
    </w:p>
    <w:p w:rsidR="001378DB" w:rsidRDefault="001378DB" w:rsidP="001378DB">
      <w:pPr>
        <w:numPr>
          <w:ilvl w:val="0"/>
          <w:numId w:val="7"/>
        </w:numPr>
        <w:tabs>
          <w:tab w:val="clear" w:pos="1134"/>
        </w:tabs>
        <w:jc w:val="left"/>
      </w:pPr>
      <w:r>
        <w:t>Serve as a point of contact for representation, coordination and promotion of RAs’, TCs’ and TPs’ DRR-related activities and issues;</w:t>
      </w:r>
    </w:p>
    <w:p w:rsidR="001378DB" w:rsidRDefault="001378DB" w:rsidP="001378DB">
      <w:pPr>
        <w:numPr>
          <w:ilvl w:val="0"/>
          <w:numId w:val="7"/>
        </w:numPr>
        <w:tabs>
          <w:tab w:val="clear" w:pos="1134"/>
        </w:tabs>
        <w:jc w:val="left"/>
      </w:pPr>
      <w:r>
        <w:t>Conduct an ongoing review of the DRR Roadmap, proposing updates where necessary;</w:t>
      </w:r>
    </w:p>
    <w:p w:rsidR="001378DB" w:rsidRDefault="001378DB" w:rsidP="001378DB">
      <w:pPr>
        <w:numPr>
          <w:ilvl w:val="0"/>
          <w:numId w:val="7"/>
        </w:numPr>
        <w:tabs>
          <w:tab w:val="clear" w:pos="1134"/>
        </w:tabs>
        <w:jc w:val="left"/>
      </w:pPr>
      <w:r>
        <w:t>Propose and coordinate the development of priority initiatives (including suggestions for pilot projects) and plans that integrate the relevant activities of the RAs, TCs and TPs, necessary in supporting the ongoing implementation of the WMO DRR Roadmap and WMO Strategy for Service Delivery;</w:t>
      </w:r>
    </w:p>
    <w:p w:rsidR="001378DB" w:rsidRDefault="001378DB" w:rsidP="001378DB">
      <w:pPr>
        <w:numPr>
          <w:ilvl w:val="0"/>
          <w:numId w:val="7"/>
        </w:numPr>
        <w:tabs>
          <w:tab w:val="clear" w:pos="1134"/>
        </w:tabs>
        <w:jc w:val="left"/>
      </w:pPr>
      <w:r>
        <w:t>Gather and share information on DRR-related activities and best practices of the RAs, TCs, TPs and other agencies/initiatives in support of the implementation of the DRR Roadmap; and,</w:t>
      </w:r>
    </w:p>
    <w:p w:rsidR="001378DB" w:rsidRDefault="001378DB" w:rsidP="001378DB">
      <w:pPr>
        <w:numPr>
          <w:ilvl w:val="0"/>
          <w:numId w:val="7"/>
        </w:numPr>
        <w:tabs>
          <w:tab w:val="clear" w:pos="1134"/>
        </w:tabs>
        <w:jc w:val="left"/>
      </w:pPr>
      <w:r>
        <w:t xml:space="preserve">Report on progress to the EC WG on DRR and the </w:t>
      </w:r>
      <w:r w:rsidR="00F46D6B">
        <w:t>P</w:t>
      </w:r>
      <w:r>
        <w:t xml:space="preserve">residents of </w:t>
      </w:r>
      <w:r w:rsidR="00F46D6B">
        <w:t>TC</w:t>
      </w:r>
      <w:r>
        <w:t xml:space="preserve">s (PTC) and the Presidents of </w:t>
      </w:r>
      <w:r w:rsidR="00F46D6B">
        <w:t>RA</w:t>
      </w:r>
      <w:r>
        <w:t>s (PRA).</w:t>
      </w:r>
    </w:p>
    <w:p w:rsidR="001378DB" w:rsidRDefault="001378DB" w:rsidP="001378DB">
      <w:pPr>
        <w:autoSpaceDE w:val="0"/>
        <w:autoSpaceDN w:val="0"/>
        <w:adjustRightInd w:val="0"/>
      </w:pPr>
    </w:p>
    <w:p w:rsidR="001378DB" w:rsidRDefault="001378DB" w:rsidP="001378DB">
      <w:pPr>
        <w:autoSpaceDE w:val="0"/>
        <w:autoSpaceDN w:val="0"/>
        <w:adjustRightInd w:val="0"/>
      </w:pPr>
      <w:r>
        <w:t>The Focal Points then presented their respective RA’s, TC’s or TP’s specific activities and projects that could be leveraged for the implementation of the DRR Programme. The main discussion was centred around four topics:</w:t>
      </w:r>
    </w:p>
    <w:p w:rsidR="001378DB" w:rsidRDefault="001378DB" w:rsidP="001378DB">
      <w:pPr>
        <w:numPr>
          <w:ilvl w:val="0"/>
          <w:numId w:val="2"/>
        </w:numPr>
        <w:tabs>
          <w:tab w:val="clear" w:pos="1134"/>
        </w:tabs>
        <w:jc w:val="left"/>
      </w:pPr>
      <w:r>
        <w:t xml:space="preserve">The DRR FP RA-TC-TP as one of the main governance mechanisms for the DRR Programme (incl. </w:t>
      </w:r>
      <w:r w:rsidR="00F46D6B">
        <w:t>r</w:t>
      </w:r>
      <w:r>
        <w:t>ecommendations for inter- &amp; intra-commission/-programme engagement to implement WMO DRR Roadmap &amp; Work Plan 2016-17);</w:t>
      </w:r>
    </w:p>
    <w:p w:rsidR="001378DB" w:rsidRDefault="001378DB" w:rsidP="001378DB">
      <w:pPr>
        <w:numPr>
          <w:ilvl w:val="0"/>
          <w:numId w:val="2"/>
        </w:numPr>
        <w:tabs>
          <w:tab w:val="clear" w:pos="1134"/>
        </w:tabs>
        <w:jc w:val="left"/>
      </w:pPr>
      <w:r>
        <w:t>Nature and role of the UI-EAGs as a DRR Programme implementation mechanism;</w:t>
      </w:r>
    </w:p>
    <w:p w:rsidR="001378DB" w:rsidRDefault="001378DB" w:rsidP="001378DB">
      <w:pPr>
        <w:numPr>
          <w:ilvl w:val="0"/>
          <w:numId w:val="2"/>
        </w:numPr>
        <w:tabs>
          <w:tab w:val="clear" w:pos="1134"/>
        </w:tabs>
        <w:jc w:val="left"/>
      </w:pPr>
      <w:r>
        <w:t>Discussion on the WMO DRR Roadmap &amp; Work Plan 2016-17 incl. milestones &amp; deliverables (per thematic area / pillar) such as identifiers for cataloguing extreme weather, water, climate, space weather events, a Southeast Europe Early Warning Platform, IN-MHEWS and IC-MHEWS; and,</w:t>
      </w:r>
    </w:p>
    <w:p w:rsidR="001378DB" w:rsidRDefault="001378DB" w:rsidP="001378DB">
      <w:pPr>
        <w:numPr>
          <w:ilvl w:val="0"/>
          <w:numId w:val="2"/>
        </w:numPr>
        <w:tabs>
          <w:tab w:val="clear" w:pos="1134"/>
        </w:tabs>
        <w:jc w:val="left"/>
      </w:pPr>
      <w:r>
        <w:lastRenderedPageBreak/>
        <w:t>Monitoring and reporting to WMO constituent bodies and governing mechanisms (EC and Cg).</w:t>
      </w:r>
    </w:p>
    <w:p w:rsidR="001378DB" w:rsidRDefault="001378DB" w:rsidP="001378DB">
      <w:pPr>
        <w:autoSpaceDE w:val="0"/>
        <w:autoSpaceDN w:val="0"/>
        <w:adjustRightInd w:val="0"/>
      </w:pPr>
    </w:p>
    <w:p w:rsidR="001378DB" w:rsidRDefault="001378DB" w:rsidP="001378DB">
      <w:pPr>
        <w:autoSpaceDE w:val="0"/>
        <w:autoSpaceDN w:val="0"/>
        <w:adjustRightInd w:val="0"/>
        <w:rPr>
          <w:rFonts w:cs="Times New Roman"/>
        </w:rPr>
      </w:pPr>
      <w:r>
        <w:t>Following the discussions in the sessions, the DRR FP-RA-TC-TP recommended that:</w:t>
      </w:r>
    </w:p>
    <w:p w:rsidR="001378DB" w:rsidRDefault="001378DB" w:rsidP="001378DB">
      <w:pPr>
        <w:autoSpaceDE w:val="0"/>
        <w:autoSpaceDN w:val="0"/>
        <w:adjustRightInd w:val="0"/>
      </w:pPr>
    </w:p>
    <w:p w:rsidR="001378DB" w:rsidRDefault="001378DB" w:rsidP="001378DB">
      <w:pPr>
        <w:ind w:firstLine="360"/>
      </w:pPr>
      <w:r>
        <w:t>The DRR FP RA-TC-TP as one of the main governance mechanisms for the DRR Programme:</w:t>
      </w:r>
    </w:p>
    <w:p w:rsidR="001378DB" w:rsidRDefault="001378DB" w:rsidP="001378DB">
      <w:pPr>
        <w:ind w:firstLine="360"/>
      </w:pPr>
    </w:p>
    <w:p w:rsidR="001378DB" w:rsidRDefault="001378DB" w:rsidP="001378DB">
      <w:pPr>
        <w:numPr>
          <w:ilvl w:val="0"/>
          <w:numId w:val="2"/>
        </w:numPr>
        <w:tabs>
          <w:tab w:val="clear" w:pos="1134"/>
        </w:tabs>
        <w:jc w:val="left"/>
      </w:pPr>
      <w:r>
        <w:t>The Meeting recommended that the FP RA-TC-TP would ensure coordination within and across RAs, TCs, and TPs as well as related WMO initiatives (such as WIGOS and WIS);</w:t>
      </w:r>
    </w:p>
    <w:p w:rsidR="001378DB" w:rsidRDefault="001378DB" w:rsidP="001378DB">
      <w:pPr>
        <w:numPr>
          <w:ilvl w:val="0"/>
          <w:numId w:val="2"/>
        </w:numPr>
        <w:tabs>
          <w:tab w:val="clear" w:pos="1134"/>
        </w:tabs>
        <w:jc w:val="left"/>
      </w:pPr>
      <w:r>
        <w:t>The Meeting recognized that the DRR FP RA-TC-TP serve as a mechanism for inter-commission/-programme coordination and engagement for the implementation of the WMO DRR Roadmap &amp; Work Plan 2016-17;</w:t>
      </w:r>
    </w:p>
    <w:p w:rsidR="001378DB" w:rsidRDefault="001378DB" w:rsidP="001378DB">
      <w:pPr>
        <w:numPr>
          <w:ilvl w:val="0"/>
          <w:numId w:val="2"/>
        </w:numPr>
        <w:tabs>
          <w:tab w:val="clear" w:pos="1134"/>
        </w:tabs>
        <w:jc w:val="left"/>
      </w:pPr>
      <w:r>
        <w:t>The Meeting recommended that the PTC and PRA provide guidance to the work of the DRR FP RA-TC-TP;</w:t>
      </w:r>
    </w:p>
    <w:p w:rsidR="001378DB" w:rsidRDefault="001378DB" w:rsidP="001378DB">
      <w:pPr>
        <w:numPr>
          <w:ilvl w:val="0"/>
          <w:numId w:val="2"/>
        </w:numPr>
        <w:tabs>
          <w:tab w:val="clear" w:pos="1134"/>
        </w:tabs>
        <w:jc w:val="left"/>
      </w:pPr>
      <w:r>
        <w:t>The Meeting agreed the DRR FP RA-TC-TP would seek direction from and provide recommendations to the EC WG on DRR;</w:t>
      </w:r>
    </w:p>
    <w:p w:rsidR="001378DB" w:rsidRDefault="001378DB" w:rsidP="001378DB">
      <w:pPr>
        <w:numPr>
          <w:ilvl w:val="0"/>
          <w:numId w:val="2"/>
        </w:numPr>
        <w:tabs>
          <w:tab w:val="clear" w:pos="1134"/>
        </w:tabs>
        <w:jc w:val="left"/>
      </w:pPr>
      <w:r>
        <w:t>The Meeting proposed that the UI-EAGs report to the DRR FP RA-TC-TP;</w:t>
      </w:r>
    </w:p>
    <w:p w:rsidR="001378DB" w:rsidRDefault="001378DB" w:rsidP="001378DB">
      <w:pPr>
        <w:numPr>
          <w:ilvl w:val="0"/>
          <w:numId w:val="2"/>
        </w:numPr>
        <w:tabs>
          <w:tab w:val="clear" w:pos="1134"/>
        </w:tabs>
        <w:jc w:val="left"/>
      </w:pPr>
      <w:r>
        <w:t>The Meeting proposed that the DRR FP RA-TC-TP would provide guidance and specific direction to the work plans and the TORs of the UI-EAGs as a key implementation mechanisms of the DRR Programme;</w:t>
      </w:r>
    </w:p>
    <w:p w:rsidR="001378DB" w:rsidRDefault="001378DB" w:rsidP="001378DB">
      <w:pPr>
        <w:numPr>
          <w:ilvl w:val="0"/>
          <w:numId w:val="2"/>
        </w:numPr>
        <w:tabs>
          <w:tab w:val="clear" w:pos="1134"/>
        </w:tabs>
        <w:jc w:val="left"/>
      </w:pPr>
      <w:r>
        <w:t>The Meeting developed draft TORs of the DRR FP RA-TC-TP for consideration by the EC WG on DRR and approval by EC-68;</w:t>
      </w:r>
    </w:p>
    <w:p w:rsidR="001378DB" w:rsidRDefault="001378DB" w:rsidP="001378DB">
      <w:pPr>
        <w:numPr>
          <w:ilvl w:val="0"/>
          <w:numId w:val="2"/>
        </w:numPr>
        <w:tabs>
          <w:tab w:val="clear" w:pos="1134"/>
        </w:tabs>
        <w:jc w:val="left"/>
      </w:pPr>
      <w:r>
        <w:t>The Meeting agreed to the following working arrangements (within available resources): Meet on an annual basis face-to-face, organize quarterly teleconferences.</w:t>
      </w:r>
    </w:p>
    <w:p w:rsidR="001378DB" w:rsidRDefault="001378DB" w:rsidP="001378DB">
      <w:pPr>
        <w:rPr>
          <w:rFonts w:cs="Times New Roman"/>
        </w:rPr>
      </w:pPr>
    </w:p>
    <w:p w:rsidR="001378DB" w:rsidRDefault="001378DB" w:rsidP="001378DB">
      <w:pPr>
        <w:keepNext/>
        <w:keepLines/>
        <w:ind w:left="357"/>
      </w:pPr>
      <w:r>
        <w:t>Nature and role of the DRR User-Interface Expert Advisory Groups (UI-EAGs) as an DRR Programme implementation mechanism:</w:t>
      </w:r>
    </w:p>
    <w:p w:rsidR="001378DB" w:rsidRDefault="001378DB" w:rsidP="001378DB">
      <w:pPr>
        <w:keepNext/>
        <w:keepLines/>
        <w:ind w:left="357"/>
      </w:pPr>
    </w:p>
    <w:p w:rsidR="001378DB" w:rsidRDefault="001378DB" w:rsidP="001378DB">
      <w:pPr>
        <w:numPr>
          <w:ilvl w:val="0"/>
          <w:numId w:val="2"/>
        </w:numPr>
        <w:tabs>
          <w:tab w:val="clear" w:pos="1134"/>
        </w:tabs>
        <w:jc w:val="left"/>
      </w:pPr>
      <w:r>
        <w:t>The Meeting agreed that the DRR FP RA-TC-TP will review the membership and (draft) TORs of each of the UI-EAGs</w:t>
      </w:r>
    </w:p>
    <w:p w:rsidR="001378DB" w:rsidRDefault="001378DB" w:rsidP="001378DB">
      <w:pPr>
        <w:numPr>
          <w:ilvl w:val="0"/>
          <w:numId w:val="2"/>
        </w:numPr>
        <w:tabs>
          <w:tab w:val="clear" w:pos="1134"/>
        </w:tabs>
        <w:jc w:val="left"/>
      </w:pPr>
      <w:r>
        <w:t>The Meeting agreed that the DRR FP RA-TC-TP have the authority to initiate or cease individual UI-EAGs;</w:t>
      </w:r>
    </w:p>
    <w:p w:rsidR="001378DB" w:rsidRDefault="001378DB" w:rsidP="001378DB">
      <w:pPr>
        <w:numPr>
          <w:ilvl w:val="0"/>
          <w:numId w:val="2"/>
        </w:numPr>
        <w:tabs>
          <w:tab w:val="clear" w:pos="1134"/>
        </w:tabs>
        <w:jc w:val="left"/>
      </w:pPr>
      <w:r>
        <w:t>The Meeting highlighted that the outputs of the UI-EAGs serve as an important contribution to the GFCS process;</w:t>
      </w:r>
    </w:p>
    <w:p w:rsidR="001378DB" w:rsidRDefault="001378DB" w:rsidP="001378DB">
      <w:pPr>
        <w:numPr>
          <w:ilvl w:val="0"/>
          <w:numId w:val="2"/>
        </w:numPr>
        <w:tabs>
          <w:tab w:val="clear" w:pos="1134"/>
        </w:tabs>
        <w:jc w:val="left"/>
      </w:pPr>
      <w:r>
        <w:t>The Meeting agreed that the DRR FP RA-TC-TP will review the outputs of the UI-EAGs and provide direction on their future activities.</w:t>
      </w:r>
    </w:p>
    <w:p w:rsidR="001378DB" w:rsidRDefault="001378DB" w:rsidP="001378DB">
      <w:pPr>
        <w:ind w:left="360"/>
        <w:rPr>
          <w:rFonts w:cs="Times New Roman"/>
        </w:rPr>
      </w:pPr>
    </w:p>
    <w:p w:rsidR="001378DB" w:rsidRDefault="001378DB" w:rsidP="001378DB">
      <w:pPr>
        <w:ind w:left="360"/>
      </w:pPr>
      <w:r>
        <w:t>Discussion on the WMO DRR Roadmap &amp; Work Plan 2016-17 incl. milestones &amp; deliverables (per thematic area / pillar):</w:t>
      </w:r>
    </w:p>
    <w:p w:rsidR="001378DB" w:rsidRDefault="001378DB" w:rsidP="001378DB">
      <w:pPr>
        <w:ind w:left="360"/>
      </w:pPr>
    </w:p>
    <w:p w:rsidR="001378DB" w:rsidRDefault="001378DB" w:rsidP="001378DB">
      <w:pPr>
        <w:numPr>
          <w:ilvl w:val="0"/>
          <w:numId w:val="2"/>
        </w:numPr>
        <w:tabs>
          <w:tab w:val="clear" w:pos="1134"/>
        </w:tabs>
        <w:jc w:val="left"/>
      </w:pPr>
      <w:r>
        <w:t>The Meeting took stock of the Cg-17 decisions and developed a draft DRR Work Plan;</w:t>
      </w:r>
    </w:p>
    <w:p w:rsidR="001378DB" w:rsidRDefault="001378DB" w:rsidP="001378DB">
      <w:pPr>
        <w:ind w:firstLine="360"/>
        <w:rPr>
          <w:rFonts w:cs="Times New Roman"/>
        </w:rPr>
      </w:pPr>
    </w:p>
    <w:p w:rsidR="001378DB" w:rsidRDefault="001378DB" w:rsidP="001378DB">
      <w:pPr>
        <w:ind w:left="360"/>
      </w:pPr>
      <w:r>
        <w:t>Monitoring and reporting to WMO constituent bodies and governing mechanisms (Cg, EC, etc.):</w:t>
      </w:r>
    </w:p>
    <w:p w:rsidR="001378DB" w:rsidRDefault="001378DB" w:rsidP="001378DB"/>
    <w:p w:rsidR="001378DB" w:rsidRDefault="001378DB" w:rsidP="001378DB">
      <w:pPr>
        <w:numPr>
          <w:ilvl w:val="0"/>
          <w:numId w:val="2"/>
        </w:numPr>
        <w:tabs>
          <w:tab w:val="clear" w:pos="1134"/>
        </w:tabs>
        <w:jc w:val="left"/>
      </w:pPr>
      <w:r>
        <w:t>The Meeting recommended that existing DRR Programme Key Performance Indicators (KPIs) be circulated to the DRR FP RA-TC-TP for review and recommended alternatives (to be submitted to the appropriate WMO body);</w:t>
      </w:r>
    </w:p>
    <w:p w:rsidR="001378DB" w:rsidRDefault="001378DB" w:rsidP="001378DB">
      <w:pPr>
        <w:numPr>
          <w:ilvl w:val="0"/>
          <w:numId w:val="2"/>
        </w:numPr>
        <w:tabs>
          <w:tab w:val="clear" w:pos="1134"/>
        </w:tabs>
        <w:jc w:val="left"/>
      </w:pPr>
      <w:r>
        <w:t>The Meeting recommended that the 2016 WMO DRR Survey should be as concise as possible and include questions derived from relevant Sendai Framework indicators and WMO Programme KPIs (with a focus on science and MHEWS</w:t>
      </w:r>
      <w:r w:rsidR="00F1765E">
        <w:t>s</w:t>
      </w:r>
      <w:r>
        <w:t>);</w:t>
      </w:r>
    </w:p>
    <w:p w:rsidR="001378DB" w:rsidRDefault="001378DB" w:rsidP="001378DB">
      <w:pPr>
        <w:numPr>
          <w:ilvl w:val="0"/>
          <w:numId w:val="2"/>
        </w:numPr>
        <w:tabs>
          <w:tab w:val="clear" w:pos="1134"/>
        </w:tabs>
        <w:jc w:val="left"/>
      </w:pPr>
      <w:r>
        <w:t>The Meeting agreed to report on the DRR FP RA-TC-TP’s activities and progress to the PTC/PRA and to EC WG on DRR on an annual basis.</w:t>
      </w:r>
    </w:p>
    <w:p w:rsidR="001378DB" w:rsidRDefault="001378DB" w:rsidP="001378DB">
      <w:pPr>
        <w:autoSpaceDE w:val="0"/>
        <w:autoSpaceDN w:val="0"/>
        <w:adjustRightInd w:val="0"/>
      </w:pPr>
    </w:p>
    <w:p w:rsidR="001378DB" w:rsidRDefault="001378DB" w:rsidP="001378DB">
      <w:pPr>
        <w:numPr>
          <w:ilvl w:val="0"/>
          <w:numId w:val="3"/>
        </w:numPr>
        <w:tabs>
          <w:tab w:val="clear" w:pos="1134"/>
        </w:tabs>
        <w:jc w:val="left"/>
        <w:rPr>
          <w:b/>
          <w:sz w:val="28"/>
        </w:rPr>
      </w:pPr>
      <w:r>
        <w:rPr>
          <w:b/>
          <w:sz w:val="28"/>
        </w:rPr>
        <w:lastRenderedPageBreak/>
        <w:t xml:space="preserve">Follow up to Resolution 9 (Cg-17) Identifiers for Cataloguing Extreme Weather, Water and Climate Events </w:t>
      </w:r>
    </w:p>
    <w:p w:rsidR="001378DB" w:rsidRDefault="001378DB" w:rsidP="001378DB">
      <w:pPr>
        <w:autoSpaceDE w:val="0"/>
        <w:autoSpaceDN w:val="0"/>
        <w:adjustRightInd w:val="0"/>
      </w:pPr>
    </w:p>
    <w:p w:rsidR="001378DB" w:rsidRDefault="001378DB" w:rsidP="001378DB">
      <w:pPr>
        <w:autoSpaceDE w:val="0"/>
        <w:autoSpaceDN w:val="0"/>
        <w:adjustRightInd w:val="0"/>
      </w:pPr>
      <w:r>
        <w:t>The Resolution 9 (Cg-17) decision to standardize the characterization and cataloguing of, and assignment of unique identifiers to, extreme events is a key cross-cutting issue for supporting implementation of the Sendai Framework, the Paris Agreement, and the SDGs. As the Cg-17 decision notes, greater standardization in these areas will position NMHSs to play a crucial role in their country's efforts to monitor and report on their progress towards achieving the expected outcome of the Sendai Framework and target 11.5 of the SDGs, as well as systematically documenting Loss and Damage under the UNFCCC Warsaw Mechanism.</w:t>
      </w:r>
    </w:p>
    <w:p w:rsidR="001378DB" w:rsidRDefault="001378DB" w:rsidP="001378DB">
      <w:pPr>
        <w:autoSpaceDE w:val="0"/>
        <w:autoSpaceDN w:val="0"/>
        <w:adjustRightInd w:val="0"/>
      </w:pPr>
    </w:p>
    <w:p w:rsidR="001378DB" w:rsidRDefault="001378DB" w:rsidP="001378DB">
      <w:pPr>
        <w:autoSpaceDE w:val="0"/>
        <w:autoSpaceDN w:val="0"/>
        <w:adjustRightInd w:val="0"/>
      </w:pPr>
      <w:r>
        <w:t xml:space="preserve">Cg-17 requested CBS to develop, in collaboration with all </w:t>
      </w:r>
      <w:r w:rsidR="004E48B7">
        <w:t>TCs</w:t>
      </w:r>
      <w:r>
        <w:t xml:space="preserve"> and </w:t>
      </w:r>
      <w:r w:rsidR="004E48B7">
        <w:t>RAs</w:t>
      </w:r>
      <w:r>
        <w:t xml:space="preserve">, a proposal on standardized identifiers for cataloguing hazardous events for consideration by </w:t>
      </w:r>
      <w:r w:rsidR="004E48B7">
        <w:t>EC</w:t>
      </w:r>
      <w:r>
        <w:t>. Although the CBS’ task is focused on the development of a scheme for standardizing the identifiers, there are several other elements, also covered by the decision, that are necessary for any such scheme to be implemented. These include:</w:t>
      </w:r>
    </w:p>
    <w:p w:rsidR="001378DB" w:rsidRDefault="001378DB" w:rsidP="001378DB">
      <w:pPr>
        <w:autoSpaceDE w:val="0"/>
        <w:autoSpaceDN w:val="0"/>
        <w:adjustRightInd w:val="0"/>
      </w:pPr>
    </w:p>
    <w:p w:rsidR="001378DB" w:rsidRDefault="001378DB" w:rsidP="001378DB">
      <w:pPr>
        <w:numPr>
          <w:ilvl w:val="0"/>
          <w:numId w:val="8"/>
        </w:numPr>
        <w:tabs>
          <w:tab w:val="clear" w:pos="1134"/>
        </w:tabs>
        <w:ind w:left="714" w:hanging="357"/>
        <w:jc w:val="left"/>
      </w:pPr>
      <w:r>
        <w:t>a typology of the events that would receive unique identifiers and be catalogued (droughts, different kinds of floods, heat/cold waves, various types of storms and severe weather, space weather, etc. – approximately 30 such have been identified to date);</w:t>
      </w:r>
    </w:p>
    <w:p w:rsidR="001378DB" w:rsidRDefault="001378DB" w:rsidP="001378DB">
      <w:pPr>
        <w:numPr>
          <w:ilvl w:val="0"/>
          <w:numId w:val="8"/>
        </w:numPr>
        <w:tabs>
          <w:tab w:val="clear" w:pos="1134"/>
        </w:tabs>
        <w:ind w:left="714" w:hanging="357"/>
        <w:jc w:val="left"/>
      </w:pPr>
      <w:r>
        <w:t>the indexes/parameters used/recommended for characterizing each type of event (i.e. how the magnitude, location, timing and duration of each type of event are measured) for establishing that an event has occurred and recording its characteristics;</w:t>
      </w:r>
    </w:p>
    <w:p w:rsidR="001378DB" w:rsidRDefault="001378DB" w:rsidP="001378DB">
      <w:pPr>
        <w:numPr>
          <w:ilvl w:val="0"/>
          <w:numId w:val="8"/>
        </w:numPr>
        <w:tabs>
          <w:tab w:val="clear" w:pos="1134"/>
        </w:tabs>
        <w:ind w:left="714" w:hanging="357"/>
        <w:jc w:val="left"/>
      </w:pPr>
      <w:r>
        <w:t>the coding scheme for assigning a unique identifier to each event (including the identifier format but also how the identifiers would be issued and assigned in real time when an event has occurred, given complications such as that it can be difficult to establish when one event has stopped and another begun, that a single event can affect multiple countries, that one event can trigger another (typhoon triggering a flood), etc.); and,</w:t>
      </w:r>
    </w:p>
    <w:p w:rsidR="001378DB" w:rsidRDefault="001378DB" w:rsidP="001378DB">
      <w:pPr>
        <w:numPr>
          <w:ilvl w:val="0"/>
          <w:numId w:val="8"/>
        </w:numPr>
        <w:tabs>
          <w:tab w:val="clear" w:pos="1134"/>
        </w:tabs>
        <w:ind w:left="714" w:hanging="357"/>
        <w:jc w:val="left"/>
      </w:pPr>
      <w:r>
        <w:t>the data management system(s) used for recording/cataloguing the events (how the data about the events are stored so that data about them can be accessed using the unique identifier once it has been assigned).</w:t>
      </w:r>
    </w:p>
    <w:p w:rsidR="001378DB" w:rsidRDefault="001378DB" w:rsidP="001378DB">
      <w:pPr>
        <w:autoSpaceDE w:val="0"/>
        <w:autoSpaceDN w:val="0"/>
        <w:adjustRightInd w:val="0"/>
      </w:pPr>
    </w:p>
    <w:p w:rsidR="00C172B6" w:rsidRDefault="001378DB" w:rsidP="00C172B6">
      <w:pPr>
        <w:autoSpaceDE w:val="0"/>
        <w:autoSpaceDN w:val="0"/>
        <w:adjustRightInd w:val="0"/>
      </w:pPr>
      <w:r>
        <w:rPr>
          <w:rFonts w:eastAsia="Calibri"/>
        </w:rPr>
        <w:t xml:space="preserve">WMO, through its </w:t>
      </w:r>
      <w:r w:rsidR="004E48B7">
        <w:rPr>
          <w:rFonts w:eastAsia="Calibri"/>
        </w:rPr>
        <w:t>TCs</w:t>
      </w:r>
      <w:r>
        <w:rPr>
          <w:rFonts w:eastAsia="Calibri"/>
        </w:rPr>
        <w:t xml:space="preserve"> are already active in addressing different aspects of the characterizing and cataloguing issue. Table 1 provides an example list of some WMO</w:t>
      </w:r>
      <w:r w:rsidR="004E48B7">
        <w:rPr>
          <w:rFonts w:eastAsia="Calibri"/>
        </w:rPr>
        <w:t>-</w:t>
      </w:r>
      <w:r>
        <w:rPr>
          <w:rFonts w:eastAsia="Calibri"/>
        </w:rPr>
        <w:t xml:space="preserve">related activities and </w:t>
      </w:r>
      <w:r w:rsidRPr="00C172B6">
        <w:t>publications</w:t>
      </w:r>
      <w:r>
        <w:rPr>
          <w:rFonts w:eastAsia="Calibri"/>
        </w:rPr>
        <w:t>.</w:t>
      </w:r>
    </w:p>
    <w:p w:rsidR="00C172B6" w:rsidRPr="00C172B6" w:rsidRDefault="00C172B6" w:rsidP="00C172B6">
      <w:pPr>
        <w:autoSpaceDE w:val="0"/>
        <w:autoSpaceDN w:val="0"/>
        <w:adjustRightInd w:val="0"/>
      </w:pPr>
    </w:p>
    <w:p w:rsidR="00C172B6" w:rsidRPr="00AE2E1C" w:rsidRDefault="00C172B6" w:rsidP="00C172B6">
      <w:pPr>
        <w:autoSpaceDE w:val="0"/>
        <w:autoSpaceDN w:val="0"/>
        <w:adjustRightInd w:val="0"/>
      </w:pPr>
      <w:r w:rsidRPr="00AE2E1C">
        <w:t xml:space="preserve">To address the decision of Cg-17 it is proposed that the CBS Management Group make a recommendation to EC-68 to establish an inter-commission task team on indexing and cataloguing that would coordinate activities of the </w:t>
      </w:r>
      <w:r>
        <w:t>TC</w:t>
      </w:r>
      <w:r w:rsidRPr="00AE2E1C">
        <w:t xml:space="preserve">s and </w:t>
      </w:r>
      <w:r>
        <w:t>RA</w:t>
      </w:r>
      <w:r w:rsidRPr="00AE2E1C">
        <w:t>s in the standardization of weather, water, climate, space weather and other related environmental hazard and risk information and the development of identifiers for cataloguing weather water and climate extreme events. It is also proposed that such a task team be co-chaired by both CBS and CC</w:t>
      </w:r>
      <w:r>
        <w:t>l</w:t>
      </w:r>
      <w:r w:rsidRPr="00AE2E1C">
        <w:t xml:space="preserve">. </w:t>
      </w:r>
    </w:p>
    <w:p w:rsidR="00C172B6" w:rsidRPr="00C172B6" w:rsidRDefault="00C172B6" w:rsidP="00C172B6">
      <w:pPr>
        <w:autoSpaceDE w:val="0"/>
        <w:autoSpaceDN w:val="0"/>
        <w:adjustRightInd w:val="0"/>
      </w:pPr>
    </w:p>
    <w:p w:rsidR="002018BF" w:rsidRPr="00AE2E1C" w:rsidRDefault="002018BF" w:rsidP="002018BF">
      <w:pPr>
        <w:keepNext/>
        <w:keepLines/>
        <w:spacing w:after="200"/>
        <w:rPr>
          <w:rFonts w:eastAsia="Calibri"/>
          <w:b/>
          <w:bCs/>
          <w:sz w:val="18"/>
          <w:szCs w:val="18"/>
        </w:rPr>
      </w:pPr>
      <w:r w:rsidRPr="00AE2E1C">
        <w:rPr>
          <w:rFonts w:eastAsia="Calibri"/>
          <w:b/>
          <w:bCs/>
          <w:sz w:val="18"/>
          <w:szCs w:val="18"/>
        </w:rPr>
        <w:lastRenderedPageBreak/>
        <w:t xml:space="preserve">Table </w:t>
      </w:r>
      <w:r w:rsidRPr="00AE2E1C">
        <w:rPr>
          <w:rFonts w:eastAsia="Calibri"/>
          <w:sz w:val="18"/>
          <w:szCs w:val="18"/>
        </w:rPr>
        <w:fldChar w:fldCharType="begin"/>
      </w:r>
      <w:r w:rsidRPr="00AE2E1C">
        <w:rPr>
          <w:rFonts w:eastAsia="Calibri"/>
          <w:b/>
          <w:bCs/>
          <w:sz w:val="18"/>
          <w:szCs w:val="18"/>
        </w:rPr>
        <w:instrText xml:space="preserve"> SEQ Table \* ARABIC </w:instrText>
      </w:r>
      <w:r w:rsidRPr="00AE2E1C">
        <w:rPr>
          <w:rFonts w:eastAsia="Calibri"/>
          <w:sz w:val="18"/>
          <w:szCs w:val="18"/>
        </w:rPr>
        <w:fldChar w:fldCharType="separate"/>
      </w:r>
      <w:r w:rsidR="0072248A">
        <w:rPr>
          <w:rFonts w:eastAsia="Calibri"/>
          <w:b/>
          <w:bCs/>
          <w:noProof/>
          <w:sz w:val="18"/>
          <w:szCs w:val="18"/>
        </w:rPr>
        <w:t>2</w:t>
      </w:r>
      <w:r w:rsidRPr="00AE2E1C">
        <w:rPr>
          <w:rFonts w:eastAsia="Calibri"/>
          <w:sz w:val="18"/>
          <w:szCs w:val="18"/>
        </w:rPr>
        <w:fldChar w:fldCharType="end"/>
      </w:r>
      <w:r w:rsidRPr="00AE2E1C">
        <w:rPr>
          <w:rFonts w:eastAsia="Calibri"/>
          <w:b/>
          <w:bCs/>
          <w:sz w:val="18"/>
          <w:szCs w:val="18"/>
        </w:rPr>
        <w:t>: Example WMO related activities and publications relevant to characterizing and cataloguing extreme events</w:t>
      </w:r>
    </w:p>
    <w:tbl>
      <w:tblPr>
        <w:tblW w:w="46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4A0" w:firstRow="1" w:lastRow="0" w:firstColumn="1" w:lastColumn="0" w:noHBand="0" w:noVBand="1"/>
      </w:tblPr>
      <w:tblGrid>
        <w:gridCol w:w="2252"/>
        <w:gridCol w:w="6865"/>
      </w:tblGrid>
      <w:tr w:rsidR="002018BF" w:rsidRPr="00AE2E1C" w:rsidTr="002018BF">
        <w:trPr>
          <w:tblHeader/>
          <w:jc w:val="center"/>
        </w:trPr>
        <w:tc>
          <w:tcPr>
            <w:tcW w:w="1235" w:type="pct"/>
            <w:shd w:val="clear" w:color="auto" w:fill="A6A6A6"/>
          </w:tcPr>
          <w:p w:rsidR="002018BF" w:rsidRPr="00AE2E1C" w:rsidRDefault="002018BF" w:rsidP="00077013">
            <w:pPr>
              <w:keepNext/>
              <w:keepLines/>
              <w:widowControl w:val="0"/>
              <w:autoSpaceDE w:val="0"/>
              <w:autoSpaceDN w:val="0"/>
              <w:adjustRightInd w:val="0"/>
              <w:spacing w:after="60"/>
              <w:rPr>
                <w:rFonts w:eastAsia="Calibri"/>
                <w:b/>
                <w:sz w:val="18"/>
                <w:szCs w:val="18"/>
              </w:rPr>
            </w:pPr>
            <w:r w:rsidRPr="00AE2E1C">
              <w:rPr>
                <w:rFonts w:eastAsia="Calibri"/>
                <w:b/>
                <w:sz w:val="18"/>
                <w:szCs w:val="18"/>
              </w:rPr>
              <w:t>TC/Programme</w:t>
            </w:r>
          </w:p>
        </w:tc>
        <w:tc>
          <w:tcPr>
            <w:tcW w:w="3765" w:type="pct"/>
            <w:shd w:val="clear" w:color="auto" w:fill="A6A6A6"/>
          </w:tcPr>
          <w:p w:rsidR="002018BF" w:rsidRPr="00AE2E1C" w:rsidRDefault="002018BF" w:rsidP="00077013">
            <w:pPr>
              <w:keepNext/>
              <w:keepLines/>
              <w:widowControl w:val="0"/>
              <w:autoSpaceDE w:val="0"/>
              <w:autoSpaceDN w:val="0"/>
              <w:adjustRightInd w:val="0"/>
              <w:spacing w:after="60"/>
              <w:rPr>
                <w:rFonts w:eastAsia="Calibri"/>
                <w:b/>
                <w:sz w:val="18"/>
                <w:szCs w:val="18"/>
              </w:rPr>
            </w:pPr>
            <w:r w:rsidRPr="00AE2E1C">
              <w:rPr>
                <w:rFonts w:eastAsia="Calibri"/>
                <w:b/>
                <w:sz w:val="18"/>
                <w:szCs w:val="18"/>
              </w:rPr>
              <w:t>Task Team/Activity/Publication</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Pr>
                <w:rFonts w:eastAsia="Calibri"/>
                <w:sz w:val="18"/>
                <w:szCs w:val="18"/>
              </w:rPr>
              <w:t>DRR</w:t>
            </w:r>
          </w:p>
        </w:tc>
        <w:tc>
          <w:tcPr>
            <w:tcW w:w="3765" w:type="pct"/>
            <w:shd w:val="clear" w:color="auto" w:fill="auto"/>
          </w:tcPr>
          <w:p w:rsidR="002018BF" w:rsidRDefault="002018BF" w:rsidP="00077013">
            <w:pPr>
              <w:keepNext/>
              <w:keepLines/>
              <w:widowControl w:val="0"/>
              <w:autoSpaceDE w:val="0"/>
              <w:autoSpaceDN w:val="0"/>
              <w:adjustRightInd w:val="0"/>
              <w:spacing w:after="60"/>
              <w:rPr>
                <w:rFonts w:eastAsia="Calibri"/>
                <w:sz w:val="18"/>
                <w:szCs w:val="18"/>
              </w:rPr>
            </w:pPr>
            <w:r w:rsidRPr="002018BF">
              <w:rPr>
                <w:rFonts w:eastAsia="Calibri"/>
                <w:sz w:val="18"/>
                <w:szCs w:val="18"/>
              </w:rPr>
              <w:t>WMO Disaster Risk Reduction Focal Points of Regional Associations, Technical Commissions and Technical Programmes (DRR FP RA-TC-TP)</w:t>
            </w:r>
          </w:p>
          <w:p w:rsidR="002018BF" w:rsidRPr="002018BF" w:rsidRDefault="002018BF" w:rsidP="002018BF">
            <w:pPr>
              <w:pStyle w:val="WMOBodyText"/>
              <w:numPr>
                <w:ilvl w:val="0"/>
                <w:numId w:val="18"/>
              </w:numPr>
              <w:spacing w:before="0"/>
              <w:rPr>
                <w:lang w:eastAsia="en-US"/>
              </w:rPr>
            </w:pPr>
            <w:r>
              <w:rPr>
                <w:sz w:val="18"/>
                <w:lang w:eastAsia="en-US"/>
              </w:rPr>
              <w:t xml:space="preserve">Meeting report: </w:t>
            </w:r>
            <w:r w:rsidRPr="002018BF">
              <w:rPr>
                <w:sz w:val="18"/>
                <w:lang w:eastAsia="en-US"/>
              </w:rPr>
              <w:t>User requirements for NMHSs contribution to Loss &amp; Damage</w:t>
            </w:r>
            <w:r>
              <w:rPr>
                <w:sz w:val="18"/>
                <w:lang w:eastAsia="en-US"/>
              </w:rPr>
              <w:t xml:space="preserve"> </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sidRPr="00AE2E1C">
              <w:rPr>
                <w:rFonts w:eastAsia="Calibri"/>
                <w:sz w:val="18"/>
                <w:szCs w:val="18"/>
              </w:rPr>
              <w:t>DRR</w:t>
            </w:r>
          </w:p>
        </w:tc>
        <w:tc>
          <w:tcPr>
            <w:tcW w:w="3765" w:type="pct"/>
            <w:shd w:val="clear" w:color="auto" w:fill="auto"/>
          </w:tcPr>
          <w:p w:rsidR="002018BF" w:rsidRDefault="002018BF" w:rsidP="002018BF">
            <w:pPr>
              <w:keepNext/>
              <w:keepLines/>
              <w:widowControl w:val="0"/>
              <w:autoSpaceDE w:val="0"/>
              <w:autoSpaceDN w:val="0"/>
              <w:adjustRightInd w:val="0"/>
              <w:spacing w:after="60"/>
              <w:rPr>
                <w:rFonts w:eastAsia="Calibri"/>
                <w:sz w:val="18"/>
                <w:szCs w:val="18"/>
              </w:rPr>
            </w:pPr>
            <w:r w:rsidRPr="00AE2E1C">
              <w:rPr>
                <w:rFonts w:eastAsia="Calibri"/>
                <w:sz w:val="18"/>
                <w:szCs w:val="18"/>
              </w:rPr>
              <w:t>Expert Advisory Group on Hazard and Risk Assessment (EAG-HRA)</w:t>
            </w:r>
          </w:p>
          <w:p w:rsidR="002018BF" w:rsidRPr="002018BF" w:rsidRDefault="002018BF" w:rsidP="002018BF">
            <w:pPr>
              <w:pStyle w:val="ListParagraph"/>
              <w:keepNext/>
              <w:keepLines/>
              <w:widowControl w:val="0"/>
              <w:numPr>
                <w:ilvl w:val="0"/>
                <w:numId w:val="17"/>
              </w:numPr>
              <w:autoSpaceDE w:val="0"/>
              <w:autoSpaceDN w:val="0"/>
              <w:adjustRightInd w:val="0"/>
            </w:pPr>
            <w:r w:rsidRPr="002018BF">
              <w:rPr>
                <w:rFonts w:eastAsia="Calibri"/>
                <w:sz w:val="18"/>
                <w:szCs w:val="18"/>
              </w:rPr>
              <w:t>Atlas of Mortality and Economic Losses from Climate Extremes 1970-2012</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sidRPr="00AE2E1C">
              <w:rPr>
                <w:rFonts w:eastAsia="Calibri"/>
                <w:sz w:val="18"/>
                <w:szCs w:val="18"/>
              </w:rPr>
              <w:t>CCl</w:t>
            </w:r>
          </w:p>
        </w:tc>
        <w:tc>
          <w:tcPr>
            <w:tcW w:w="376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sidRPr="00AE2E1C">
              <w:rPr>
                <w:rFonts w:eastAsia="Calibri"/>
                <w:sz w:val="18"/>
                <w:szCs w:val="18"/>
              </w:rPr>
              <w:t>Task Team on Definition of Extreme Weather and Climate Events (TT-DEWCE)</w:t>
            </w:r>
          </w:p>
          <w:p w:rsidR="002018BF" w:rsidRPr="00AE2E1C" w:rsidRDefault="002018BF" w:rsidP="002018BF">
            <w:pPr>
              <w:keepNext/>
              <w:keepLines/>
              <w:widowControl w:val="0"/>
              <w:numPr>
                <w:ilvl w:val="0"/>
                <w:numId w:val="14"/>
              </w:numPr>
              <w:tabs>
                <w:tab w:val="clear" w:pos="1134"/>
              </w:tabs>
              <w:autoSpaceDE w:val="0"/>
              <w:autoSpaceDN w:val="0"/>
              <w:adjustRightInd w:val="0"/>
              <w:spacing w:after="60"/>
              <w:jc w:val="left"/>
              <w:rPr>
                <w:rFonts w:eastAsia="Calibri"/>
                <w:sz w:val="18"/>
                <w:szCs w:val="18"/>
              </w:rPr>
            </w:pPr>
            <w:r w:rsidRPr="00AE2E1C">
              <w:rPr>
                <w:rFonts w:eastAsia="Calibri"/>
                <w:sz w:val="18"/>
                <w:szCs w:val="18"/>
              </w:rPr>
              <w:t>Draft Guidelines on Definitions and Monitoring of Extreme Weather and Climate Events</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sidRPr="00AE2E1C">
              <w:rPr>
                <w:rFonts w:eastAsia="Calibri"/>
                <w:sz w:val="18"/>
                <w:szCs w:val="18"/>
              </w:rPr>
              <w:t>CCl</w:t>
            </w:r>
          </w:p>
        </w:tc>
        <w:tc>
          <w:tcPr>
            <w:tcW w:w="3765" w:type="pct"/>
            <w:shd w:val="clear" w:color="auto" w:fill="auto"/>
          </w:tcPr>
          <w:p w:rsidR="002018BF" w:rsidRPr="00AE2E1C" w:rsidRDefault="002018BF" w:rsidP="00077013">
            <w:pPr>
              <w:keepNext/>
              <w:keepLines/>
              <w:spacing w:after="60"/>
              <w:rPr>
                <w:rFonts w:eastAsia="Calibri"/>
                <w:sz w:val="18"/>
                <w:szCs w:val="18"/>
              </w:rPr>
            </w:pPr>
            <w:r w:rsidRPr="00AE2E1C">
              <w:rPr>
                <w:rFonts w:eastAsia="Calibri"/>
                <w:sz w:val="18"/>
                <w:szCs w:val="18"/>
              </w:rPr>
              <w:t>Expert Team on Climate Risk and Sector-specific Indices (ET CRSCI)</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sidRPr="00AE2E1C">
              <w:rPr>
                <w:rFonts w:eastAsia="Calibri"/>
                <w:sz w:val="18"/>
                <w:szCs w:val="18"/>
              </w:rPr>
              <w:t>CCl/WCRP/JCAMM</w:t>
            </w:r>
          </w:p>
        </w:tc>
        <w:tc>
          <w:tcPr>
            <w:tcW w:w="3765" w:type="pct"/>
            <w:shd w:val="clear" w:color="auto" w:fill="auto"/>
          </w:tcPr>
          <w:p w:rsidR="002018BF" w:rsidRPr="00AE2E1C" w:rsidRDefault="002018BF" w:rsidP="00077013">
            <w:pPr>
              <w:keepNext/>
              <w:keepLines/>
              <w:spacing w:after="60"/>
              <w:rPr>
                <w:rFonts w:eastAsia="Calibri"/>
                <w:sz w:val="18"/>
                <w:szCs w:val="18"/>
              </w:rPr>
            </w:pPr>
            <w:r w:rsidRPr="00AE2E1C">
              <w:rPr>
                <w:rFonts w:eastAsia="Calibri"/>
                <w:sz w:val="18"/>
                <w:szCs w:val="18"/>
              </w:rPr>
              <w:t xml:space="preserve">CCl/WCRP/JCOMM Expert Team on Climate Change Detection and Indices (ETCCDI) </w:t>
            </w:r>
          </w:p>
          <w:p w:rsidR="002018BF" w:rsidRPr="00AE2E1C" w:rsidRDefault="002018BF" w:rsidP="002018BF">
            <w:pPr>
              <w:keepNext/>
              <w:keepLines/>
              <w:numPr>
                <w:ilvl w:val="0"/>
                <w:numId w:val="13"/>
              </w:numPr>
              <w:tabs>
                <w:tab w:val="clear" w:pos="1134"/>
              </w:tabs>
              <w:spacing w:after="60"/>
              <w:jc w:val="left"/>
              <w:rPr>
                <w:rFonts w:eastAsia="Calibri"/>
                <w:sz w:val="18"/>
                <w:szCs w:val="18"/>
              </w:rPr>
            </w:pPr>
            <w:r w:rsidRPr="00AE2E1C">
              <w:rPr>
                <w:rFonts w:eastAsia="Calibri"/>
                <w:sz w:val="18"/>
                <w:szCs w:val="18"/>
              </w:rPr>
              <w:t>Guidelines on analysis of extremes in a changing climate in support of informed decisions for adaptation, (WMO-TD No. 1500)</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sidRPr="00AE2E1C">
              <w:rPr>
                <w:rFonts w:eastAsia="Calibri"/>
                <w:sz w:val="18"/>
                <w:szCs w:val="18"/>
              </w:rPr>
              <w:t>CCl</w:t>
            </w:r>
          </w:p>
        </w:tc>
        <w:tc>
          <w:tcPr>
            <w:tcW w:w="3765" w:type="pct"/>
            <w:shd w:val="clear" w:color="auto" w:fill="auto"/>
          </w:tcPr>
          <w:p w:rsidR="002018BF" w:rsidRPr="00AE2E1C" w:rsidRDefault="002018BF" w:rsidP="00077013">
            <w:pPr>
              <w:keepNext/>
              <w:keepLines/>
              <w:spacing w:after="60"/>
              <w:rPr>
                <w:rFonts w:eastAsia="Calibri"/>
                <w:sz w:val="18"/>
                <w:szCs w:val="18"/>
              </w:rPr>
            </w:pPr>
            <w:r w:rsidRPr="00AE2E1C">
              <w:rPr>
                <w:rFonts w:eastAsia="Calibri"/>
                <w:sz w:val="18"/>
                <w:szCs w:val="18"/>
              </w:rPr>
              <w:t>CCl Expert Team on Climate Data Management Systems (ET CDMS)</w:t>
            </w:r>
          </w:p>
          <w:p w:rsidR="002018BF" w:rsidRPr="00AE2E1C" w:rsidRDefault="002018BF" w:rsidP="002018BF">
            <w:pPr>
              <w:keepNext/>
              <w:keepLines/>
              <w:numPr>
                <w:ilvl w:val="0"/>
                <w:numId w:val="13"/>
              </w:numPr>
              <w:tabs>
                <w:tab w:val="clear" w:pos="1134"/>
              </w:tabs>
              <w:spacing w:after="60"/>
              <w:jc w:val="left"/>
              <w:rPr>
                <w:rFonts w:eastAsia="Calibri"/>
                <w:sz w:val="18"/>
                <w:szCs w:val="18"/>
              </w:rPr>
            </w:pPr>
            <w:r w:rsidRPr="00AE2E1C">
              <w:rPr>
                <w:rFonts w:eastAsia="Calibri"/>
                <w:sz w:val="18"/>
                <w:szCs w:val="18"/>
              </w:rPr>
              <w:t>Specifications &amp; guidelines on climate data management systems (WMO No.1131 &amp; WMO-TD 1376)</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sidRPr="00AE2E1C">
              <w:rPr>
                <w:rFonts w:eastAsia="Calibri"/>
                <w:sz w:val="18"/>
                <w:szCs w:val="18"/>
              </w:rPr>
              <w:t>WCRP</w:t>
            </w:r>
          </w:p>
        </w:tc>
        <w:tc>
          <w:tcPr>
            <w:tcW w:w="3765" w:type="pct"/>
            <w:shd w:val="clear" w:color="auto" w:fill="auto"/>
          </w:tcPr>
          <w:p w:rsidR="002018BF" w:rsidRPr="00AE2E1C" w:rsidRDefault="002018BF" w:rsidP="00077013">
            <w:pPr>
              <w:keepNext/>
              <w:keepLines/>
              <w:spacing w:after="60"/>
              <w:rPr>
                <w:rFonts w:eastAsia="Calibri"/>
                <w:sz w:val="18"/>
                <w:szCs w:val="18"/>
              </w:rPr>
            </w:pPr>
            <w:r w:rsidRPr="00AE2E1C">
              <w:rPr>
                <w:rFonts w:eastAsia="Calibri"/>
                <w:sz w:val="18"/>
                <w:szCs w:val="18"/>
              </w:rPr>
              <w:t>WCRP grant challenge on understanding and predicting weather and climate extremes</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sidRPr="00AE2E1C">
              <w:rPr>
                <w:rFonts w:eastAsia="Calibri"/>
                <w:sz w:val="18"/>
                <w:szCs w:val="18"/>
              </w:rPr>
              <w:t>CHy</w:t>
            </w:r>
          </w:p>
        </w:tc>
        <w:tc>
          <w:tcPr>
            <w:tcW w:w="3765" w:type="pct"/>
            <w:shd w:val="clear" w:color="auto" w:fill="auto"/>
          </w:tcPr>
          <w:p w:rsidR="002018BF" w:rsidRPr="00AE2E1C" w:rsidRDefault="002018BF" w:rsidP="00077013">
            <w:pPr>
              <w:keepNext/>
              <w:keepLines/>
              <w:spacing w:after="60"/>
              <w:rPr>
                <w:rFonts w:eastAsia="Calibri"/>
                <w:sz w:val="18"/>
                <w:szCs w:val="18"/>
              </w:rPr>
            </w:pPr>
            <w:r w:rsidRPr="00AE2E1C">
              <w:rPr>
                <w:rFonts w:eastAsia="Calibri"/>
                <w:sz w:val="18"/>
                <w:szCs w:val="18"/>
              </w:rPr>
              <w:t>Conducting Flood Loss Assessments (Integrated Flood Management Tools Series No. 2)</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sidRPr="00AE2E1C">
              <w:rPr>
                <w:rFonts w:eastAsia="Calibri"/>
                <w:sz w:val="18"/>
                <w:szCs w:val="18"/>
              </w:rPr>
              <w:t>CHy</w:t>
            </w:r>
          </w:p>
        </w:tc>
        <w:tc>
          <w:tcPr>
            <w:tcW w:w="3765" w:type="pct"/>
            <w:shd w:val="clear" w:color="auto" w:fill="auto"/>
          </w:tcPr>
          <w:p w:rsidR="002018BF" w:rsidRPr="00AE2E1C" w:rsidRDefault="002018BF" w:rsidP="00077013">
            <w:pPr>
              <w:keepNext/>
              <w:keepLines/>
              <w:spacing w:after="60"/>
              <w:rPr>
                <w:rFonts w:eastAsia="Calibri"/>
                <w:sz w:val="18"/>
                <w:szCs w:val="18"/>
              </w:rPr>
            </w:pPr>
            <w:r w:rsidRPr="00AE2E1C">
              <w:rPr>
                <w:rFonts w:eastAsia="Calibri"/>
                <w:sz w:val="18"/>
                <w:szCs w:val="18"/>
              </w:rPr>
              <w:t>International Glossary of Hydrology</w:t>
            </w:r>
          </w:p>
          <w:p w:rsidR="002018BF" w:rsidRPr="00AE2E1C" w:rsidRDefault="002018BF" w:rsidP="00077013">
            <w:pPr>
              <w:keepNext/>
              <w:keepLines/>
              <w:spacing w:after="60"/>
              <w:rPr>
                <w:rFonts w:eastAsia="Calibri"/>
                <w:sz w:val="18"/>
                <w:szCs w:val="18"/>
              </w:rPr>
            </w:pPr>
            <w:r w:rsidRPr="00AE2E1C">
              <w:rPr>
                <w:rFonts w:eastAsia="Calibri"/>
                <w:sz w:val="18"/>
                <w:szCs w:val="18"/>
              </w:rPr>
              <w:t>(WMO No. 385)</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r w:rsidRPr="00AE2E1C">
              <w:rPr>
                <w:rFonts w:eastAsia="Calibri"/>
                <w:sz w:val="18"/>
                <w:szCs w:val="18"/>
              </w:rPr>
              <w:t>CAgM</w:t>
            </w:r>
          </w:p>
        </w:tc>
        <w:tc>
          <w:tcPr>
            <w:tcW w:w="3765" w:type="pct"/>
            <w:shd w:val="clear" w:color="auto" w:fill="auto"/>
          </w:tcPr>
          <w:p w:rsidR="002018BF" w:rsidRPr="00AE2E1C" w:rsidRDefault="002018BF" w:rsidP="00077013">
            <w:pPr>
              <w:keepNext/>
              <w:keepLines/>
              <w:spacing w:after="60"/>
              <w:rPr>
                <w:rFonts w:eastAsia="Calibri"/>
                <w:sz w:val="18"/>
                <w:szCs w:val="18"/>
              </w:rPr>
            </w:pPr>
            <w:r w:rsidRPr="00AE2E1C">
              <w:rPr>
                <w:rFonts w:eastAsia="Calibri"/>
                <w:sz w:val="18"/>
                <w:szCs w:val="18"/>
              </w:rPr>
              <w:t>Catalogue of Definitions of Drought, with Global Water Partnership</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p>
        </w:tc>
        <w:tc>
          <w:tcPr>
            <w:tcW w:w="3765" w:type="pct"/>
            <w:shd w:val="clear" w:color="auto" w:fill="auto"/>
          </w:tcPr>
          <w:p w:rsidR="002018BF" w:rsidRPr="00AE2E1C" w:rsidRDefault="002018BF" w:rsidP="00077013">
            <w:pPr>
              <w:keepNext/>
              <w:keepLines/>
              <w:spacing w:after="60"/>
              <w:rPr>
                <w:rFonts w:eastAsia="Calibri"/>
                <w:sz w:val="18"/>
                <w:szCs w:val="18"/>
              </w:rPr>
            </w:pPr>
            <w:r w:rsidRPr="00AE2E1C">
              <w:rPr>
                <w:rFonts w:eastAsia="Calibri"/>
                <w:sz w:val="18"/>
                <w:szCs w:val="18"/>
              </w:rPr>
              <w:t>International Meteorological Vocabulary (WMO No.182)</w:t>
            </w:r>
          </w:p>
        </w:tc>
      </w:tr>
      <w:tr w:rsidR="002018BF" w:rsidRPr="00AE2E1C" w:rsidTr="002018BF">
        <w:trPr>
          <w:jc w:val="center"/>
        </w:trPr>
        <w:tc>
          <w:tcPr>
            <w:tcW w:w="1235" w:type="pct"/>
            <w:shd w:val="clear" w:color="auto" w:fill="auto"/>
          </w:tcPr>
          <w:p w:rsidR="002018BF" w:rsidRPr="00AE2E1C" w:rsidRDefault="002018BF" w:rsidP="00077013">
            <w:pPr>
              <w:keepNext/>
              <w:keepLines/>
              <w:widowControl w:val="0"/>
              <w:autoSpaceDE w:val="0"/>
              <w:autoSpaceDN w:val="0"/>
              <w:adjustRightInd w:val="0"/>
              <w:spacing w:after="60"/>
              <w:rPr>
                <w:rFonts w:eastAsia="Calibri"/>
                <w:sz w:val="18"/>
                <w:szCs w:val="18"/>
              </w:rPr>
            </w:pPr>
          </w:p>
        </w:tc>
        <w:tc>
          <w:tcPr>
            <w:tcW w:w="3765" w:type="pct"/>
            <w:shd w:val="clear" w:color="auto" w:fill="auto"/>
          </w:tcPr>
          <w:p w:rsidR="002018BF" w:rsidRPr="00AE2E1C" w:rsidRDefault="002018BF" w:rsidP="00077013">
            <w:pPr>
              <w:keepNext/>
              <w:keepLines/>
              <w:spacing w:after="60"/>
              <w:rPr>
                <w:rFonts w:eastAsia="Calibri"/>
                <w:sz w:val="18"/>
                <w:szCs w:val="18"/>
              </w:rPr>
            </w:pPr>
            <w:r w:rsidRPr="00AE2E1C">
              <w:rPr>
                <w:rFonts w:eastAsia="Calibri"/>
                <w:sz w:val="18"/>
                <w:szCs w:val="18"/>
              </w:rPr>
              <w:t>WMO Hazard Definitions</w:t>
            </w:r>
          </w:p>
          <w:p w:rsidR="002018BF" w:rsidRPr="00AE2E1C" w:rsidRDefault="003B10D4" w:rsidP="00077013">
            <w:pPr>
              <w:keepNext/>
              <w:keepLines/>
              <w:spacing w:after="60"/>
              <w:rPr>
                <w:rFonts w:eastAsia="Calibri"/>
                <w:sz w:val="18"/>
                <w:szCs w:val="18"/>
              </w:rPr>
            </w:pPr>
            <w:hyperlink r:id="rId11" w:history="1">
              <w:r w:rsidR="002018BF" w:rsidRPr="00AE2E1C">
                <w:rPr>
                  <w:rFonts w:eastAsia="Calibri"/>
                  <w:color w:val="0000E9"/>
                  <w:sz w:val="18"/>
                  <w:szCs w:val="18"/>
                  <w:u w:val="single" w:color="0000E9"/>
                </w:rPr>
                <w:t>http://www.wmo.int/pages/themes/hazards/index_en.html</w:t>
              </w:r>
            </w:hyperlink>
          </w:p>
        </w:tc>
      </w:tr>
    </w:tbl>
    <w:p w:rsidR="002018BF" w:rsidRPr="00AE2E1C" w:rsidRDefault="002018BF" w:rsidP="002018BF">
      <w:pPr>
        <w:autoSpaceDE w:val="0"/>
        <w:autoSpaceDN w:val="0"/>
        <w:adjustRightInd w:val="0"/>
      </w:pPr>
    </w:p>
    <w:p w:rsidR="002018BF" w:rsidRPr="00AE2E1C" w:rsidRDefault="002018BF" w:rsidP="002018BF">
      <w:pPr>
        <w:numPr>
          <w:ilvl w:val="0"/>
          <w:numId w:val="12"/>
        </w:numPr>
        <w:tabs>
          <w:tab w:val="clear" w:pos="1134"/>
        </w:tabs>
        <w:jc w:val="left"/>
        <w:rPr>
          <w:b/>
          <w:sz w:val="28"/>
        </w:rPr>
      </w:pPr>
      <w:r w:rsidRPr="00AE2E1C">
        <w:rPr>
          <w:b/>
          <w:sz w:val="28"/>
        </w:rPr>
        <w:t>International Network for Multi-Hazard Early Warning Systems</w:t>
      </w:r>
      <w:r w:rsidR="00C172B6">
        <w:rPr>
          <w:b/>
          <w:sz w:val="28"/>
        </w:rPr>
        <w:br/>
      </w:r>
      <w:r w:rsidRPr="00AE2E1C">
        <w:rPr>
          <w:b/>
          <w:sz w:val="28"/>
        </w:rPr>
        <w:t>(IN-MHEWS)</w:t>
      </w:r>
    </w:p>
    <w:p w:rsidR="002018BF" w:rsidRPr="00AE2E1C" w:rsidRDefault="002018BF" w:rsidP="002018BF">
      <w:pPr>
        <w:autoSpaceDE w:val="0"/>
        <w:autoSpaceDN w:val="0"/>
        <w:adjustRightInd w:val="0"/>
      </w:pPr>
    </w:p>
    <w:p w:rsidR="002018BF" w:rsidRPr="00AE2E1C" w:rsidRDefault="002018BF" w:rsidP="002018BF">
      <w:pPr>
        <w:autoSpaceDE w:val="0"/>
        <w:autoSpaceDN w:val="0"/>
        <w:adjustRightInd w:val="0"/>
      </w:pPr>
      <w:r w:rsidRPr="00AE2E1C">
        <w:t>As identified in the Sendai Framework, EWS</w:t>
      </w:r>
      <w:r w:rsidR="00C172B6">
        <w:t>s</w:t>
      </w:r>
      <w:r w:rsidRPr="00AE2E1C">
        <w:t xml:space="preserve"> have been an important factor in reducing the risk of death and injury from disasters triggered by natural hazards related to weather, climate, and water. Strengthened monitoring and assessment of natural hazards and improved forecasting and warning services have contributed to this progress. Just as important, people increasingly understand the risks posed by natural hazards and the measures they should take to protect themselves and their families.</w:t>
      </w:r>
    </w:p>
    <w:p w:rsidR="002018BF" w:rsidRPr="00AE2E1C" w:rsidRDefault="002018BF" w:rsidP="002018BF">
      <w:pPr>
        <w:autoSpaceDE w:val="0"/>
        <w:autoSpaceDN w:val="0"/>
        <w:adjustRightInd w:val="0"/>
      </w:pPr>
    </w:p>
    <w:p w:rsidR="002018BF" w:rsidRPr="00AE2E1C" w:rsidRDefault="002018BF" w:rsidP="002018BF">
      <w:pPr>
        <w:autoSpaceDE w:val="0"/>
        <w:autoSpaceDN w:val="0"/>
        <w:adjustRightInd w:val="0"/>
      </w:pPr>
      <w:r w:rsidRPr="00AE2E1C">
        <w:t>Advances in socio</w:t>
      </w:r>
      <w:r w:rsidRPr="00AE2E1C">
        <w:rPr>
          <w:rFonts w:ascii="Cambria Math" w:hAnsi="Cambria Math" w:cs="Cambria Math"/>
        </w:rPr>
        <w:t>‐</w:t>
      </w:r>
      <w:r w:rsidRPr="00AE2E1C">
        <w:t>economic development, renewed investment in DRR, and national and international actions to implement the priorities of the HFA over the past decade are among other factors that made this progress possible. These gains need to be sustained in the post</w:t>
      </w:r>
      <w:r w:rsidRPr="00AE2E1C">
        <w:rPr>
          <w:rFonts w:ascii="Cambria Math" w:hAnsi="Cambria Math" w:cs="Cambria Math"/>
        </w:rPr>
        <w:t>‐</w:t>
      </w:r>
      <w:r w:rsidRPr="00AE2E1C">
        <w:t>2015 era.</w:t>
      </w:r>
    </w:p>
    <w:p w:rsidR="002018BF" w:rsidRPr="00AE2E1C" w:rsidRDefault="002018BF" w:rsidP="002018BF">
      <w:pPr>
        <w:autoSpaceDE w:val="0"/>
        <w:autoSpaceDN w:val="0"/>
        <w:adjustRightInd w:val="0"/>
      </w:pPr>
    </w:p>
    <w:p w:rsidR="002018BF" w:rsidRPr="00AE2E1C" w:rsidRDefault="002018BF" w:rsidP="002018BF">
      <w:pPr>
        <w:autoSpaceDE w:val="0"/>
        <w:autoSpaceDN w:val="0"/>
        <w:adjustRightInd w:val="0"/>
      </w:pPr>
      <w:r w:rsidRPr="00AE2E1C">
        <w:t>While good progress has been achieved in strengthening EWS</w:t>
      </w:r>
      <w:r w:rsidR="00C172B6">
        <w:t>s/MHEWSs</w:t>
      </w:r>
      <w:r w:rsidRPr="00AE2E1C">
        <w:t xml:space="preserve"> over the 10 years of implementing the HFA, it is also true that the resulting societal benefits have been spread unevenly </w:t>
      </w:r>
      <w:r w:rsidRPr="00AE2E1C">
        <w:lastRenderedPageBreak/>
        <w:t>across countries and communities. Significant gaps remain, especially in providing services to grassroots communities and poor and vulnerable families.</w:t>
      </w:r>
    </w:p>
    <w:p w:rsidR="002018BF" w:rsidRPr="00AE2E1C" w:rsidRDefault="002018BF" w:rsidP="002018BF">
      <w:pPr>
        <w:autoSpaceDE w:val="0"/>
        <w:autoSpaceDN w:val="0"/>
        <w:adjustRightInd w:val="0"/>
      </w:pPr>
    </w:p>
    <w:p w:rsidR="002018BF" w:rsidRPr="00AE2E1C" w:rsidRDefault="002018BF" w:rsidP="002018BF">
      <w:pPr>
        <w:autoSpaceDE w:val="0"/>
        <w:autoSpaceDN w:val="0"/>
        <w:adjustRightInd w:val="0"/>
      </w:pPr>
      <w:r w:rsidRPr="00AE2E1C">
        <w:t>Furthermore, the cascading impacts of natural hazards and climate change and the growing complexity of human society increasingly magnify the risks and vulnerabilities that people face. The Sendai Framework calls for enhancing and strengthening MHEWS</w:t>
      </w:r>
      <w:r w:rsidR="00F1765E">
        <w:t>s</w:t>
      </w:r>
      <w:r w:rsidRPr="00AE2E1C">
        <w:t>, to develop and invest in regional multi</w:t>
      </w:r>
      <w:r w:rsidRPr="00AE2E1C">
        <w:rPr>
          <w:rFonts w:ascii="Cambria Math" w:hAnsi="Cambria Math" w:cs="Cambria Math"/>
        </w:rPr>
        <w:t>‐</w:t>
      </w:r>
      <w:r w:rsidRPr="00AE2E1C">
        <w:t>hazard early warning mechanisms, and to achieve the global target for MHEWS</w:t>
      </w:r>
      <w:r w:rsidR="00F1765E">
        <w:t>s</w:t>
      </w:r>
      <w:r w:rsidRPr="00AE2E1C">
        <w:t>. MHEWS</w:t>
      </w:r>
      <w:r w:rsidR="00F1765E">
        <w:t>s</w:t>
      </w:r>
      <w:r w:rsidRPr="00AE2E1C">
        <w:t xml:space="preserve"> inform the people of the potential impacts of impending natural hazards, the risks on their lives and livelihoods, and the action they should take. To be effective, this approach entails multi</w:t>
      </w:r>
      <w:r w:rsidRPr="00AE2E1C">
        <w:rPr>
          <w:rFonts w:ascii="Cambria Math" w:hAnsi="Cambria Math" w:cs="Cambria Math"/>
        </w:rPr>
        <w:t>‐</w:t>
      </w:r>
      <w:r w:rsidRPr="00AE2E1C">
        <w:t>stakeholder cooperation and coordination between and among national science, disaster</w:t>
      </w:r>
      <w:r w:rsidRPr="00AE2E1C">
        <w:rPr>
          <w:rFonts w:ascii="Cambria Math" w:hAnsi="Cambria Math" w:cs="Cambria Math"/>
        </w:rPr>
        <w:t>‐</w:t>
      </w:r>
      <w:r w:rsidRPr="00AE2E1C">
        <w:t>risk management agencies, and other relevant stakeholders. It also needs to be combined with actions to make communities more disaster resilient so that they can respond more effectively to natural hazards.</w:t>
      </w:r>
    </w:p>
    <w:p w:rsidR="002018BF" w:rsidRPr="00AE2E1C" w:rsidRDefault="002018BF" w:rsidP="002018BF">
      <w:pPr>
        <w:autoSpaceDE w:val="0"/>
        <w:autoSpaceDN w:val="0"/>
        <w:adjustRightInd w:val="0"/>
      </w:pPr>
    </w:p>
    <w:p w:rsidR="002018BF" w:rsidRPr="00AE2E1C" w:rsidRDefault="002018BF" w:rsidP="002018BF">
      <w:pPr>
        <w:autoSpaceDE w:val="0"/>
        <w:autoSpaceDN w:val="0"/>
        <w:adjustRightInd w:val="0"/>
        <w:rPr>
          <w:i/>
          <w:iCs/>
        </w:rPr>
      </w:pPr>
      <w:r w:rsidRPr="00AE2E1C">
        <w:t xml:space="preserve">In response to the call of Sendai Framework, the </w:t>
      </w:r>
      <w:r w:rsidRPr="00AE2E1C">
        <w:rPr>
          <w:bCs/>
        </w:rPr>
        <w:t xml:space="preserve">International Network for </w:t>
      </w:r>
      <w:r w:rsidR="00F1765E">
        <w:rPr>
          <w:bCs/>
        </w:rPr>
        <w:t>MHEWS</w:t>
      </w:r>
      <w:r w:rsidRPr="00AE2E1C">
        <w:rPr>
          <w:bCs/>
        </w:rPr>
        <w:t>s (IN</w:t>
      </w:r>
      <w:r w:rsidRPr="00AE2E1C">
        <w:rPr>
          <w:rFonts w:ascii="Cambria Math" w:hAnsi="Cambria Math" w:cs="Cambria Math"/>
          <w:bCs/>
        </w:rPr>
        <w:t>‐</w:t>
      </w:r>
      <w:r w:rsidRPr="00AE2E1C">
        <w:rPr>
          <w:bCs/>
        </w:rPr>
        <w:t>MHEWS)</w:t>
      </w:r>
      <w:r w:rsidRPr="00AE2E1C">
        <w:rPr>
          <w:b/>
          <w:bCs/>
        </w:rPr>
        <w:t xml:space="preserve"> </w:t>
      </w:r>
      <w:r w:rsidRPr="00AE2E1C">
        <w:t>is being proposed as a multi</w:t>
      </w:r>
      <w:r w:rsidRPr="00AE2E1C">
        <w:rPr>
          <w:rFonts w:ascii="Cambria Math" w:hAnsi="Cambria Math" w:cs="Cambria Math"/>
        </w:rPr>
        <w:t>‐</w:t>
      </w:r>
      <w:r w:rsidRPr="00AE2E1C">
        <w:t xml:space="preserve">stakeholder partnership that will facilitate the sharing of expertise and </w:t>
      </w:r>
      <w:r w:rsidR="00F1765E">
        <w:t>good</w:t>
      </w:r>
      <w:r w:rsidR="00F1765E" w:rsidRPr="00AE2E1C">
        <w:t xml:space="preserve"> </w:t>
      </w:r>
      <w:r w:rsidRPr="00AE2E1C">
        <w:t>practice on strengthening MHEWS</w:t>
      </w:r>
      <w:r w:rsidR="00F1765E">
        <w:t>s</w:t>
      </w:r>
      <w:r w:rsidRPr="00AE2E1C">
        <w:t xml:space="preserve"> as a national strategy for DRR, climate change adaptation (CCA), and building resilience. In doing so, it will support the implementation of Sendai Framework, including the </w:t>
      </w:r>
      <w:r w:rsidRPr="00AE2E1C">
        <w:rPr>
          <w:i/>
          <w:iCs/>
        </w:rPr>
        <w:t>global DRR target for MHEWS</w:t>
      </w:r>
      <w:r w:rsidR="00F1765E">
        <w:rPr>
          <w:i/>
          <w:iCs/>
        </w:rPr>
        <w:t>s</w:t>
      </w:r>
      <w:r w:rsidRPr="00AE2E1C">
        <w:t xml:space="preserve">, and the </w:t>
      </w:r>
      <w:r w:rsidRPr="00AE2E1C">
        <w:rPr>
          <w:i/>
          <w:iCs/>
        </w:rPr>
        <w:t>UN Plan of Action on DRR for Resilience.</w:t>
      </w:r>
    </w:p>
    <w:p w:rsidR="002018BF" w:rsidRPr="00AE2E1C" w:rsidRDefault="002018BF" w:rsidP="002018BF">
      <w:pPr>
        <w:autoSpaceDE w:val="0"/>
        <w:autoSpaceDN w:val="0"/>
        <w:adjustRightInd w:val="0"/>
        <w:rPr>
          <w:i/>
          <w:iCs/>
        </w:rPr>
      </w:pPr>
    </w:p>
    <w:p w:rsidR="002018BF" w:rsidRDefault="002018BF" w:rsidP="002018BF">
      <w:pPr>
        <w:autoSpaceDE w:val="0"/>
        <w:autoSpaceDN w:val="0"/>
        <w:adjustRightInd w:val="0"/>
      </w:pPr>
      <w:r w:rsidRPr="00AE2E1C">
        <w:t>As a broad</w:t>
      </w:r>
      <w:r w:rsidRPr="00AE2E1C">
        <w:rPr>
          <w:rFonts w:ascii="Cambria Math" w:hAnsi="Cambria Math" w:cs="Cambria Math"/>
        </w:rPr>
        <w:t>‐</w:t>
      </w:r>
      <w:r w:rsidRPr="00AE2E1C">
        <w:t>based networking initiative on early warning, IN</w:t>
      </w:r>
      <w:r w:rsidRPr="00AE2E1C">
        <w:rPr>
          <w:rFonts w:ascii="Cambria Math" w:hAnsi="Cambria Math" w:cs="Cambria Math"/>
        </w:rPr>
        <w:t>‐</w:t>
      </w:r>
      <w:r w:rsidRPr="00AE2E1C">
        <w:t>MHEWS will exemplify the importance of multi</w:t>
      </w:r>
      <w:r w:rsidRPr="00AE2E1C">
        <w:rPr>
          <w:rFonts w:ascii="Cambria Math" w:hAnsi="Cambria Math" w:cs="Cambria Math"/>
        </w:rPr>
        <w:t>‐</w:t>
      </w:r>
      <w:r w:rsidRPr="00AE2E1C">
        <w:t>stakeholder cooperation and synergy in advancing MHEWS</w:t>
      </w:r>
      <w:r w:rsidR="00F1765E">
        <w:t>s</w:t>
      </w:r>
      <w:r w:rsidRPr="00AE2E1C">
        <w:t xml:space="preserve"> and promoting DRR for societal resilience.</w:t>
      </w:r>
    </w:p>
    <w:p w:rsidR="002018BF" w:rsidRPr="002018BF" w:rsidRDefault="002018BF" w:rsidP="004E48B7">
      <w:pPr>
        <w:autoSpaceDE w:val="0"/>
        <w:autoSpaceDN w:val="0"/>
        <w:adjustRightInd w:val="0"/>
      </w:pPr>
    </w:p>
    <w:p w:rsidR="002018BF" w:rsidRPr="00AE2E1C" w:rsidRDefault="002018BF" w:rsidP="002018BF">
      <w:pPr>
        <w:numPr>
          <w:ilvl w:val="0"/>
          <w:numId w:val="12"/>
        </w:numPr>
        <w:tabs>
          <w:tab w:val="clear" w:pos="1134"/>
        </w:tabs>
        <w:jc w:val="left"/>
        <w:rPr>
          <w:b/>
          <w:sz w:val="28"/>
        </w:rPr>
      </w:pPr>
      <w:r w:rsidRPr="00AE2E1C">
        <w:rPr>
          <w:b/>
          <w:sz w:val="28"/>
        </w:rPr>
        <w:t>International Conference on Multi-Hazard Early Warning Systems (IC-MHEWS)</w:t>
      </w:r>
    </w:p>
    <w:p w:rsidR="002018BF" w:rsidRPr="00AE2E1C" w:rsidRDefault="002018BF" w:rsidP="002018BF">
      <w:pPr>
        <w:autoSpaceDE w:val="0"/>
        <w:autoSpaceDN w:val="0"/>
        <w:adjustRightInd w:val="0"/>
      </w:pPr>
    </w:p>
    <w:p w:rsidR="002018BF" w:rsidRPr="00AE2E1C" w:rsidRDefault="002018BF" w:rsidP="002018BF">
      <w:pPr>
        <w:autoSpaceDE w:val="0"/>
        <w:autoSpaceDN w:val="0"/>
        <w:adjustRightInd w:val="0"/>
      </w:pPr>
      <w:r w:rsidRPr="00AE2E1C">
        <w:t>The increasing emphasis on a more holistic multi-hazard approach to early warning advocated by the Sendai Framework defines a new era for early warning services built on good practices and lessons learnt by countries, organizations, and communities and the gains of earlier international efforts to advance EWS</w:t>
      </w:r>
      <w:r w:rsidR="00C172B6">
        <w:t>s</w:t>
      </w:r>
      <w:r w:rsidRPr="00AE2E1C">
        <w:t>. For example, the International Early Warning Programme (IEWP) was first proposed at the Second International Conference on Early Warning (EWC II) held in 2003 in Bonn, Germany. As an implementation mechanism, the Platform for the Promotion of Early Warning (PPEW) was launched in 2004 and remained operational until 2008.</w:t>
      </w:r>
    </w:p>
    <w:p w:rsidR="002018BF" w:rsidRPr="00AE2E1C" w:rsidRDefault="002018BF" w:rsidP="002018BF">
      <w:pPr>
        <w:autoSpaceDE w:val="0"/>
        <w:autoSpaceDN w:val="0"/>
        <w:adjustRightInd w:val="0"/>
      </w:pPr>
    </w:p>
    <w:p w:rsidR="002018BF" w:rsidRPr="00AE2E1C" w:rsidRDefault="002018BF" w:rsidP="002018BF">
      <w:pPr>
        <w:autoSpaceDE w:val="0"/>
        <w:autoSpaceDN w:val="0"/>
        <w:adjustRightInd w:val="0"/>
      </w:pPr>
      <w:r w:rsidRPr="00AE2E1C">
        <w:t>Currently, efforts are needed to determine how MHEWS</w:t>
      </w:r>
      <w:r w:rsidR="00F1765E">
        <w:t>s</w:t>
      </w:r>
      <w:r w:rsidRPr="00AE2E1C">
        <w:t xml:space="preserve"> should use and communicate risk and impact information from multiple sources and integrate technical, social and financial capacities through coordination mechanisms among multi-disciplinary stakeholders, including effective feedback mechanisms for continuous improvement. In this way, a multi-hazard approach to EWS</w:t>
      </w:r>
      <w:r w:rsidR="00C172B6">
        <w:t>s</w:t>
      </w:r>
      <w:r w:rsidRPr="00AE2E1C">
        <w:t xml:space="preserve"> can provide economies of scale and, eventually, sustainability of the system as a whole.</w:t>
      </w:r>
    </w:p>
    <w:p w:rsidR="002018BF" w:rsidRPr="00AE2E1C" w:rsidRDefault="002018BF" w:rsidP="002018BF">
      <w:pPr>
        <w:autoSpaceDE w:val="0"/>
        <w:autoSpaceDN w:val="0"/>
        <w:adjustRightInd w:val="0"/>
      </w:pPr>
    </w:p>
    <w:p w:rsidR="002018BF" w:rsidRPr="00AE2E1C" w:rsidRDefault="002018BF" w:rsidP="002018BF">
      <w:pPr>
        <w:autoSpaceDE w:val="0"/>
        <w:autoSpaceDN w:val="0"/>
        <w:adjustRightInd w:val="0"/>
        <w:rPr>
          <w:color w:val="000000"/>
          <w:shd w:val="clear" w:color="auto" w:fill="FFFFFF"/>
        </w:rPr>
      </w:pPr>
      <w:r w:rsidRPr="00AE2E1C">
        <w:t>Cg-17 noted that for more effective and wider implementation of MHEWS</w:t>
      </w:r>
      <w:r w:rsidR="00F1765E">
        <w:t>s</w:t>
      </w:r>
      <w:r w:rsidRPr="00AE2E1C">
        <w:t>, it is important to document the good practices and other national experiences in implementing MHEWS</w:t>
      </w:r>
      <w:r w:rsidR="00F1765E">
        <w:t>s</w:t>
      </w:r>
      <w:r w:rsidRPr="00AE2E1C">
        <w:t xml:space="preserve"> and prepare guidelines on institutional coordination and cooperation and the role of NMHSs in implementing MHEWS</w:t>
      </w:r>
      <w:r w:rsidR="00F1765E">
        <w:t>s</w:t>
      </w:r>
      <w:r w:rsidRPr="00AE2E1C">
        <w:t xml:space="preserve">. There is also an urgent need for addressing trans-boundary and regional issues in developing and disseminating early warnings. To address these issues, </w:t>
      </w:r>
      <w:r w:rsidR="00F46D6B">
        <w:t>Cg-17</w:t>
      </w:r>
      <w:r w:rsidRPr="00AE2E1C">
        <w:t xml:space="preserve"> encouraged the organization of the International Conference on MHEWS</w:t>
      </w:r>
      <w:r w:rsidR="00F1765E">
        <w:t>s</w:t>
      </w:r>
      <w:r w:rsidRPr="00AE2E1C">
        <w:t xml:space="preserve"> (IC-MHEWS) in 2016, in collaboration with appropriate international, regional and national agencies and institutions. Accordingly, WMO and the </w:t>
      </w:r>
      <w:r w:rsidRPr="00AE2E1C">
        <w:rPr>
          <w:color w:val="000000"/>
          <w:shd w:val="clear" w:color="auto" w:fill="FFFFFF"/>
        </w:rPr>
        <w:t xml:space="preserve">United Nations Office for Disaster Risk Reduction (UNISDR), in collaboration with a number of other </w:t>
      </w:r>
      <w:r w:rsidR="00F46D6B">
        <w:rPr>
          <w:color w:val="000000"/>
          <w:shd w:val="clear" w:color="auto" w:fill="FFFFFF"/>
        </w:rPr>
        <w:t>UN</w:t>
      </w:r>
      <w:r w:rsidRPr="00AE2E1C">
        <w:rPr>
          <w:color w:val="000000"/>
          <w:shd w:val="clear" w:color="auto" w:fill="FFFFFF"/>
        </w:rPr>
        <w:t xml:space="preserve"> agencies, international and regional organizations as well as national agencies from a number of Member States, plan to organize IC-MHEWS in or around December 2016. </w:t>
      </w:r>
    </w:p>
    <w:p w:rsidR="002018BF" w:rsidRPr="00AE2E1C" w:rsidRDefault="002018BF" w:rsidP="002018BF">
      <w:pPr>
        <w:autoSpaceDE w:val="0"/>
        <w:autoSpaceDN w:val="0"/>
        <w:adjustRightInd w:val="0"/>
        <w:rPr>
          <w:color w:val="000000"/>
        </w:rPr>
      </w:pPr>
    </w:p>
    <w:p w:rsidR="002018BF" w:rsidRPr="00AE2E1C" w:rsidRDefault="002018BF" w:rsidP="002018BF">
      <w:pPr>
        <w:autoSpaceDE w:val="0"/>
        <w:autoSpaceDN w:val="0"/>
        <w:adjustRightInd w:val="0"/>
        <w:rPr>
          <w:iCs/>
        </w:rPr>
      </w:pPr>
      <w:r w:rsidRPr="00AE2E1C">
        <w:rPr>
          <w:color w:val="000000"/>
        </w:rPr>
        <w:lastRenderedPageBreak/>
        <w:t xml:space="preserve">The IC-MHEWS will build on the outcomes of the three International Conferences on Early Warning that were held between 1997 and 2006. </w:t>
      </w:r>
      <w:r w:rsidRPr="00AE2E1C">
        <w:t xml:space="preserve">It will also address the priorities highlighted in the UN Plan of Action on DRR for Resilience which was endorsed by the </w:t>
      </w:r>
      <w:r w:rsidR="00F46D6B">
        <w:t>UN</w:t>
      </w:r>
      <w:r w:rsidRPr="00AE2E1C">
        <w:t xml:space="preserve"> Chief Executives Board (CEB) in 2013. IC-MHEWS will appropriately address the call for enhancing and strengthening MHEWS in the Sendai Framework adopted by WCDRR in Sendai, Japan. One of the major outcomes of the Working Session on Early Warning during the Multi-Stakeholder Segment of WCDRR was the endorsement of the proposal for the establishment of an International Network for MHEWS</w:t>
      </w:r>
      <w:r w:rsidR="00F1765E">
        <w:t>s</w:t>
      </w:r>
      <w:r w:rsidRPr="00AE2E1C">
        <w:t xml:space="preserve"> (IN-MHEWS). This multi-stakeholder partnership will facilitate the sharing of expertise and best practice on strengthening MHEWS as a national strategy for DRR, </w:t>
      </w:r>
      <w:r w:rsidR="00F1765E">
        <w:t>CCA</w:t>
      </w:r>
      <w:r w:rsidRPr="00AE2E1C">
        <w:t xml:space="preserve">, and building resilience. In doing so, it will support the implementation of Sendai Framework, including the </w:t>
      </w:r>
      <w:r w:rsidRPr="00AE2E1C">
        <w:rPr>
          <w:iCs/>
        </w:rPr>
        <w:t>global target for MHEWS</w:t>
      </w:r>
      <w:r w:rsidR="00F1765E">
        <w:rPr>
          <w:iCs/>
        </w:rPr>
        <w:t>s</w:t>
      </w:r>
      <w:r w:rsidRPr="00AE2E1C">
        <w:t xml:space="preserve">, and the </w:t>
      </w:r>
      <w:r w:rsidRPr="00AE2E1C">
        <w:rPr>
          <w:iCs/>
        </w:rPr>
        <w:t xml:space="preserve">UN Plan of Action on DRR for Resilience. </w:t>
      </w:r>
    </w:p>
    <w:p w:rsidR="002018BF" w:rsidRPr="00AE2E1C" w:rsidRDefault="002018BF" w:rsidP="002018BF">
      <w:pPr>
        <w:autoSpaceDE w:val="0"/>
        <w:autoSpaceDN w:val="0"/>
        <w:adjustRightInd w:val="0"/>
        <w:rPr>
          <w:iCs/>
        </w:rPr>
      </w:pPr>
    </w:p>
    <w:p w:rsidR="002018BF" w:rsidRPr="00AE2E1C" w:rsidRDefault="002018BF" w:rsidP="002018BF">
      <w:pPr>
        <w:autoSpaceDE w:val="0"/>
        <w:autoSpaceDN w:val="0"/>
        <w:adjustRightInd w:val="0"/>
      </w:pPr>
      <w:r w:rsidRPr="00AE2E1C">
        <w:t xml:space="preserve">The Climate Risk and Early Warning Systems (CREWS) initiative has been launched on 1 December 2015 at the twenty-first session of the Conference of the Parties (COP) and the eleventh session of the Conference of the Parties serving as the meeting of the Parties to the Kyoto Protocol (CMP) – the 2015 Paris Climate Conference (COP21-CMP11) in Paris, France. Implementation of this initiative is supported by WMO, the UNISDR and the World Bank’s Global Facility for Disaster Reduction and Recovery (GFDRR) which are actively involved in reducing the vulnerability and exposure of nations and communities to natural hazards. The governments of Australia, Canada, France, Germany, Luxembourg and The Netherlands have agreed to give more than US$ 80 million to equip up to 80 countries with better climate risk early warning systems. IC-MHEWS will provide a good platform for the participants from these countries to appraise themselves about the latest advances </w:t>
      </w:r>
      <w:r w:rsidR="00F1765E">
        <w:t>with</w:t>
      </w:r>
      <w:r w:rsidRPr="00AE2E1C">
        <w:t xml:space="preserve"> MHEWS</w:t>
      </w:r>
      <w:r w:rsidR="00F1765E">
        <w:t>s</w:t>
      </w:r>
      <w:r w:rsidRPr="00AE2E1C">
        <w:t xml:space="preserve"> and the strategies to implement them in their countries.</w:t>
      </w:r>
    </w:p>
    <w:p w:rsidR="002018BF" w:rsidRPr="00AE2E1C" w:rsidRDefault="002018BF" w:rsidP="002018BF">
      <w:pPr>
        <w:autoSpaceDE w:val="0"/>
        <w:autoSpaceDN w:val="0"/>
        <w:adjustRightInd w:val="0"/>
      </w:pPr>
    </w:p>
    <w:p w:rsidR="002018BF" w:rsidRPr="00AE2E1C" w:rsidRDefault="002018BF" w:rsidP="002018BF">
      <w:pPr>
        <w:autoSpaceDE w:val="0"/>
        <w:autoSpaceDN w:val="0"/>
        <w:adjustRightInd w:val="0"/>
        <w:rPr>
          <w:color w:val="000000"/>
          <w:shd w:val="clear" w:color="auto" w:fill="FFFFFF"/>
        </w:rPr>
      </w:pPr>
      <w:r w:rsidRPr="00AE2E1C">
        <w:rPr>
          <w:iCs/>
        </w:rPr>
        <w:t>Issues related to DRR and particularly to MHEWS</w:t>
      </w:r>
      <w:r w:rsidR="00F1765E">
        <w:rPr>
          <w:iCs/>
        </w:rPr>
        <w:t>s</w:t>
      </w:r>
      <w:r w:rsidRPr="00AE2E1C">
        <w:rPr>
          <w:iCs/>
        </w:rPr>
        <w:t xml:space="preserve"> are closely linked to the </w:t>
      </w:r>
      <w:r w:rsidRPr="00AE2E1C">
        <w:rPr>
          <w:color w:val="211D1E"/>
        </w:rPr>
        <w:t xml:space="preserve">SDGs and the Paris Agreement under the UNFCCC. IC-MHEWS will address these issues and provide the international community with a unique opportunity to present their approaches in the implementation strategies for DRR. For example, </w:t>
      </w:r>
      <w:r w:rsidRPr="00AE2E1C">
        <w:t>the achievements made in MHEWS</w:t>
      </w:r>
      <w:r w:rsidR="00F1765E">
        <w:t>s</w:t>
      </w:r>
      <w:r w:rsidRPr="00AE2E1C">
        <w:t xml:space="preserve"> and associated emergency preparedness and response activities by </w:t>
      </w:r>
      <w:r w:rsidR="00F1765E">
        <w:t xml:space="preserve">for example </w:t>
      </w:r>
      <w:r w:rsidRPr="00AE2E1C">
        <w:t xml:space="preserve">UNESCO, </w:t>
      </w:r>
      <w:r w:rsidR="00F1765E">
        <w:t>UNESCO-</w:t>
      </w:r>
      <w:r w:rsidRPr="00AE2E1C">
        <w:t xml:space="preserve">IOC, UNESCAP, IFRC, FAO, WHO, UNOCHA, UNDP and UNEP are quite relevant. IC-MHEWS will </w:t>
      </w:r>
      <w:r w:rsidRPr="00AE2E1C">
        <w:rPr>
          <w:color w:val="000000"/>
        </w:rPr>
        <w:t>also benefit from early warning-related components of other international conferences, such as the UNISDR Science and Technology Conference on the implementation of the Sendai Framework for DRR 2015-2030 (</w:t>
      </w:r>
      <w:r w:rsidRPr="00AE2E1C">
        <w:rPr>
          <w:color w:val="000000"/>
          <w:shd w:val="clear" w:color="auto" w:fill="FFFFFF"/>
        </w:rPr>
        <w:t>27-29 January 2016).</w:t>
      </w:r>
    </w:p>
    <w:p w:rsidR="002018BF" w:rsidRPr="00AE2E1C" w:rsidRDefault="002018BF" w:rsidP="002018BF">
      <w:pPr>
        <w:autoSpaceDE w:val="0"/>
        <w:autoSpaceDN w:val="0"/>
        <w:adjustRightInd w:val="0"/>
        <w:rPr>
          <w:color w:val="211D1E"/>
        </w:rPr>
      </w:pPr>
    </w:p>
    <w:p w:rsidR="002018BF" w:rsidRPr="00AE2E1C" w:rsidRDefault="002018BF" w:rsidP="002018BF">
      <w:pPr>
        <w:autoSpaceDE w:val="0"/>
        <w:autoSpaceDN w:val="0"/>
        <w:adjustRightInd w:val="0"/>
        <w:rPr>
          <w:b/>
          <w:i/>
          <w:color w:val="211D1E"/>
        </w:rPr>
      </w:pPr>
      <w:r w:rsidRPr="00AE2E1C">
        <w:rPr>
          <w:b/>
          <w:i/>
          <w:color w:val="211D1E"/>
        </w:rPr>
        <w:t>Specific objectives of IC-MHEWS</w:t>
      </w:r>
    </w:p>
    <w:p w:rsidR="002018BF" w:rsidRPr="00AE2E1C" w:rsidRDefault="002018BF" w:rsidP="002018BF">
      <w:pPr>
        <w:autoSpaceDE w:val="0"/>
        <w:autoSpaceDN w:val="0"/>
        <w:adjustRightInd w:val="0"/>
      </w:pPr>
    </w:p>
    <w:p w:rsidR="002018BF" w:rsidRPr="00AE2E1C" w:rsidRDefault="002018BF" w:rsidP="002018BF">
      <w:pPr>
        <w:autoSpaceDE w:val="0"/>
        <w:autoSpaceDN w:val="0"/>
        <w:adjustRightInd w:val="0"/>
      </w:pPr>
      <w:r w:rsidRPr="00AE2E1C">
        <w:t>The main goal of the IC-MHEWS is stock-taking of EWS</w:t>
      </w:r>
      <w:r w:rsidR="00F1765E">
        <w:t>s/MHEWSs</w:t>
      </w:r>
      <w:r w:rsidRPr="00AE2E1C">
        <w:t xml:space="preserve"> and related actors, mechanisms, partnerships, projects, publications, etc. to identify effective strategies and actions needed to promote and strengthen MHEWS</w:t>
      </w:r>
      <w:r w:rsidR="00F1765E">
        <w:t>s</w:t>
      </w:r>
      <w:r w:rsidRPr="00AE2E1C">
        <w:t xml:space="preserve"> in support of the implementation of the Sendai Framework through the following specific objectives:</w:t>
      </w:r>
    </w:p>
    <w:p w:rsidR="002018BF" w:rsidRPr="00AE2E1C" w:rsidRDefault="002018BF" w:rsidP="002018BF">
      <w:pPr>
        <w:autoSpaceDE w:val="0"/>
        <w:autoSpaceDN w:val="0"/>
        <w:adjustRightInd w:val="0"/>
      </w:pPr>
    </w:p>
    <w:p w:rsidR="002018BF" w:rsidRPr="00AE2E1C" w:rsidRDefault="002018BF" w:rsidP="002018BF">
      <w:pPr>
        <w:numPr>
          <w:ilvl w:val="0"/>
          <w:numId w:val="11"/>
        </w:numPr>
        <w:tabs>
          <w:tab w:val="clear" w:pos="1134"/>
        </w:tabs>
        <w:jc w:val="left"/>
      </w:pPr>
      <w:r w:rsidRPr="00AE2E1C">
        <w:t>To review the current status of observation networks, the level of data availability and access at different spatial and temporal scales;</w:t>
      </w:r>
    </w:p>
    <w:p w:rsidR="002018BF" w:rsidRPr="00AE2E1C" w:rsidRDefault="002018BF" w:rsidP="002018BF">
      <w:pPr>
        <w:numPr>
          <w:ilvl w:val="0"/>
          <w:numId w:val="11"/>
        </w:numPr>
        <w:tabs>
          <w:tab w:val="clear" w:pos="1134"/>
        </w:tabs>
        <w:ind w:left="714" w:hanging="357"/>
        <w:jc w:val="left"/>
      </w:pPr>
      <w:r w:rsidRPr="00AE2E1C">
        <w:t>To assess the efficacy of available tools for monitoring, modelling and prediction, including data processing and seasonal forecasts of disaster-related factors and the ways and means to strengthen regional and international cooperation to develop science-based methodologies and tools;</w:t>
      </w:r>
    </w:p>
    <w:p w:rsidR="002018BF" w:rsidRPr="00AE2E1C" w:rsidRDefault="002018BF" w:rsidP="002018BF">
      <w:pPr>
        <w:numPr>
          <w:ilvl w:val="0"/>
          <w:numId w:val="11"/>
        </w:numPr>
        <w:tabs>
          <w:tab w:val="clear" w:pos="1134"/>
        </w:tabs>
        <w:ind w:left="714" w:hanging="357"/>
        <w:jc w:val="left"/>
      </w:pPr>
      <w:r w:rsidRPr="00AE2E1C">
        <w:t>To review the good practices and lessons learnt over the past decade at the national, regional, and international levels in the provision of early warnings and supporting products and services which are delivered to disaster management agencies prior to the occurrence of different hazard events and the level of response achieved in coping with the impacts of the hazards;</w:t>
      </w:r>
    </w:p>
    <w:p w:rsidR="002018BF" w:rsidRPr="00AE2E1C" w:rsidRDefault="002018BF" w:rsidP="002018BF">
      <w:pPr>
        <w:numPr>
          <w:ilvl w:val="0"/>
          <w:numId w:val="11"/>
        </w:numPr>
        <w:tabs>
          <w:tab w:val="clear" w:pos="1134"/>
        </w:tabs>
        <w:ind w:left="714" w:hanging="357"/>
        <w:jc w:val="left"/>
      </w:pPr>
      <w:r w:rsidRPr="00AE2E1C">
        <w:t xml:space="preserve">To discuss and recommend the ways to forge partnerships between the different stakeholders at the national, regional and international levels through voluntary </w:t>
      </w:r>
      <w:r w:rsidRPr="00AE2E1C">
        <w:lastRenderedPageBreak/>
        <w:t>commitments to foster and enhance cooperation, collaboration, and networking on improving EWS</w:t>
      </w:r>
      <w:r w:rsidR="00F1765E">
        <w:t>s</w:t>
      </w:r>
      <w:r w:rsidRPr="00AE2E1C">
        <w:t xml:space="preserve"> with a multi-hazard approach;</w:t>
      </w:r>
    </w:p>
    <w:p w:rsidR="002018BF" w:rsidRPr="00AE2E1C" w:rsidRDefault="002018BF" w:rsidP="002018BF">
      <w:pPr>
        <w:numPr>
          <w:ilvl w:val="0"/>
          <w:numId w:val="11"/>
        </w:numPr>
        <w:tabs>
          <w:tab w:val="clear" w:pos="1134"/>
        </w:tabs>
        <w:ind w:left="714" w:hanging="357"/>
        <w:jc w:val="left"/>
      </w:pPr>
      <w:r w:rsidRPr="00AE2E1C">
        <w:t>To discuss the means to strengthen the interactions with the different user communities as a contribution to the DRR priority of the GFCS;</w:t>
      </w:r>
    </w:p>
    <w:p w:rsidR="002018BF" w:rsidRPr="00AE2E1C" w:rsidRDefault="002018BF" w:rsidP="002018BF">
      <w:pPr>
        <w:numPr>
          <w:ilvl w:val="0"/>
          <w:numId w:val="11"/>
        </w:numPr>
        <w:tabs>
          <w:tab w:val="clear" w:pos="1134"/>
        </w:tabs>
        <w:ind w:left="714" w:hanging="357"/>
        <w:jc w:val="left"/>
      </w:pPr>
      <w:r w:rsidRPr="00AE2E1C">
        <w:t>To review current communication strategies for early warnings at the national and local levels and recommend the appropriate ways and means to ensure timely and understandable communications to the disaster management authorities, media and user communities; and,</w:t>
      </w:r>
    </w:p>
    <w:p w:rsidR="002018BF" w:rsidRPr="00AE2E1C" w:rsidRDefault="002018BF" w:rsidP="002018BF">
      <w:pPr>
        <w:numPr>
          <w:ilvl w:val="0"/>
          <w:numId w:val="11"/>
        </w:numPr>
        <w:tabs>
          <w:tab w:val="clear" w:pos="1134"/>
        </w:tabs>
        <w:ind w:left="714" w:hanging="357"/>
        <w:jc w:val="left"/>
      </w:pPr>
      <w:r w:rsidRPr="00AE2E1C">
        <w:t xml:space="preserve">To discuss and recommend capacity development strategies for improving the response capacities, particularly in the developing countries. </w:t>
      </w:r>
    </w:p>
    <w:p w:rsidR="002018BF" w:rsidRPr="004E48B7" w:rsidRDefault="002018BF" w:rsidP="004E48B7"/>
    <w:p w:rsidR="002018BF" w:rsidRPr="00AE2E1C" w:rsidRDefault="002018BF" w:rsidP="002018BF">
      <w:pPr>
        <w:autoSpaceDE w:val="0"/>
        <w:autoSpaceDN w:val="0"/>
        <w:adjustRightInd w:val="0"/>
        <w:rPr>
          <w:b/>
          <w:i/>
          <w:color w:val="211D1E"/>
        </w:rPr>
      </w:pPr>
      <w:r w:rsidRPr="00AE2E1C">
        <w:rPr>
          <w:b/>
          <w:i/>
          <w:color w:val="211D1E"/>
        </w:rPr>
        <w:t>Expected outcomes of IC-MHEWS</w:t>
      </w:r>
    </w:p>
    <w:p w:rsidR="002018BF" w:rsidRPr="00AE2E1C" w:rsidRDefault="002018BF" w:rsidP="002018BF"/>
    <w:p w:rsidR="002018BF" w:rsidRPr="00AE2E1C" w:rsidRDefault="002018BF" w:rsidP="002018BF">
      <w:r w:rsidRPr="00AE2E1C">
        <w:t>In view of the growing frequency and intensity of especially hydrometeorological hazards in recent decades, there is an urgent need to take pro-active actions through MHEWS</w:t>
      </w:r>
      <w:r w:rsidR="00F1765E">
        <w:t>s</w:t>
      </w:r>
      <w:r w:rsidRPr="00AE2E1C">
        <w:t xml:space="preserve">. The participation of experts from different </w:t>
      </w:r>
      <w:r w:rsidRPr="00AE2E1C">
        <w:rPr>
          <w:color w:val="000000"/>
          <w:shd w:val="clear" w:color="auto" w:fill="FFFFFF"/>
        </w:rPr>
        <w:t xml:space="preserve">international and regional organizations, key national agencies from different parts of the world and representatives of different user communities </w:t>
      </w:r>
      <w:r w:rsidRPr="00AE2E1C">
        <w:t>would facilitate comprehensive discussions on the different strategies and actions needed to promote and strengthen MHEWS</w:t>
      </w:r>
      <w:r w:rsidR="00F1765E">
        <w:t>s</w:t>
      </w:r>
      <w:r w:rsidRPr="00AE2E1C">
        <w:t xml:space="preserve"> in support of the implementation of Sendai Framework. The Conference Declaration</w:t>
      </w:r>
      <w:r w:rsidR="00F1765E">
        <w:t>,</w:t>
      </w:r>
      <w:r w:rsidRPr="00AE2E1C">
        <w:t xml:space="preserve"> to be reviewed and adopted by the participants in the final session of the </w:t>
      </w:r>
      <w:r w:rsidR="00F1765E">
        <w:t>C</w:t>
      </w:r>
      <w:r w:rsidRPr="00AE2E1C">
        <w:t>onference</w:t>
      </w:r>
      <w:r w:rsidR="00F1765E">
        <w:t>,</w:t>
      </w:r>
      <w:r w:rsidRPr="00AE2E1C">
        <w:t xml:space="preserve"> will highlight these strategies and actions and will present a set of recommendations addressed to different stakeholders, especially government authorities, </w:t>
      </w:r>
      <w:r w:rsidR="00F1765E">
        <w:t xml:space="preserve">on how </w:t>
      </w:r>
      <w:r w:rsidRPr="00AE2E1C">
        <w:t>to strengthen the MHEWS</w:t>
      </w:r>
      <w:r w:rsidR="00F1765E">
        <w:t>s</w:t>
      </w:r>
      <w:r w:rsidRPr="00AE2E1C">
        <w:t>. It is planned to publish the proceedings of the Conference and/or to publish selected papers and session summaries in a peer-reviewed journal.</w:t>
      </w:r>
    </w:p>
    <w:p w:rsidR="002018BF" w:rsidRPr="00AE2E1C" w:rsidRDefault="002018BF" w:rsidP="002018BF">
      <w:pPr>
        <w:rPr>
          <w:bCs/>
        </w:rPr>
      </w:pPr>
    </w:p>
    <w:p w:rsidR="002018BF" w:rsidRPr="00AE2E1C" w:rsidRDefault="002018BF" w:rsidP="002018BF">
      <w:pPr>
        <w:keepNext/>
        <w:keepLines/>
        <w:autoSpaceDE w:val="0"/>
        <w:autoSpaceDN w:val="0"/>
        <w:adjustRightInd w:val="0"/>
        <w:rPr>
          <w:b/>
          <w:i/>
          <w:color w:val="211D1E"/>
        </w:rPr>
      </w:pPr>
      <w:r w:rsidRPr="00AE2E1C">
        <w:rPr>
          <w:b/>
          <w:i/>
          <w:color w:val="211D1E"/>
        </w:rPr>
        <w:t>Suggested key partners in the planning and organization of IC-MHEWS</w:t>
      </w:r>
    </w:p>
    <w:p w:rsidR="002018BF" w:rsidRPr="00AE2E1C" w:rsidRDefault="002018BF" w:rsidP="002018BF">
      <w:pPr>
        <w:keepNext/>
        <w:keepLines/>
        <w:rPr>
          <w:color w:val="000000"/>
          <w:shd w:val="clear" w:color="auto" w:fill="FFFFFF"/>
        </w:rPr>
      </w:pPr>
    </w:p>
    <w:p w:rsidR="002018BF" w:rsidRPr="00AE2E1C" w:rsidRDefault="002018BF" w:rsidP="002018BF">
      <w:pPr>
        <w:rPr>
          <w:color w:val="000000"/>
          <w:shd w:val="clear" w:color="auto" w:fill="FFFFFF"/>
        </w:rPr>
      </w:pPr>
      <w:r w:rsidRPr="00AE2E1C">
        <w:rPr>
          <w:color w:val="000000"/>
          <w:shd w:val="clear" w:color="auto" w:fill="FFFFFF"/>
        </w:rPr>
        <w:t>Given the importance and interest in MHEWS</w:t>
      </w:r>
      <w:r w:rsidR="00F1765E">
        <w:rPr>
          <w:color w:val="000000"/>
          <w:shd w:val="clear" w:color="auto" w:fill="FFFFFF"/>
        </w:rPr>
        <w:t>s</w:t>
      </w:r>
      <w:r w:rsidRPr="00AE2E1C">
        <w:rPr>
          <w:color w:val="000000"/>
          <w:shd w:val="clear" w:color="auto" w:fill="FFFFFF"/>
        </w:rPr>
        <w:t xml:space="preserve">, it will be important to seek a group of key partners from the </w:t>
      </w:r>
      <w:r w:rsidR="00F46D6B">
        <w:rPr>
          <w:color w:val="000000"/>
          <w:shd w:val="clear" w:color="auto" w:fill="FFFFFF"/>
        </w:rPr>
        <w:t>UN</w:t>
      </w:r>
      <w:r w:rsidRPr="00AE2E1C">
        <w:rPr>
          <w:color w:val="000000"/>
          <w:shd w:val="clear" w:color="auto" w:fill="FFFFFF"/>
        </w:rPr>
        <w:t xml:space="preserve"> agencies, other international and regional organizations together with key national organizations and this is being pursued by the </w:t>
      </w:r>
      <w:r w:rsidR="00F1765E">
        <w:rPr>
          <w:color w:val="000000"/>
          <w:shd w:val="clear" w:color="auto" w:fill="FFFFFF"/>
        </w:rPr>
        <w:t>WMO-</w:t>
      </w:r>
      <w:r w:rsidRPr="00AE2E1C">
        <w:rPr>
          <w:color w:val="000000"/>
          <w:shd w:val="clear" w:color="auto" w:fill="FFFFFF"/>
        </w:rPr>
        <w:t xml:space="preserve">internal and </w:t>
      </w:r>
      <w:r w:rsidR="00BE4644">
        <w:rPr>
          <w:color w:val="000000"/>
          <w:shd w:val="clear" w:color="auto" w:fill="FFFFFF"/>
        </w:rPr>
        <w:t>international</w:t>
      </w:r>
      <w:r w:rsidRPr="00AE2E1C">
        <w:rPr>
          <w:color w:val="000000"/>
          <w:shd w:val="clear" w:color="auto" w:fill="FFFFFF"/>
        </w:rPr>
        <w:t xml:space="preserve"> coordination committees which are in the process of being formed.</w:t>
      </w:r>
    </w:p>
    <w:p w:rsidR="002018BF" w:rsidRPr="00AE2E1C" w:rsidRDefault="002018BF" w:rsidP="002018BF">
      <w:pPr>
        <w:rPr>
          <w:color w:val="000000"/>
          <w:shd w:val="clear" w:color="auto" w:fill="FFFFFF"/>
        </w:rPr>
      </w:pPr>
    </w:p>
    <w:p w:rsidR="002018BF" w:rsidRPr="00AE2E1C" w:rsidRDefault="002018BF" w:rsidP="002018BF">
      <w:pPr>
        <w:autoSpaceDE w:val="0"/>
        <w:autoSpaceDN w:val="0"/>
        <w:adjustRightInd w:val="0"/>
        <w:rPr>
          <w:b/>
          <w:i/>
          <w:color w:val="211D1E"/>
        </w:rPr>
      </w:pPr>
      <w:r w:rsidRPr="00AE2E1C">
        <w:rPr>
          <w:b/>
          <w:i/>
          <w:color w:val="211D1E"/>
        </w:rPr>
        <w:t>Topics for discussion on IC-MHEWS</w:t>
      </w:r>
    </w:p>
    <w:p w:rsidR="002018BF" w:rsidRPr="00AE2E1C" w:rsidRDefault="002018BF" w:rsidP="002018BF">
      <w:pPr>
        <w:rPr>
          <w:color w:val="000000"/>
          <w:shd w:val="clear" w:color="auto" w:fill="FFFFFF"/>
        </w:rPr>
      </w:pPr>
    </w:p>
    <w:p w:rsidR="002018BF" w:rsidRPr="002018BF" w:rsidRDefault="002018BF" w:rsidP="004E48B7">
      <w:r w:rsidRPr="00AE2E1C">
        <w:rPr>
          <w:color w:val="000000"/>
          <w:shd w:val="clear" w:color="auto" w:fill="FFFFFF"/>
        </w:rPr>
        <w:t xml:space="preserve">The </w:t>
      </w:r>
      <w:r w:rsidR="00F1765E">
        <w:rPr>
          <w:color w:val="000000"/>
          <w:shd w:val="clear" w:color="auto" w:fill="FFFFFF"/>
        </w:rPr>
        <w:t xml:space="preserve">discussion under the IC-MHEWS item could focus on i) </w:t>
      </w:r>
      <w:r w:rsidRPr="00AE2E1C">
        <w:rPr>
          <w:color w:val="000000"/>
          <w:shd w:val="clear" w:color="auto" w:fill="FFFFFF"/>
        </w:rPr>
        <w:t>mechanisms, partnerships and projects needed to identify effective strategies and actions to promote and strengthen MHEWS</w:t>
      </w:r>
      <w:r w:rsidR="00F1765E">
        <w:rPr>
          <w:color w:val="000000"/>
          <w:shd w:val="clear" w:color="auto" w:fill="FFFFFF"/>
        </w:rPr>
        <w:t>s</w:t>
      </w:r>
      <w:r w:rsidRPr="00AE2E1C">
        <w:rPr>
          <w:color w:val="000000"/>
          <w:shd w:val="clear" w:color="auto" w:fill="FFFFFF"/>
        </w:rPr>
        <w:t xml:space="preserve"> in support of the implementation of the Sendai Framework (such as IN-MHEWS and its respective regional networks for MHEWS</w:t>
      </w:r>
      <w:r w:rsidR="00F1765E">
        <w:rPr>
          <w:color w:val="000000"/>
          <w:shd w:val="clear" w:color="auto" w:fill="FFFFFF"/>
        </w:rPr>
        <w:t>s</w:t>
      </w:r>
      <w:r w:rsidRPr="00AE2E1C">
        <w:rPr>
          <w:color w:val="000000"/>
          <w:shd w:val="clear" w:color="auto" w:fill="FFFFFF"/>
        </w:rPr>
        <w:t xml:space="preserve">); </w:t>
      </w:r>
      <w:r w:rsidR="00F1765E">
        <w:rPr>
          <w:color w:val="000000"/>
          <w:shd w:val="clear" w:color="auto" w:fill="FFFFFF"/>
        </w:rPr>
        <w:t xml:space="preserve">ii) </w:t>
      </w:r>
      <w:r w:rsidRPr="00AE2E1C">
        <w:rPr>
          <w:color w:val="000000"/>
          <w:shd w:val="clear" w:color="auto" w:fill="FFFFFF"/>
        </w:rPr>
        <w:t xml:space="preserve">the ways and means to strengthen regional and international cooperation to develop science-based methodologies and tools; </w:t>
      </w:r>
      <w:r w:rsidR="00F1765E">
        <w:rPr>
          <w:color w:val="000000"/>
          <w:shd w:val="clear" w:color="auto" w:fill="FFFFFF"/>
        </w:rPr>
        <w:t xml:space="preserve">and iii) </w:t>
      </w:r>
      <w:r w:rsidRPr="00AE2E1C">
        <w:rPr>
          <w:color w:val="000000"/>
          <w:shd w:val="clear" w:color="auto" w:fill="FFFFFF"/>
        </w:rPr>
        <w:t>capacity development strategies for improving response capacities, particularly in developing and least developed countries.</w:t>
      </w:r>
    </w:p>
    <w:sectPr w:rsidR="002018BF" w:rsidRPr="002018BF" w:rsidSect="0020095E">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1FE" w:rsidRDefault="006B21FE">
      <w:r>
        <w:separator/>
      </w:r>
    </w:p>
    <w:p w:rsidR="006B21FE" w:rsidRDefault="006B21FE"/>
  </w:endnote>
  <w:endnote w:type="continuationSeparator" w:id="0">
    <w:p w:rsidR="006B21FE" w:rsidRDefault="006B21FE">
      <w:r>
        <w:continuationSeparator/>
      </w:r>
    </w:p>
    <w:p w:rsidR="006B21FE" w:rsidRDefault="006B2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1FE" w:rsidRDefault="006B21FE">
      <w:r>
        <w:separator/>
      </w:r>
    </w:p>
    <w:p w:rsidR="006B21FE" w:rsidRDefault="006B21FE"/>
  </w:footnote>
  <w:footnote w:type="continuationSeparator" w:id="0">
    <w:p w:rsidR="006B21FE" w:rsidRDefault="006B21FE">
      <w:r>
        <w:continuationSeparator/>
      </w:r>
    </w:p>
    <w:p w:rsidR="006B21FE" w:rsidRDefault="006B21FE"/>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404E23" w:rsidRDefault="006B21FE" w:rsidP="00404E23">
    <w:pPr>
      <w:pStyle w:val="Header"/>
      <w:tabs>
        <w:tab w:val="clear" w:pos="1134"/>
        <w:tab w:val="clear" w:pos="4153"/>
        <w:tab w:val="clear" w:pos="8306"/>
      </w:tabs>
      <w:spacing w:after="360"/>
      <w:rPr>
        <w:lang w:val="de-DE"/>
      </w:rPr>
    </w:pPr>
    <w:r>
      <w:rPr>
        <w:lang w:val="de-DE"/>
      </w:rPr>
      <w:t>CBS-MG-16</w:t>
    </w:r>
    <w:r w:rsidR="0020095E">
      <w:rPr>
        <w:lang w:val="de-DE"/>
      </w:rPr>
      <w:t xml:space="preserve">/Doc. </w:t>
    </w:r>
    <w:r w:rsidR="0072248A">
      <w:rPr>
        <w:lang w:val="de-DE"/>
      </w:rPr>
      <w:t>D13</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3B10D4">
      <w:rPr>
        <w:rStyle w:val="PageNumber"/>
        <w:noProof/>
        <w:lang w:val="de-DE"/>
      </w:rPr>
      <w:t>28</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C28"/>
    <w:multiLevelType w:val="multilevel"/>
    <w:tmpl w:val="2F5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52D4E27"/>
    <w:multiLevelType w:val="hybridMultilevel"/>
    <w:tmpl w:val="EEBE7B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CB04F8"/>
    <w:multiLevelType w:val="hybridMultilevel"/>
    <w:tmpl w:val="7FBE1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0D0713"/>
    <w:multiLevelType w:val="hybridMultilevel"/>
    <w:tmpl w:val="A5F674D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17BC4BFD"/>
    <w:multiLevelType w:val="hybridMultilevel"/>
    <w:tmpl w:val="E59AD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55588"/>
    <w:multiLevelType w:val="hybridMultilevel"/>
    <w:tmpl w:val="C14C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046547"/>
    <w:multiLevelType w:val="hybridMultilevel"/>
    <w:tmpl w:val="A5F674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BA1665"/>
    <w:multiLevelType w:val="hybridMultilevel"/>
    <w:tmpl w:val="A5F674D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F920F43"/>
    <w:multiLevelType w:val="hybridMultilevel"/>
    <w:tmpl w:val="3D565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626EF3"/>
    <w:multiLevelType w:val="multilevel"/>
    <w:tmpl w:val="2DEAE25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4BB9451F"/>
    <w:multiLevelType w:val="hybridMultilevel"/>
    <w:tmpl w:val="A5F674D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E8B7D6C"/>
    <w:multiLevelType w:val="hybridMultilevel"/>
    <w:tmpl w:val="E04EB888"/>
    <w:lvl w:ilvl="0" w:tplc="F6106CC4">
      <w:start w:val="1"/>
      <w:numFmt w:val="lowerRoman"/>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5F004243"/>
    <w:multiLevelType w:val="multilevel"/>
    <w:tmpl w:val="2DEAE25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nsid w:val="622F63F4"/>
    <w:multiLevelType w:val="multilevel"/>
    <w:tmpl w:val="2DEAE25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6FC077DF"/>
    <w:multiLevelType w:val="hybridMultilevel"/>
    <w:tmpl w:val="DCAAE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5B75B5"/>
    <w:multiLevelType w:val="hybridMultilevel"/>
    <w:tmpl w:val="06624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85D664C"/>
    <w:multiLevelType w:val="hybridMultilevel"/>
    <w:tmpl w:val="A5F674D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5"/>
  </w:num>
  <w:num w:numId="14">
    <w:abstractNumId w:val="4"/>
  </w:num>
  <w:num w:numId="15">
    <w:abstractNumId w:val="3"/>
  </w:num>
  <w:num w:numId="16">
    <w:abstractNumId w:val="2"/>
  </w:num>
  <w:num w:numId="17">
    <w:abstractNumId w:val="8"/>
  </w:num>
  <w:num w:numId="18">
    <w:abstractNumId w:val="14"/>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378DB"/>
    <w:rsid w:val="00180771"/>
    <w:rsid w:val="001C5462"/>
    <w:rsid w:val="001D6302"/>
    <w:rsid w:val="0020095E"/>
    <w:rsid w:val="002018BF"/>
    <w:rsid w:val="00205252"/>
    <w:rsid w:val="00295593"/>
    <w:rsid w:val="002E3FAD"/>
    <w:rsid w:val="0032424A"/>
    <w:rsid w:val="00394A05"/>
    <w:rsid w:val="00397880"/>
    <w:rsid w:val="003B10D4"/>
    <w:rsid w:val="003F7B3F"/>
    <w:rsid w:val="00404E23"/>
    <w:rsid w:val="0041078D"/>
    <w:rsid w:val="004A140B"/>
    <w:rsid w:val="004B7BAA"/>
    <w:rsid w:val="004C2DF7"/>
    <w:rsid w:val="004C4E0B"/>
    <w:rsid w:val="004E48B7"/>
    <w:rsid w:val="004F6B46"/>
    <w:rsid w:val="00546D8E"/>
    <w:rsid w:val="00571AE1"/>
    <w:rsid w:val="00580D15"/>
    <w:rsid w:val="005B1736"/>
    <w:rsid w:val="005C3DF6"/>
    <w:rsid w:val="00610DC1"/>
    <w:rsid w:val="00615AB0"/>
    <w:rsid w:val="00630261"/>
    <w:rsid w:val="006508EA"/>
    <w:rsid w:val="006A492A"/>
    <w:rsid w:val="006B21FE"/>
    <w:rsid w:val="00716951"/>
    <w:rsid w:val="0072248A"/>
    <w:rsid w:val="00770D78"/>
    <w:rsid w:val="00771A68"/>
    <w:rsid w:val="007E7D21"/>
    <w:rsid w:val="007F482F"/>
    <w:rsid w:val="00807CC5"/>
    <w:rsid w:val="00831751"/>
    <w:rsid w:val="00835B42"/>
    <w:rsid w:val="00847D99"/>
    <w:rsid w:val="0086271D"/>
    <w:rsid w:val="008B7FC7"/>
    <w:rsid w:val="008C14F3"/>
    <w:rsid w:val="008E1E4A"/>
    <w:rsid w:val="008F0615"/>
    <w:rsid w:val="008F1FDB"/>
    <w:rsid w:val="00933498"/>
    <w:rsid w:val="00975D76"/>
    <w:rsid w:val="00982E51"/>
    <w:rsid w:val="009C4C04"/>
    <w:rsid w:val="009F7566"/>
    <w:rsid w:val="00A06BFE"/>
    <w:rsid w:val="00A13342"/>
    <w:rsid w:val="00A26241"/>
    <w:rsid w:val="00A35DDF"/>
    <w:rsid w:val="00A60FE6"/>
    <w:rsid w:val="00A7170F"/>
    <w:rsid w:val="00A95415"/>
    <w:rsid w:val="00AD76E8"/>
    <w:rsid w:val="00AF638A"/>
    <w:rsid w:val="00B009AA"/>
    <w:rsid w:val="00B030C8"/>
    <w:rsid w:val="00B056E7"/>
    <w:rsid w:val="00B10035"/>
    <w:rsid w:val="00B165E6"/>
    <w:rsid w:val="00B33BC5"/>
    <w:rsid w:val="00B35949"/>
    <w:rsid w:val="00B5172B"/>
    <w:rsid w:val="00B548A2"/>
    <w:rsid w:val="00BE4644"/>
    <w:rsid w:val="00C13EEC"/>
    <w:rsid w:val="00C172B6"/>
    <w:rsid w:val="00C42C95"/>
    <w:rsid w:val="00C720A4"/>
    <w:rsid w:val="00C758F6"/>
    <w:rsid w:val="00C7611C"/>
    <w:rsid w:val="00CA50FA"/>
    <w:rsid w:val="00CA7330"/>
    <w:rsid w:val="00CB163D"/>
    <w:rsid w:val="00D05E6F"/>
    <w:rsid w:val="00D44BAD"/>
    <w:rsid w:val="00D7097B"/>
    <w:rsid w:val="00DB1AB2"/>
    <w:rsid w:val="00DE76CC"/>
    <w:rsid w:val="00E00498"/>
    <w:rsid w:val="00E17703"/>
    <w:rsid w:val="00E2617A"/>
    <w:rsid w:val="00E50A86"/>
    <w:rsid w:val="00E538E6"/>
    <w:rsid w:val="00E802A2"/>
    <w:rsid w:val="00ED67AF"/>
    <w:rsid w:val="00EE128C"/>
    <w:rsid w:val="00EF66D9"/>
    <w:rsid w:val="00EF780D"/>
    <w:rsid w:val="00F0267E"/>
    <w:rsid w:val="00F1765E"/>
    <w:rsid w:val="00F46D6B"/>
    <w:rsid w:val="00F47067"/>
    <w:rsid w:val="00F474C9"/>
    <w:rsid w:val="00F47A76"/>
    <w:rsid w:val="00FE4303"/>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uiPriority w:val="59"/>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ListParagraph">
    <w:name w:val="List Paragraph"/>
    <w:basedOn w:val="Normal"/>
    <w:uiPriority w:val="34"/>
    <w:qFormat/>
    <w:rsid w:val="005B1736"/>
    <w:pPr>
      <w:ind w:left="720"/>
      <w:contextualSpacing/>
    </w:pPr>
  </w:style>
  <w:style w:type="paragraph" w:styleId="NormalWeb">
    <w:name w:val="Normal (Web)"/>
    <w:basedOn w:val="Normal"/>
    <w:uiPriority w:val="99"/>
    <w:unhideWhenUsed/>
    <w:rsid w:val="001378DB"/>
    <w:pPr>
      <w:tabs>
        <w:tab w:val="clear" w:pos="1134"/>
      </w:tabs>
      <w:spacing w:before="100" w:beforeAutospacing="1" w:after="100" w:afterAutospacing="1"/>
      <w:jc w:val="left"/>
    </w:pPr>
    <w:rPr>
      <w:rFonts w:ascii="Times New Roman" w:eastAsia="Times New Roman" w:hAnsi="Times New Roman" w:cs="Times New Roman"/>
      <w:sz w:val="24"/>
      <w:szCs w:val="24"/>
      <w:lang w:eastAsia="zh-TW"/>
    </w:rPr>
  </w:style>
  <w:style w:type="paragraph" w:styleId="Caption">
    <w:name w:val="caption"/>
    <w:basedOn w:val="Normal"/>
    <w:next w:val="Normal"/>
    <w:uiPriority w:val="35"/>
    <w:semiHidden/>
    <w:unhideWhenUsed/>
    <w:qFormat/>
    <w:rsid w:val="00933498"/>
    <w:pPr>
      <w:tabs>
        <w:tab w:val="clear" w:pos="1134"/>
      </w:tabs>
      <w:spacing w:after="120"/>
      <w:jc w:val="left"/>
    </w:pPr>
    <w:rPr>
      <w:rFonts w:eastAsiaTheme="minorEastAsia" w:cstheme="minorBidi"/>
      <w:b/>
      <w:bCs/>
      <w:color w:val="4F81BD" w:themeColor="accent1"/>
      <w:sz w:val="20"/>
      <w:szCs w:val="18"/>
      <w:lang w:val="en-US" w:eastAsia="zh-TW"/>
    </w:rPr>
  </w:style>
  <w:style w:type="paragraph" w:styleId="Revision">
    <w:name w:val="Revision"/>
    <w:hidden/>
    <w:rsid w:val="004E48B7"/>
    <w:rPr>
      <w:rFonts w:ascii="Arial" w:eastAsia="Arial" w:hAnsi="Arial" w:cs="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Table Grid" w:uiPriority="5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uiPriority w:val="59"/>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ListParagraph">
    <w:name w:val="List Paragraph"/>
    <w:basedOn w:val="Normal"/>
    <w:uiPriority w:val="34"/>
    <w:qFormat/>
    <w:rsid w:val="005B1736"/>
    <w:pPr>
      <w:ind w:left="720"/>
      <w:contextualSpacing/>
    </w:pPr>
  </w:style>
  <w:style w:type="paragraph" w:styleId="NormalWeb">
    <w:name w:val="Normal (Web)"/>
    <w:basedOn w:val="Normal"/>
    <w:uiPriority w:val="99"/>
    <w:unhideWhenUsed/>
    <w:rsid w:val="001378DB"/>
    <w:pPr>
      <w:tabs>
        <w:tab w:val="clear" w:pos="1134"/>
      </w:tabs>
      <w:spacing w:before="100" w:beforeAutospacing="1" w:after="100" w:afterAutospacing="1"/>
      <w:jc w:val="left"/>
    </w:pPr>
    <w:rPr>
      <w:rFonts w:ascii="Times New Roman" w:eastAsia="Times New Roman" w:hAnsi="Times New Roman" w:cs="Times New Roman"/>
      <w:sz w:val="24"/>
      <w:szCs w:val="24"/>
      <w:lang w:eastAsia="zh-TW"/>
    </w:rPr>
  </w:style>
  <w:style w:type="paragraph" w:styleId="Caption">
    <w:name w:val="caption"/>
    <w:basedOn w:val="Normal"/>
    <w:next w:val="Normal"/>
    <w:uiPriority w:val="35"/>
    <w:semiHidden/>
    <w:unhideWhenUsed/>
    <w:qFormat/>
    <w:rsid w:val="00933498"/>
    <w:pPr>
      <w:tabs>
        <w:tab w:val="clear" w:pos="1134"/>
      </w:tabs>
      <w:spacing w:after="120"/>
      <w:jc w:val="left"/>
    </w:pPr>
    <w:rPr>
      <w:rFonts w:eastAsiaTheme="minorEastAsia" w:cstheme="minorBidi"/>
      <w:b/>
      <w:bCs/>
      <w:color w:val="4F81BD" w:themeColor="accent1"/>
      <w:sz w:val="20"/>
      <w:szCs w:val="18"/>
      <w:lang w:val="en-US" w:eastAsia="zh-TW"/>
    </w:rPr>
  </w:style>
  <w:style w:type="paragraph" w:styleId="Revision">
    <w:name w:val="Revision"/>
    <w:hidden/>
    <w:rsid w:val="004E48B7"/>
    <w:rPr>
      <w:rFonts w:ascii="Arial" w:eastAsia="Arial" w:hAnsi="Arial" w:cs="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704031">
      <w:bodyDiv w:val="1"/>
      <w:marLeft w:val="0"/>
      <w:marRight w:val="0"/>
      <w:marTop w:val="0"/>
      <w:marBottom w:val="0"/>
      <w:divBdr>
        <w:top w:val="none" w:sz="0" w:space="0" w:color="auto"/>
        <w:left w:val="none" w:sz="0" w:space="0" w:color="auto"/>
        <w:bottom w:val="none" w:sz="0" w:space="0" w:color="auto"/>
        <w:right w:val="none" w:sz="0" w:space="0" w:color="auto"/>
      </w:divBdr>
    </w:div>
    <w:div w:id="1014456548">
      <w:bodyDiv w:val="1"/>
      <w:marLeft w:val="0"/>
      <w:marRight w:val="0"/>
      <w:marTop w:val="0"/>
      <w:marBottom w:val="0"/>
      <w:divBdr>
        <w:top w:val="none" w:sz="0" w:space="0" w:color="auto"/>
        <w:left w:val="none" w:sz="0" w:space="0" w:color="auto"/>
        <w:bottom w:val="none" w:sz="0" w:space="0" w:color="auto"/>
        <w:right w:val="none" w:sz="0" w:space="0" w:color="auto"/>
      </w:divBdr>
    </w:div>
    <w:div w:id="1142771532">
      <w:bodyDiv w:val="1"/>
      <w:marLeft w:val="0"/>
      <w:marRight w:val="0"/>
      <w:marTop w:val="0"/>
      <w:marBottom w:val="0"/>
      <w:divBdr>
        <w:top w:val="none" w:sz="0" w:space="0" w:color="auto"/>
        <w:left w:val="none" w:sz="0" w:space="0" w:color="auto"/>
        <w:bottom w:val="none" w:sz="0" w:space="0" w:color="auto"/>
        <w:right w:val="none" w:sz="0" w:space="0" w:color="auto"/>
      </w:divBdr>
    </w:div>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 w:id="189111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mo.int/pages/themes/hazards/index_en.html" TargetMode="External"/><Relationship Id="rId5" Type="http://schemas.openxmlformats.org/officeDocument/2006/relationships/settings" Target="settings.xml"/><Relationship Id="rId10" Type="http://schemas.openxmlformats.org/officeDocument/2006/relationships/hyperlink" Target="http://www.wmo.int/pages/prog/drr/" TargetMode="Externa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72E16-71B7-4D7F-8AA9-DD61606A6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WMO-Session-Template_en.dotx</Template>
  <TotalTime>30</TotalTime>
  <Pages>28</Pages>
  <Words>12859</Words>
  <Characters>73302</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85990</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James Douris</cp:lastModifiedBy>
  <cp:revision>10</cp:revision>
  <cp:lastPrinted>2016-02-09T13:38:00Z</cp:lastPrinted>
  <dcterms:created xsi:type="dcterms:W3CDTF">2016-02-09T09:19:00Z</dcterms:created>
  <dcterms:modified xsi:type="dcterms:W3CDTF">2016-02-10T07:43:00Z</dcterms:modified>
</cp:coreProperties>
</file>