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B05BBA">
            <w:pPr>
              <w:pStyle w:val="BodyText0"/>
              <w:rPr>
                <w:rFonts w:cs="Helvetica"/>
              </w:rPr>
            </w:pPr>
            <w:r w:rsidRPr="00FF65B9">
              <w:t>WORLD WEATHER WATCH</w:t>
            </w:r>
            <w:r w:rsidRPr="00FF65B9">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154A7A74" wp14:editId="65486824">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CC0574" w:rsidP="001C16A8">
            <w:pPr>
              <w:rPr>
                <w:b/>
              </w:rPr>
            </w:pPr>
            <w:r>
              <w:rPr>
                <w:b/>
              </w:rPr>
              <w:t>TT-</w:t>
            </w:r>
            <w:proofErr w:type="spellStart"/>
            <w:r>
              <w:rPr>
                <w:b/>
              </w:rPr>
              <w:t>AvXML</w:t>
            </w:r>
            <w:proofErr w:type="spellEnd"/>
          </w:p>
          <w:p w:rsidR="00430A5B" w:rsidRPr="00FF65B9" w:rsidRDefault="00430A5B" w:rsidP="001C16A8">
            <w:pPr>
              <w:rPr>
                <w:b/>
              </w:rPr>
            </w:pPr>
          </w:p>
          <w:p w:rsidR="001C16A8" w:rsidRPr="00FF65B9" w:rsidRDefault="00CC0574" w:rsidP="00CC0574">
            <w:r w:rsidRPr="00CC0574">
              <w:t>Teleconference</w:t>
            </w:r>
            <w:r w:rsidR="004447EF" w:rsidRPr="00CC0574">
              <w:t xml:space="preserve">, </w:t>
            </w:r>
            <w:r w:rsidRPr="00CC0574">
              <w:t>23</w:t>
            </w:r>
            <w:r>
              <w:t xml:space="preserve"> November 2015</w:t>
            </w:r>
            <w:r w:rsidR="004447EF" w:rsidRPr="00FF65B9">
              <w:t xml:space="preserve"> </w:t>
            </w:r>
          </w:p>
        </w:tc>
        <w:tc>
          <w:tcPr>
            <w:tcW w:w="3851" w:type="dxa"/>
          </w:tcPr>
          <w:p w:rsidR="001C16A8" w:rsidRPr="00B42F15" w:rsidRDefault="00CC0574" w:rsidP="00CC0574">
            <w:pPr>
              <w:jc w:val="right"/>
              <w:rPr>
                <w:b/>
                <w:lang w:eastAsia="zh-CN"/>
              </w:rPr>
            </w:pPr>
            <w:r w:rsidRPr="00E07432">
              <w:rPr>
                <w:b/>
                <w:bCs/>
                <w:lang w:eastAsia="zh-CN"/>
              </w:rPr>
              <w:t>TT-AvXML-4-T2/</w:t>
            </w:r>
            <w:bookmarkStart w:id="0" w:name="_GoBack"/>
            <w:bookmarkEnd w:id="0"/>
            <w:r>
              <w:rPr>
                <w:b/>
                <w:bCs/>
                <w:lang w:eastAsia="zh-CN"/>
              </w:rPr>
              <w:t>Report</w:t>
            </w:r>
            <w:r w:rsidR="001C16A8" w:rsidRPr="00FF65B9">
              <w:rPr>
                <w:bCs/>
                <w:lang w:eastAsia="zh-CN"/>
              </w:rPr>
              <w:br/>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CC0574" w:rsidP="001C16A8">
            <w:pPr>
              <w:jc w:val="right"/>
              <w:rPr>
                <w:lang w:eastAsia="zh-CN"/>
              </w:rPr>
            </w:pPr>
            <w:r>
              <w:rPr>
                <w:bCs/>
                <w:lang w:eastAsia="zh-CN"/>
              </w:rPr>
              <w:t>8 Dec 2015</w:t>
            </w:r>
          </w:p>
        </w:tc>
      </w:tr>
    </w:tbl>
    <w:p w:rsidR="00D22E8A" w:rsidRPr="00FF65B9" w:rsidRDefault="00D22E8A" w:rsidP="00415F4C"/>
    <w:p w:rsidR="00480313" w:rsidRPr="00FF65B9" w:rsidRDefault="00CC0574" w:rsidP="000E3612">
      <w:pPr>
        <w:pStyle w:val="Heading1"/>
        <w:jc w:val="center"/>
      </w:pPr>
      <w:r>
        <w:t>Report of TT-AvXML Teleconference 23 November 2015</w:t>
      </w:r>
    </w:p>
    <w:p w:rsidR="00F35F35" w:rsidRPr="00FF65B9" w:rsidRDefault="00F35F35" w:rsidP="000E3612">
      <w:pPr>
        <w:pStyle w:val="Heading1"/>
        <w:jc w:val="center"/>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0"/>
        <w:rPr>
          <w:sz w:val="20"/>
          <w:szCs w:val="20"/>
        </w:rPr>
      </w:pPr>
      <w:r w:rsidRPr="00796B82">
        <w:rPr>
          <w:sz w:val="20"/>
          <w:szCs w:val="20"/>
        </w:rPr>
        <w:t xml:space="preserve">Recommendations of working groups shall have no status within the Organization until they have been approved by the responsible constituent body. In the case of joint working groups the recommendations must be </w:t>
      </w:r>
      <w:proofErr w:type="gramStart"/>
      <w:r w:rsidRPr="00796B82">
        <w:rPr>
          <w:sz w:val="20"/>
          <w:szCs w:val="20"/>
        </w:rPr>
        <w:t>concurred</w:t>
      </w:r>
      <w:proofErr w:type="gramEnd"/>
      <w:r w:rsidRPr="00796B82">
        <w:rPr>
          <w:sz w:val="20"/>
          <w:szCs w:val="20"/>
        </w:rPr>
        <w:t xml:space="preserve">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0"/>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0"/>
        <w:rPr>
          <w:sz w:val="20"/>
          <w:szCs w:val="20"/>
        </w:rPr>
      </w:pPr>
      <w:r w:rsidRPr="00796B82">
        <w:rPr>
          <w:sz w:val="20"/>
          <w:szCs w:val="20"/>
        </w:rPr>
        <w:t xml:space="preserve">© World Meteorological Organization, </w:t>
      </w:r>
      <w:r w:rsidR="00CC0574">
        <w:rPr>
          <w:sz w:val="20"/>
          <w:szCs w:val="20"/>
        </w:rPr>
        <w:t>2015</w:t>
      </w:r>
    </w:p>
    <w:p w:rsidR="00F35F35" w:rsidRPr="00796B82" w:rsidRDefault="00F35F35" w:rsidP="00F35F35">
      <w:pPr>
        <w:pStyle w:val="BodyText0"/>
        <w:rPr>
          <w:sz w:val="20"/>
          <w:szCs w:val="20"/>
        </w:rPr>
      </w:pPr>
      <w:r w:rsidRPr="00796B82">
        <w:rPr>
          <w:sz w:val="20"/>
          <w:szCs w:val="20"/>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796B82">
        <w:rPr>
          <w:sz w:val="20"/>
          <w:szCs w:val="20"/>
        </w:rPr>
        <w:t>publish,</w:t>
      </w:r>
      <w:proofErr w:type="gramEnd"/>
      <w:r w:rsidRPr="00796B82">
        <w:rPr>
          <w:sz w:val="20"/>
          <w:szCs w:val="20"/>
        </w:rPr>
        <w:t xml:space="preserve"> reproduce or translate this publication (articles) in part or in whole should be addressed to:</w:t>
      </w:r>
    </w:p>
    <w:p w:rsidR="00F35F35" w:rsidRPr="00796B82" w:rsidRDefault="00F35F35" w:rsidP="00F35F35">
      <w:pPr>
        <w:pStyle w:val="BodyText0"/>
        <w:rPr>
          <w:sz w:val="20"/>
          <w:szCs w:val="20"/>
        </w:rPr>
      </w:pPr>
      <w:r w:rsidRPr="00796B82">
        <w:rPr>
          <w:sz w:val="20"/>
          <w:szCs w:val="20"/>
        </w:rPr>
        <w:t>Chairperson, Publications Board</w:t>
      </w:r>
    </w:p>
    <w:p w:rsidR="00F35F35" w:rsidRPr="00796B82" w:rsidRDefault="00F35F35" w:rsidP="00F35F35">
      <w:pPr>
        <w:pStyle w:val="BodyText0"/>
        <w:rPr>
          <w:sz w:val="20"/>
          <w:szCs w:val="20"/>
        </w:rPr>
      </w:pPr>
      <w:r w:rsidRPr="00796B82">
        <w:rPr>
          <w:sz w:val="20"/>
          <w:szCs w:val="20"/>
        </w:rPr>
        <w:t>World Meteorological Organization (WMO)</w:t>
      </w:r>
    </w:p>
    <w:p w:rsidR="00F35F35" w:rsidRPr="00CC0574" w:rsidRDefault="00F35F35" w:rsidP="00F35F35">
      <w:pPr>
        <w:pStyle w:val="BodyText0"/>
        <w:rPr>
          <w:sz w:val="20"/>
          <w:szCs w:val="20"/>
          <w:lang w:val="fr-CH"/>
        </w:rPr>
      </w:pPr>
      <w:r w:rsidRPr="00CC0574">
        <w:rPr>
          <w:sz w:val="20"/>
          <w:szCs w:val="20"/>
          <w:lang w:val="fr-CH"/>
        </w:rPr>
        <w:t>7 bis, avenue de la Paix</w:t>
      </w:r>
      <w:r w:rsidRPr="00CC0574">
        <w:rPr>
          <w:sz w:val="20"/>
          <w:szCs w:val="20"/>
          <w:lang w:val="fr-CH"/>
        </w:rPr>
        <w:tab/>
      </w:r>
      <w:r w:rsidRPr="00CC0574">
        <w:rPr>
          <w:sz w:val="20"/>
          <w:szCs w:val="20"/>
          <w:lang w:val="fr-CH"/>
        </w:rPr>
        <w:tab/>
      </w:r>
      <w:r w:rsidRPr="00CC0574">
        <w:rPr>
          <w:sz w:val="20"/>
          <w:szCs w:val="20"/>
          <w:lang w:val="fr-CH"/>
        </w:rPr>
        <w:tab/>
      </w:r>
      <w:r w:rsidRPr="00CC0574">
        <w:rPr>
          <w:sz w:val="20"/>
          <w:szCs w:val="20"/>
          <w:lang w:val="fr-CH"/>
        </w:rPr>
        <w:tab/>
        <w:t>Tel.: +41 (0)22 730 84 03</w:t>
      </w:r>
    </w:p>
    <w:p w:rsidR="00F35F35" w:rsidRPr="00796B82" w:rsidRDefault="00F35F35" w:rsidP="00F35F35">
      <w:pPr>
        <w:pStyle w:val="BodyText0"/>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0"/>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0"/>
        <w:rPr>
          <w:sz w:val="20"/>
          <w:szCs w:val="20"/>
        </w:rPr>
      </w:pPr>
    </w:p>
    <w:p w:rsidR="00F35F35" w:rsidRPr="00796B82" w:rsidRDefault="00F35F35" w:rsidP="00F35F35">
      <w:pPr>
        <w:pStyle w:val="BodyText0"/>
        <w:rPr>
          <w:sz w:val="20"/>
          <w:szCs w:val="20"/>
        </w:rPr>
      </w:pPr>
      <w:r w:rsidRPr="00796B82">
        <w:rPr>
          <w:sz w:val="20"/>
          <w:szCs w:val="20"/>
        </w:rPr>
        <w:t>NOTE:</w:t>
      </w:r>
    </w:p>
    <w:p w:rsidR="00F35F35" w:rsidRPr="00796B82" w:rsidRDefault="00F35F35" w:rsidP="00F35F35">
      <w:pPr>
        <w:pStyle w:val="BodyText0"/>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0"/>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0"/>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CC0574" w:rsidRPr="00FF65B9" w:rsidRDefault="00F35F35" w:rsidP="00CC0574">
      <w:pPr>
        <w:pStyle w:val="Heading1"/>
        <w:jc w:val="center"/>
      </w:pPr>
      <w:r w:rsidRPr="00FF65B9">
        <w:br w:type="page"/>
      </w:r>
      <w:r w:rsidR="00CC0574">
        <w:lastRenderedPageBreak/>
        <w:t>Report of TT-AvXML Teleconference 23 November 2015</w:t>
      </w:r>
    </w:p>
    <w:p w:rsidR="00F35F35" w:rsidRDefault="00F35F35" w:rsidP="000E3612">
      <w:pPr>
        <w:pStyle w:val="Heading1"/>
        <w:jc w:val="center"/>
      </w:pPr>
    </w:p>
    <w:p w:rsidR="00CC0574" w:rsidRDefault="00CC0574" w:rsidP="00CC0574">
      <w:pPr>
        <w:pStyle w:val="Heading3"/>
      </w:pPr>
      <w:r>
        <w:t>Attendees:</w:t>
      </w:r>
    </w:p>
    <w:p w:rsidR="00CC0574" w:rsidRDefault="00CC0574" w:rsidP="00CC0574">
      <w:r>
        <w:t xml:space="preserve">Chair: Enrico </w:t>
      </w:r>
      <w:proofErr w:type="spellStart"/>
      <w:r>
        <w:t>Fucile</w:t>
      </w:r>
      <w:proofErr w:type="spellEnd"/>
    </w:p>
    <w:p w:rsidR="00CC0574" w:rsidRPr="00CC0574" w:rsidRDefault="00CC0574" w:rsidP="00CC0574">
      <w:r>
        <w:t xml:space="preserve">Attending: </w:t>
      </w:r>
      <w:r w:rsidRPr="00CC0574">
        <w:t xml:space="preserve">B.L. Choy, Aaron B, Bart Nicolai, David Hunter, Dirk </w:t>
      </w:r>
      <w:proofErr w:type="spellStart"/>
      <w:r w:rsidRPr="00CC0574">
        <w:t>Zinkhan</w:t>
      </w:r>
      <w:proofErr w:type="spellEnd"/>
      <w:r w:rsidRPr="00CC0574">
        <w:t xml:space="preserve">, Eduard </w:t>
      </w:r>
      <w:proofErr w:type="spellStart"/>
      <w:r w:rsidRPr="00CC0574">
        <w:t>Gringinger</w:t>
      </w:r>
      <w:proofErr w:type="spellEnd"/>
      <w:r w:rsidRPr="00CC0574">
        <w:t>, Ernie Dash, Fechner, Jeremy Tandy, Mar</w:t>
      </w:r>
      <w:r>
        <w:t>k</w:t>
      </w:r>
      <w:r w:rsidRPr="00CC0574">
        <w:t xml:space="preserve"> </w:t>
      </w:r>
      <w:proofErr w:type="spellStart"/>
      <w:r w:rsidRPr="00CC0574">
        <w:t>Oberfield</w:t>
      </w:r>
      <w:proofErr w:type="spellEnd"/>
      <w:r w:rsidRPr="00CC0574">
        <w:t xml:space="preserve"> and Steve Olson</w:t>
      </w:r>
    </w:p>
    <w:p w:rsidR="00F35F35" w:rsidRDefault="00CC0574" w:rsidP="00CC0574">
      <w:pPr>
        <w:pStyle w:val="Heading2"/>
      </w:pPr>
      <w:r>
        <w:t>1</w:t>
      </w:r>
      <w:r>
        <w:tab/>
        <w:t>Introduction</w:t>
      </w:r>
    </w:p>
    <w:p w:rsidR="00CC0574" w:rsidRDefault="00CC0574" w:rsidP="00CC0574">
      <w:pPr>
        <w:pStyle w:val="BodyTextNumbered"/>
      </w:pPr>
      <w:r>
        <w:t xml:space="preserve">The </w:t>
      </w:r>
      <w:r w:rsidRPr="00CC0574">
        <w:t>teleconference</w:t>
      </w:r>
      <w:r>
        <w:t xml:space="preserve"> was held to facilitate a decision on how to reduce the complexity of IWXXM.</w:t>
      </w:r>
    </w:p>
    <w:p w:rsidR="00CC0574" w:rsidRDefault="00CC0574" w:rsidP="00F35F35">
      <w:pPr>
        <w:pStyle w:val="BodyTextNumbered"/>
        <w:numPr>
          <w:ilvl w:val="0"/>
          <w:numId w:val="0"/>
        </w:numPr>
        <w:ind w:left="432" w:hanging="432"/>
      </w:pPr>
    </w:p>
    <w:p w:rsidR="00CC0574" w:rsidRPr="00CC0574" w:rsidRDefault="00CC0574" w:rsidP="00CC0574">
      <w:pPr>
        <w:pStyle w:val="Heading2"/>
      </w:pPr>
      <w:r>
        <w:t>2</w:t>
      </w:r>
      <w:r>
        <w:tab/>
      </w:r>
      <w:r w:rsidRPr="00CC0574">
        <w:t>Problem</w:t>
      </w:r>
    </w:p>
    <w:p w:rsidR="00CC0574" w:rsidRPr="00CC0574" w:rsidRDefault="00CC0574" w:rsidP="00CC0574">
      <w:pPr>
        <w:pStyle w:val="BodyTextBullet"/>
      </w:pPr>
      <w:r w:rsidRPr="00CC0574">
        <w:t>comments from user community regarding complexity of IWXXM</w:t>
      </w:r>
    </w:p>
    <w:p w:rsidR="00CC0574" w:rsidRPr="00CC0574" w:rsidRDefault="00CC0574" w:rsidP="00CC0574">
      <w:pPr>
        <w:pStyle w:val="BodyTextBullet"/>
      </w:pPr>
      <w:r w:rsidRPr="00CC0574">
        <w:t>measures of complexity:</w:t>
      </w:r>
    </w:p>
    <w:p w:rsidR="00CC0574" w:rsidRPr="00CC0574" w:rsidRDefault="00CC0574" w:rsidP="00CC0574">
      <w:pPr>
        <w:pStyle w:val="BodyTextBullet"/>
        <w:numPr>
          <w:ilvl w:val="1"/>
          <w:numId w:val="32"/>
        </w:numPr>
      </w:pPr>
      <w:r w:rsidRPr="00CC0574">
        <w:t>number of lines (for a Message)</w:t>
      </w:r>
    </w:p>
    <w:p w:rsidR="00CC0574" w:rsidRPr="00CC0574" w:rsidRDefault="00CC0574" w:rsidP="00CC0574">
      <w:pPr>
        <w:pStyle w:val="BodyTextBullet"/>
        <w:numPr>
          <w:ilvl w:val="1"/>
          <w:numId w:val="32"/>
        </w:numPr>
      </w:pPr>
      <w:r w:rsidRPr="00CC0574">
        <w:t>number of XML elements used - total number and number of different Elements</w:t>
      </w:r>
    </w:p>
    <w:p w:rsidR="00CC0574" w:rsidRPr="00CC0574" w:rsidRDefault="00CC0574" w:rsidP="00CC0574">
      <w:pPr>
        <w:pStyle w:val="BodyTextBullet"/>
        <w:numPr>
          <w:ilvl w:val="1"/>
          <w:numId w:val="32"/>
        </w:numPr>
      </w:pPr>
      <w:r w:rsidRPr="00CC0574">
        <w:t>depth of nesting</w:t>
      </w:r>
    </w:p>
    <w:p w:rsidR="00CC0574" w:rsidRPr="00CC0574" w:rsidRDefault="00CC0574" w:rsidP="00CC0574">
      <w:pPr>
        <w:pStyle w:val="BodyTextBullet"/>
      </w:pPr>
      <w:r w:rsidRPr="00CC0574">
        <w:t xml:space="preserve">messages (e.g. instances of TAF, METAR, SIGMET etc.) include redundant information; repetition is required because of the </w:t>
      </w:r>
      <w:proofErr w:type="spellStart"/>
      <w:r w:rsidRPr="00CC0574">
        <w:t>OM_Observation</w:t>
      </w:r>
      <w:proofErr w:type="spellEnd"/>
      <w:r w:rsidRPr="00CC0574">
        <w:t xml:space="preserve"> structure</w:t>
      </w:r>
    </w:p>
    <w:p w:rsidR="00CC0574" w:rsidRPr="00CC0574" w:rsidRDefault="00CC0574" w:rsidP="00CC0574">
      <w:pPr>
        <w:pStyle w:val="BodyTextBullet"/>
      </w:pPr>
      <w:proofErr w:type="spellStart"/>
      <w:r w:rsidRPr="00CC0574">
        <w:t>Frequentis</w:t>
      </w:r>
      <w:proofErr w:type="spellEnd"/>
      <w:r w:rsidRPr="00CC0574">
        <w:t> elaborated their comments</w:t>
      </w:r>
    </w:p>
    <w:p w:rsidR="00CC0574" w:rsidRPr="00CC0574" w:rsidRDefault="00CC0574" w:rsidP="00CC0574">
      <w:pPr>
        <w:pStyle w:val="BodyTextBullet"/>
        <w:numPr>
          <w:ilvl w:val="1"/>
          <w:numId w:val="32"/>
        </w:numPr>
      </w:pPr>
      <w:r w:rsidRPr="00CC0574">
        <w:t xml:space="preserve">“[the problem is] like other data exchange models, IWXXM is based on existing </w:t>
      </w:r>
      <w:r>
        <w:tab/>
      </w:r>
      <w:r w:rsidRPr="00CC0574">
        <w:t xml:space="preserve"> to state information that applies to all Messages of that type within the data … this is ‘static’ information that can be inferred from the Class </w:t>
      </w:r>
    </w:p>
    <w:p w:rsidR="00CC0574" w:rsidRPr="00CC0574" w:rsidRDefault="00CC0574" w:rsidP="00CC0574">
      <w:pPr>
        <w:pStyle w:val="BodyTextBullet"/>
        <w:numPr>
          <w:ilvl w:val="1"/>
          <w:numId w:val="32"/>
        </w:numPr>
      </w:pPr>
      <w:proofErr w:type="gramStart"/>
      <w:r w:rsidRPr="00CC0574">
        <w:t>complexity</w:t>
      </w:r>
      <w:proofErr w:type="gramEnd"/>
      <w:r w:rsidRPr="00CC0574">
        <w:t xml:space="preserve"> is also evident in the use of ‘soft’ relationships between parts of the data model; e.g. OMXML provides the ‘observation’ structure (within which the `result` Type is not specified), IWXXM provides ‘application-level constraints’ to specify the `result` Type. It’s difficult to see how the different parts of the model fit together: the Record structures (from IWXXM) fit into the Observation (from OMXML) which fit into the Report(s) (from IWXXM)</w:t>
      </w:r>
    </w:p>
    <w:p w:rsidR="00CC0574" w:rsidRPr="00CC0574" w:rsidRDefault="00CC0574" w:rsidP="00CC0574">
      <w:pPr>
        <w:pStyle w:val="BodyTextBullet"/>
      </w:pPr>
      <w:r w:rsidRPr="00CC0574">
        <w:t xml:space="preserve">the use of </w:t>
      </w:r>
      <w:proofErr w:type="spellStart"/>
      <w:r w:rsidRPr="00CC0574">
        <w:t>OM_Observation</w:t>
      </w:r>
      <w:proofErr w:type="spellEnd"/>
      <w:r w:rsidRPr="00CC0574">
        <w:t xml:space="preserve"> was intended to support the transition from TAC products to a ‘data-centric’ information sharing regime … however, there is no clarity on what ‘data centric’ means (moreover, the advice from ICAO is to avoid use of the term ‘data-centric’ and focus on the requirements associated with the existing regulation)</w:t>
      </w:r>
    </w:p>
    <w:p w:rsidR="00CC0574" w:rsidRPr="00CC0574" w:rsidRDefault="00CC0574" w:rsidP="00CC0574">
      <w:pPr>
        <w:pStyle w:val="BodyText0"/>
      </w:pPr>
    </w:p>
    <w:p w:rsidR="00CC0574" w:rsidRPr="00CC0574" w:rsidRDefault="00CC0574" w:rsidP="00CC0574">
      <w:pPr>
        <w:pStyle w:val="Heading2"/>
      </w:pPr>
      <w:r>
        <w:t>3</w:t>
      </w:r>
      <w:r>
        <w:tab/>
      </w:r>
      <w:r w:rsidRPr="00CC0574">
        <w:t>Conclusion</w:t>
      </w:r>
    </w:p>
    <w:p w:rsidR="00CC0574" w:rsidRPr="00CC0574" w:rsidRDefault="00CC0574" w:rsidP="00CC0574">
      <w:pPr>
        <w:pStyle w:val="BodyTextBullet"/>
      </w:pPr>
      <w:proofErr w:type="spellStart"/>
      <w:r w:rsidRPr="00CC0574">
        <w:t>OM_Observation</w:t>
      </w:r>
      <w:proofErr w:type="spellEnd"/>
      <w:r w:rsidRPr="00CC0574">
        <w:t xml:space="preserve"> is a poor match for the (current ‘product-centric’) IWXXM requirement</w:t>
      </w:r>
    </w:p>
    <w:p w:rsidR="00CC0574" w:rsidRPr="00CC0574" w:rsidRDefault="00CC0574" w:rsidP="00CC0574">
      <w:pPr>
        <w:pStyle w:val="BodyTextBullet"/>
        <w:numPr>
          <w:ilvl w:val="1"/>
          <w:numId w:val="32"/>
        </w:numPr>
      </w:pPr>
      <w:r w:rsidRPr="00CC0574">
        <w:t xml:space="preserve">the strength of </w:t>
      </w:r>
      <w:proofErr w:type="spellStart"/>
      <w:r w:rsidRPr="00CC0574">
        <w:t>OM_Observation</w:t>
      </w:r>
      <w:proofErr w:type="spellEnd"/>
      <w:r w:rsidRPr="00CC0574">
        <w:t xml:space="preserve"> is </w:t>
      </w:r>
      <w:proofErr w:type="spellStart"/>
      <w:r w:rsidRPr="00CC0574">
        <w:t>it’s</w:t>
      </w:r>
      <w:proofErr w:type="spellEnd"/>
      <w:r w:rsidRPr="00CC0574">
        <w:t xml:space="preserve"> ability to carry well-defined semantics … it provides a mechanism to carry all the contextual information required to interpret the data</w:t>
      </w:r>
    </w:p>
    <w:p w:rsidR="00CC0574" w:rsidRPr="00CC0574" w:rsidRDefault="00CC0574" w:rsidP="00CC0574">
      <w:pPr>
        <w:pStyle w:val="BodyTextBullet"/>
        <w:numPr>
          <w:ilvl w:val="1"/>
          <w:numId w:val="32"/>
        </w:numPr>
      </w:pPr>
      <w:r w:rsidRPr="00CC0574">
        <w:t>within IWXXM, the context is provided by ICAO Annex 3</w:t>
      </w:r>
    </w:p>
    <w:p w:rsidR="00CC0574" w:rsidRPr="00CC0574" w:rsidRDefault="00CC0574" w:rsidP="00CC0574">
      <w:pPr>
        <w:pStyle w:val="BodyTextBullet"/>
        <w:numPr>
          <w:ilvl w:val="1"/>
          <w:numId w:val="32"/>
        </w:numPr>
      </w:pPr>
      <w:r w:rsidRPr="00CC0574">
        <w:t>ICAO Annex 3 defines a set of information in order to meet a given application requirement … this is a ‘product-centric’ view</w:t>
      </w:r>
    </w:p>
    <w:p w:rsidR="00CC0574" w:rsidRPr="00CC0574" w:rsidRDefault="00CC0574" w:rsidP="00CC0574">
      <w:pPr>
        <w:pStyle w:val="BodyTextBullet"/>
        <w:numPr>
          <w:ilvl w:val="1"/>
          <w:numId w:val="32"/>
        </w:numPr>
      </w:pPr>
      <w:r w:rsidRPr="00CC0574">
        <w:t xml:space="preserve">the contextual information carried by </w:t>
      </w:r>
      <w:proofErr w:type="spellStart"/>
      <w:r w:rsidRPr="00CC0574">
        <w:t>OM_Observation</w:t>
      </w:r>
      <w:proofErr w:type="spellEnd"/>
      <w:r w:rsidRPr="00CC0574">
        <w:t xml:space="preserve"> enables the data to be used flexibly … an application can use the contextual data in order to interpret the data </w:t>
      </w:r>
      <w:r w:rsidRPr="00CC0574">
        <w:lastRenderedPageBreak/>
        <w:t>values … this is a ‘data-centric’ approach; WIGOS Metadata provides an example of how this is used</w:t>
      </w:r>
    </w:p>
    <w:p w:rsidR="00CC0574" w:rsidRPr="00CC0574" w:rsidRDefault="00CC0574" w:rsidP="00CC0574">
      <w:pPr>
        <w:pStyle w:val="BodyTextBullet"/>
        <w:numPr>
          <w:ilvl w:val="1"/>
          <w:numId w:val="32"/>
        </w:numPr>
      </w:pPr>
      <w:r w:rsidRPr="00CC0574">
        <w:t>there is currently no requirement for such flexibility in IWXXM</w:t>
      </w:r>
    </w:p>
    <w:p w:rsidR="00CC0574" w:rsidRPr="00CC0574" w:rsidRDefault="00CC0574" w:rsidP="00CC0574">
      <w:pPr>
        <w:pStyle w:val="BodyTextBullet"/>
        <w:numPr>
          <w:ilvl w:val="1"/>
          <w:numId w:val="32"/>
        </w:numPr>
      </w:pPr>
      <w:r w:rsidRPr="00CC0574">
        <w:t xml:space="preserve">should this requirement arise in the future, </w:t>
      </w:r>
      <w:proofErr w:type="spellStart"/>
      <w:r w:rsidRPr="00CC0574">
        <w:t>OM_Observation</w:t>
      </w:r>
      <w:proofErr w:type="spellEnd"/>
      <w:r w:rsidRPr="00CC0574">
        <w:t xml:space="preserve"> could be incorporated into IWXXM</w:t>
      </w:r>
    </w:p>
    <w:p w:rsidR="00CC0574" w:rsidRPr="00CC0574" w:rsidRDefault="00CC0574" w:rsidP="00CC0574">
      <w:pPr>
        <w:pStyle w:val="BodyTextBullet"/>
      </w:pPr>
      <w:r w:rsidRPr="00CC0574">
        <w:t xml:space="preserve">furthermore, the ‘loose’ organisation of data in </w:t>
      </w:r>
      <w:proofErr w:type="spellStart"/>
      <w:r w:rsidRPr="00CC0574">
        <w:t>OM_Observation</w:t>
      </w:r>
      <w:proofErr w:type="spellEnd"/>
      <w:r w:rsidRPr="00CC0574">
        <w:t>, which provides the flexibility, presents challenges in validation- which is a key requirement for IWXXM</w:t>
      </w:r>
    </w:p>
    <w:p w:rsidR="00CC0574" w:rsidRPr="00CC0574" w:rsidRDefault="00CC0574" w:rsidP="00CC0574">
      <w:pPr>
        <w:pStyle w:val="BodyTextBullet"/>
      </w:pPr>
      <w:r w:rsidRPr="00CC0574">
        <w:t>a ‘brutally simple’ GML schema should be developed for IWXXM focusing only on the immediate requirements</w:t>
      </w:r>
    </w:p>
    <w:p w:rsidR="00CC0574" w:rsidRPr="00CC0574" w:rsidRDefault="00CC0574" w:rsidP="00CC0574">
      <w:pPr>
        <w:pStyle w:val="BodyTextBullet"/>
        <w:numPr>
          <w:ilvl w:val="1"/>
          <w:numId w:val="32"/>
        </w:numPr>
      </w:pPr>
      <w:r w:rsidRPr="00CC0574">
        <w:t>note: use of GML is specified within Annex 3; to mitigate some of the complexity of GML, BL Choy has created a subset of GML [containing only the Elements required to support IWXXM]</w:t>
      </w:r>
    </w:p>
    <w:p w:rsidR="00CC0574" w:rsidRPr="00CC0574" w:rsidRDefault="00CC0574" w:rsidP="00CC0574">
      <w:pPr>
        <w:pStyle w:val="BodyTextBullet"/>
        <w:numPr>
          <w:ilvl w:val="1"/>
          <w:numId w:val="32"/>
        </w:numPr>
      </w:pPr>
      <w:r w:rsidRPr="00CC0574">
        <w:t xml:space="preserve">the simplified GML schema will not use OMXML, nor will it be derived from </w:t>
      </w:r>
      <w:proofErr w:type="spellStart"/>
      <w:r w:rsidRPr="00CC0574">
        <w:t>OM_Observation</w:t>
      </w:r>
      <w:proofErr w:type="spellEnd"/>
    </w:p>
    <w:p w:rsidR="00CC0574" w:rsidRPr="00CC0574" w:rsidRDefault="00CC0574" w:rsidP="00CC0574">
      <w:pPr>
        <w:pStyle w:val="BodyTextBullet"/>
        <w:numPr>
          <w:ilvl w:val="1"/>
          <w:numId w:val="32"/>
        </w:numPr>
      </w:pPr>
      <w:r w:rsidRPr="00CC0574">
        <w:t>simple = flat structure </w:t>
      </w:r>
    </w:p>
    <w:p w:rsidR="00CC0574" w:rsidRPr="00CC0574" w:rsidRDefault="00CC0574" w:rsidP="00CC0574">
      <w:pPr>
        <w:pStyle w:val="BodyTextBullet"/>
        <w:numPr>
          <w:ilvl w:val="2"/>
          <w:numId w:val="32"/>
        </w:numPr>
      </w:pPr>
      <w:r w:rsidRPr="00CC0574">
        <w:t>… there may be opportunity to remove further elements (e.g. the ‘Record’-level elements) </w:t>
      </w:r>
    </w:p>
    <w:p w:rsidR="00CC0574" w:rsidRPr="00CC0574" w:rsidRDefault="00CC0574" w:rsidP="00CC0574">
      <w:pPr>
        <w:pStyle w:val="BodyTextBullet"/>
        <w:numPr>
          <w:ilvl w:val="2"/>
          <w:numId w:val="32"/>
        </w:numPr>
      </w:pPr>
      <w:r w:rsidRPr="00CC0574">
        <w:t>we need to retain the grouping mechanism; e.g. for cloud groups that can be reported multiple times</w:t>
      </w:r>
    </w:p>
    <w:p w:rsidR="00CC0574" w:rsidRPr="00CC0574" w:rsidRDefault="00CC0574" w:rsidP="00CC0574">
      <w:pPr>
        <w:pStyle w:val="BodyTextBullet"/>
        <w:numPr>
          <w:ilvl w:val="2"/>
          <w:numId w:val="32"/>
        </w:numPr>
      </w:pPr>
      <w:r w:rsidRPr="00CC0574">
        <w:t xml:space="preserve"> “keep terminology from O&amp;M where the definition fits; e.g. `</w:t>
      </w:r>
      <w:proofErr w:type="spellStart"/>
      <w:r w:rsidRPr="00CC0574">
        <w:t>iwxxm:phenomenonTime</w:t>
      </w:r>
      <w:proofErr w:type="spellEnd"/>
      <w:r w:rsidRPr="00CC0574">
        <w:t>`”</w:t>
      </w:r>
    </w:p>
    <w:p w:rsidR="00CC0574" w:rsidRPr="00CC0574" w:rsidRDefault="00CC0574" w:rsidP="00CC0574">
      <w:pPr>
        <w:pStyle w:val="BodyText0"/>
      </w:pPr>
    </w:p>
    <w:p w:rsidR="00CC0574" w:rsidRPr="00CC0574" w:rsidRDefault="00CC0574" w:rsidP="00CC0574">
      <w:pPr>
        <w:pStyle w:val="Heading2"/>
      </w:pPr>
      <w:r>
        <w:t>4</w:t>
      </w:r>
      <w:r>
        <w:tab/>
      </w:r>
      <w:r w:rsidRPr="00CC0574">
        <w:t>Actions</w:t>
      </w:r>
    </w:p>
    <w:p w:rsidR="00CC0574" w:rsidRPr="00CC0574" w:rsidRDefault="00CC0574" w:rsidP="00CC0574">
      <w:pPr>
        <w:pStyle w:val="Action"/>
      </w:pPr>
      <w:bookmarkStart w:id="1" w:name="_Toc437349079"/>
      <w:proofErr w:type="spellStart"/>
      <w:r>
        <w:t>Braeckel</w:t>
      </w:r>
      <w:proofErr w:type="spellEnd"/>
      <w:r>
        <w:t xml:space="preserve"> and Hunter: </w:t>
      </w:r>
      <w:r w:rsidRPr="00CC0574">
        <w:t xml:space="preserve"> iterate the ‘simplified’ IWXXM schema (based on the illustrative examples)</w:t>
      </w:r>
      <w:bookmarkEnd w:id="1"/>
    </w:p>
    <w:p w:rsidR="00CC0574" w:rsidRPr="00CC0574" w:rsidRDefault="00CC0574" w:rsidP="00CC0574">
      <w:pPr>
        <w:pStyle w:val="Action"/>
      </w:pPr>
      <w:bookmarkStart w:id="2" w:name="_Toc437349080"/>
      <w:r>
        <w:t xml:space="preserve">Tandy and Hunter: </w:t>
      </w:r>
      <w:r w:rsidRPr="00CC0574">
        <w:t xml:space="preserve"> investigate how values from the product-centric IWXXM properties might be related to data-centric ‘WIGOS’ style observations from which those values are derived</w:t>
      </w:r>
      <w:bookmarkEnd w:id="2"/>
    </w:p>
    <w:p w:rsidR="006E352D" w:rsidRDefault="006E352D" w:rsidP="006E352D">
      <w:pPr>
        <w:pStyle w:val="Heading2"/>
      </w:pPr>
      <w:r>
        <w:t>5</w:t>
      </w:r>
      <w:r>
        <w:tab/>
        <w:t>Summary</w:t>
      </w:r>
    </w:p>
    <w:p w:rsidR="006E352D" w:rsidRDefault="006E352D" w:rsidP="006E352D">
      <w:pPr>
        <w:pStyle w:val="BodyTextNumbered"/>
      </w:pPr>
      <w:r>
        <w:t xml:space="preserve">The use of O&amp;M </w:t>
      </w:r>
      <w:r>
        <w:t xml:space="preserve">was </w:t>
      </w:r>
      <w:r>
        <w:t>not considered essential for the current IWXXM messages for two reasons:</w:t>
      </w:r>
    </w:p>
    <w:p w:rsidR="006E352D" w:rsidRDefault="006E352D" w:rsidP="006E352D">
      <w:pPr>
        <w:pStyle w:val="BodyTextNumbered"/>
        <w:numPr>
          <w:ilvl w:val="1"/>
          <w:numId w:val="33"/>
        </w:numPr>
      </w:pPr>
      <w:r>
        <w:t xml:space="preserve">IWXXM is implementing METAR, TAF, </w:t>
      </w:r>
      <w:proofErr w:type="gramStart"/>
      <w:r>
        <w:t>SIGMET</w:t>
      </w:r>
      <w:proofErr w:type="gramEnd"/>
      <w:r>
        <w:t xml:space="preserve"> which are product oriented, not data-centric.</w:t>
      </w:r>
    </w:p>
    <w:p w:rsidR="006E352D" w:rsidRDefault="006E352D" w:rsidP="006E352D">
      <w:pPr>
        <w:pStyle w:val="BodyTextNumbered"/>
        <w:numPr>
          <w:ilvl w:val="1"/>
          <w:numId w:val="33"/>
        </w:numPr>
      </w:pPr>
      <w:r>
        <w:t>O&amp;M is currently used in IWXXM with a product-centric approach and does not bring any extra flexibility for</w:t>
      </w:r>
      <w:r>
        <w:t xml:space="preserve"> a future data-centric approach</w:t>
      </w:r>
    </w:p>
    <w:p w:rsidR="006E352D" w:rsidRDefault="006E352D" w:rsidP="006E352D">
      <w:pPr>
        <w:pStyle w:val="Decision"/>
      </w:pPr>
      <w:bookmarkStart w:id="3" w:name="_Toc437349082"/>
      <w:r>
        <w:t>It was</w:t>
      </w:r>
      <w:r>
        <w:t xml:space="preserve"> decided to remove O&amp;M from IWXX</w:t>
      </w:r>
      <w:r>
        <w:t>M and restructure the messages.</w:t>
      </w:r>
      <w:bookmarkEnd w:id="3"/>
    </w:p>
    <w:p w:rsidR="006E352D" w:rsidRDefault="006E352D" w:rsidP="006E352D">
      <w:pPr>
        <w:pStyle w:val="Decision"/>
      </w:pPr>
      <w:bookmarkStart w:id="4" w:name="_Toc437349083"/>
      <w:r>
        <w:t xml:space="preserve">It </w:t>
      </w:r>
      <w:r>
        <w:t>was also</w:t>
      </w:r>
      <w:r>
        <w:t xml:space="preserve"> decided to go further in the review of the structure and seek for further simplification.</w:t>
      </w:r>
      <w:bookmarkEnd w:id="4"/>
    </w:p>
    <w:p w:rsidR="006E352D" w:rsidRDefault="006E352D" w:rsidP="006E352D">
      <w:pPr>
        <w:pStyle w:val="BodyTextNumbered"/>
      </w:pPr>
      <w:r>
        <w:t xml:space="preserve">Another </w:t>
      </w:r>
      <w:proofErr w:type="spellStart"/>
      <w:r>
        <w:t>Webex</w:t>
      </w:r>
      <w:proofErr w:type="spellEnd"/>
      <w:r>
        <w:t xml:space="preserve"> was planned for</w:t>
      </w:r>
      <w:r>
        <w:t xml:space="preserve"> the 9 December to have a look at the simplified structures in the examples that Aaron and David </w:t>
      </w:r>
      <w:r>
        <w:t>were</w:t>
      </w:r>
      <w:r>
        <w:t xml:space="preserve"> going to provide.</w:t>
      </w:r>
      <w:r>
        <w:br w:type="page"/>
      </w:r>
    </w:p>
    <w:p w:rsidR="00CC0574" w:rsidRPr="00CC0574" w:rsidRDefault="00CC0574" w:rsidP="00CC0574">
      <w:pPr>
        <w:pStyle w:val="BodyText0"/>
      </w:pPr>
    </w:p>
    <w:p w:rsidR="00CC0574" w:rsidRPr="00CC0574" w:rsidRDefault="00CC0574" w:rsidP="00CC0574">
      <w:pPr>
        <w:pStyle w:val="Heading2"/>
      </w:pPr>
      <w:r>
        <w:t>5</w:t>
      </w:r>
      <w:r>
        <w:tab/>
      </w:r>
      <w:r w:rsidRPr="00CC0574">
        <w:t>Post-meeting notes</w:t>
      </w:r>
      <w:r w:rsidR="006E352D">
        <w:t xml:space="preserve"> (by J Tandy)</w:t>
      </w:r>
    </w:p>
    <w:p w:rsidR="00CC0574" w:rsidRPr="00CC0574" w:rsidRDefault="00CC0574" w:rsidP="00CC0574">
      <w:pPr>
        <w:pStyle w:val="BodyTextNumbered"/>
        <w:ind w:left="432" w:hanging="432"/>
      </w:pPr>
      <w:r w:rsidRPr="00CC0574">
        <w:t xml:space="preserve">The use of </w:t>
      </w:r>
      <w:proofErr w:type="spellStart"/>
      <w:r w:rsidRPr="00CC0574">
        <w:t>OM_Observation</w:t>
      </w:r>
      <w:proofErr w:type="spellEnd"/>
      <w:r w:rsidRPr="00CC0574">
        <w:t xml:space="preserve"> differs significantly between IWXXM and WIGOS; the former uses a complex Observed Property (Record) but a simple Process, whilst the latter has a simple Observed Property (just a single quantity kind) and a complex Process (providing full details of the sensor and platform from which the observation was taken). The use of a complex Record structure with </w:t>
      </w:r>
      <w:proofErr w:type="spellStart"/>
      <w:r w:rsidRPr="00CC0574">
        <w:t>OM_Observation</w:t>
      </w:r>
      <w:proofErr w:type="spellEnd"/>
      <w:r w:rsidRPr="00CC0574">
        <w:t xml:space="preserve"> was always somewhat awkward; for example, the data in a TAF or METAR would be aggregated from many sensor platforms that may distributed around the aerodrome; the observation procedure was not able to capture this richness of information.</w:t>
      </w:r>
    </w:p>
    <w:p w:rsidR="00CC0574" w:rsidRPr="00CC0574" w:rsidRDefault="00CC0574" w:rsidP="00CC0574">
      <w:pPr>
        <w:pStyle w:val="BodyTextNumbered"/>
        <w:ind w:left="432" w:hanging="432"/>
      </w:pPr>
      <w:r w:rsidRPr="00CC0574">
        <w:t>The relationship between a property value in a product (e.g. the value of air temperature in a METAR) and the observation which provided the value (and provides the context for interpreting that value) is well described in the recently revised ISO 19109; the term used is ‘value assignment’ (see below).</w:t>
      </w:r>
    </w:p>
    <w:p w:rsidR="00CC0574" w:rsidRPr="00CC0574" w:rsidRDefault="00CC0574" w:rsidP="00CC0574">
      <w:pPr>
        <w:pStyle w:val="BodyTextNumbered"/>
        <w:ind w:left="432" w:hanging="432"/>
      </w:pPr>
      <w:r w:rsidRPr="00CC0574">
        <w:t>However, there are no requirements arising from ICAO Annex 3 to record the provenance of the property values- therefore the ‘value assignment’ information should not form part of IWXXM. A service operator may decide to record the relationship between, say, the METARs they produce and the raw observation datasets from which the property values are derived. In the future, these raw observation datasets are likely to be described using WIGOS Metadata and may be exposed through data service endpoints for access. How the relationship between product and raw observations is recorded is beyond the scope of IWXXM - but it may be as simple as documenting the relationship(s) within the service operator’s Quality Management System. However the relationship is described, the property value and the Feature it is assigned to should be consistent with the feature of interest and observed property of the source observation.</w:t>
      </w:r>
    </w:p>
    <w:p w:rsidR="00CC0574" w:rsidRPr="00CC0574" w:rsidRDefault="00CC0574" w:rsidP="00CC0574">
      <w:pPr>
        <w:pStyle w:val="BodyTextNumbered"/>
        <w:numPr>
          <w:ilvl w:val="0"/>
          <w:numId w:val="0"/>
        </w:numPr>
        <w:ind w:left="432"/>
      </w:pPr>
    </w:p>
    <w:p w:rsidR="00CC0574" w:rsidRPr="00CC0574" w:rsidRDefault="00CC0574" w:rsidP="00CC0574">
      <w:pPr>
        <w:pStyle w:val="Heading2"/>
      </w:pPr>
      <w:r>
        <w:t>6</w:t>
      </w:r>
      <w:r>
        <w:tab/>
      </w:r>
      <w:r w:rsidRPr="00CC0574">
        <w:t>7.4.10 ValueAssignment </w:t>
      </w:r>
    </w:p>
    <w:p w:rsidR="00CC0574" w:rsidRPr="00CC0574" w:rsidRDefault="00CC0574" w:rsidP="00CC0574">
      <w:pPr>
        <w:pStyle w:val="BodyText0"/>
      </w:pPr>
      <w:r w:rsidRPr="00CC0574">
        <w:t>[…]</w:t>
      </w:r>
    </w:p>
    <w:p w:rsidR="00CC0574" w:rsidRPr="00CC0574" w:rsidRDefault="00CC0574" w:rsidP="00CC0574">
      <w:pPr>
        <w:pStyle w:val="BodyText0"/>
      </w:pPr>
      <w:r w:rsidRPr="00CC0574">
        <w:t xml:space="preserve">Values can be assigned to properties through a variety of methods. In many applications and for many properties the method is either not known, or is not of sufficient interest for it to be explicitly modelled. Nevertheless, in principle a value assignment process is associated with every property value. </w:t>
      </w:r>
      <w:proofErr w:type="spellStart"/>
      <w:r w:rsidRPr="00CC0574">
        <w:t>ValueAssignment</w:t>
      </w:r>
      <w:proofErr w:type="spellEnd"/>
      <w:r w:rsidRPr="00CC0574">
        <w:t xml:space="preserve"> is the association </w:t>
      </w:r>
      <w:proofErr w:type="spellStart"/>
      <w:r w:rsidRPr="00CC0574">
        <w:t>metaclass</w:t>
      </w:r>
      <w:proofErr w:type="spellEnd"/>
      <w:r w:rsidRPr="00CC0574">
        <w:t xml:space="preserve"> for any process by which values are assigned to a property, and when required, instances of this </w:t>
      </w:r>
      <w:proofErr w:type="spellStart"/>
      <w:r w:rsidRPr="00CC0574">
        <w:t>metaclass</w:t>
      </w:r>
      <w:proofErr w:type="spellEnd"/>
      <w:r w:rsidRPr="00CC0574">
        <w:t xml:space="preserve"> support auditing the evidence for assignment of a property value. </w:t>
      </w:r>
    </w:p>
    <w:p w:rsidR="00CC0574" w:rsidRPr="00CC0574" w:rsidRDefault="00CC0574" w:rsidP="00CC0574">
      <w:pPr>
        <w:pStyle w:val="BodyText0"/>
      </w:pPr>
      <w:r w:rsidRPr="00CC0574">
        <w:t xml:space="preserve">The feature type </w:t>
      </w:r>
      <w:proofErr w:type="spellStart"/>
      <w:r w:rsidRPr="00CC0574">
        <w:t>OM_Observation</w:t>
      </w:r>
      <w:proofErr w:type="spellEnd"/>
      <w:r w:rsidRPr="00CC0574">
        <w:t xml:space="preserve"> (ISO 19156:2011), and the classes </w:t>
      </w:r>
      <w:proofErr w:type="spellStart"/>
      <w:r w:rsidRPr="00CC0574">
        <w:t>LI_ProcessStep</w:t>
      </w:r>
      <w:proofErr w:type="spellEnd"/>
      <w:r w:rsidRPr="00CC0574">
        <w:t xml:space="preserve"> (ISO 19115-1:201X) and </w:t>
      </w:r>
      <w:proofErr w:type="spellStart"/>
      <w:r w:rsidRPr="00CC0574">
        <w:t>MI_Event</w:t>
      </w:r>
      <w:proofErr w:type="spellEnd"/>
      <w:r w:rsidRPr="00CC0574">
        <w:t xml:space="preserve"> (ISO 19115-2:2009) may be interpreted as instances of </w:t>
      </w:r>
      <w:proofErr w:type="spellStart"/>
      <w:r w:rsidRPr="00CC0574">
        <w:t>ValueAssignment</w:t>
      </w:r>
      <w:proofErr w:type="spellEnd"/>
      <w:r w:rsidRPr="00CC0574">
        <w:t>. The description of a specific observation can provide an evaluation of the likely error in a property value. </w:t>
      </w:r>
    </w:p>
    <w:p w:rsidR="00CC0574" w:rsidRDefault="00CC0574" w:rsidP="00F35F35">
      <w:pPr>
        <w:pStyle w:val="BodyTextNumbered"/>
        <w:numPr>
          <w:ilvl w:val="0"/>
          <w:numId w:val="0"/>
        </w:numPr>
        <w:ind w:left="432" w:hanging="432"/>
      </w:pPr>
    </w:p>
    <w:p w:rsidR="00CC0574" w:rsidRPr="00FF65B9" w:rsidRDefault="00CC0574" w:rsidP="00F35F35">
      <w:pPr>
        <w:pStyle w:val="BodyTextNumbered"/>
        <w:numPr>
          <w:ilvl w:val="0"/>
          <w:numId w:val="0"/>
        </w:numPr>
        <w:ind w:left="432" w:hanging="432"/>
      </w:pPr>
    </w:p>
    <w:p w:rsidR="00F35F35" w:rsidRPr="00FF65B9" w:rsidRDefault="00F35F35" w:rsidP="00F35F35">
      <w:pPr>
        <w:pStyle w:val="BodyTextNumbered"/>
        <w:numPr>
          <w:ilvl w:val="0"/>
          <w:numId w:val="0"/>
        </w:numPr>
        <w:ind w:left="432" w:hanging="432"/>
        <w:sectPr w:rsidR="00F35F35" w:rsidRPr="00FF65B9" w:rsidSect="0019137E">
          <w:headerReference w:type="default" r:id="rId11"/>
          <w:pgSz w:w="11907" w:h="16840" w:code="9"/>
          <w:pgMar w:top="1134" w:right="1134" w:bottom="1134" w:left="1134" w:header="1134" w:footer="1134" w:gutter="0"/>
          <w:pgNumType w:start="1"/>
          <w:cols w:space="720"/>
          <w:docGrid w:linePitch="360"/>
        </w:sectPr>
      </w:pPr>
    </w:p>
    <w:p w:rsidR="00F35F35" w:rsidRPr="00FF65B9" w:rsidRDefault="00F35F35" w:rsidP="000E3612">
      <w:pPr>
        <w:pStyle w:val="Heading1"/>
        <w:jc w:val="center"/>
      </w:pPr>
      <w:r w:rsidRPr="00FF65B9">
        <w:lastRenderedPageBreak/>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Actions</w:t>
      </w:r>
    </w:p>
    <w:p w:rsidR="006E352D" w:rsidRDefault="00F35F35">
      <w:pPr>
        <w:pStyle w:val="TOC1"/>
        <w:rPr>
          <w:rFonts w:asciiTheme="minorHAnsi" w:eastAsiaTheme="minorEastAsia" w:hAnsiTheme="minorHAnsi" w:cstheme="minorBidi"/>
          <w:bCs w:val="0"/>
          <w:noProof/>
          <w:szCs w:val="22"/>
          <w:lang w:eastAsia="zh-TW"/>
        </w:rPr>
      </w:pPr>
      <w:r w:rsidRPr="00FF65B9">
        <w:fldChar w:fldCharType="begin"/>
      </w:r>
      <w:r w:rsidRPr="00FF65B9">
        <w:instrText xml:space="preserve"> TOC \n \h \z \t "_Action,1" </w:instrText>
      </w:r>
      <w:r w:rsidRPr="00FF65B9">
        <w:fldChar w:fldCharType="separate"/>
      </w:r>
      <w:hyperlink w:anchor="_Toc437349079" w:history="1">
        <w:r w:rsidR="006E352D" w:rsidRPr="00C90C6C">
          <w:rPr>
            <w:rStyle w:val="Hyperlink"/>
            <w:b/>
            <w:noProof/>
          </w:rPr>
          <w:t>A1</w:t>
        </w:r>
        <w:r w:rsidR="006E352D">
          <w:rPr>
            <w:rFonts w:asciiTheme="minorHAnsi" w:eastAsiaTheme="minorEastAsia" w:hAnsiTheme="minorHAnsi" w:cstheme="minorBidi"/>
            <w:bCs w:val="0"/>
            <w:noProof/>
            <w:szCs w:val="22"/>
            <w:lang w:eastAsia="zh-TW"/>
          </w:rPr>
          <w:tab/>
        </w:r>
        <w:r w:rsidR="006E352D" w:rsidRPr="00C90C6C">
          <w:rPr>
            <w:rStyle w:val="Hyperlink"/>
            <w:noProof/>
          </w:rPr>
          <w:t>Braeckel and Hunter:  iterate the ‘simplified’ IWXXM schema (based on the illustrative examples)</w:t>
        </w:r>
      </w:hyperlink>
    </w:p>
    <w:p w:rsidR="006E352D" w:rsidRDefault="006E352D">
      <w:pPr>
        <w:pStyle w:val="TOC1"/>
        <w:rPr>
          <w:rFonts w:asciiTheme="minorHAnsi" w:eastAsiaTheme="minorEastAsia" w:hAnsiTheme="minorHAnsi" w:cstheme="minorBidi"/>
          <w:bCs w:val="0"/>
          <w:noProof/>
          <w:szCs w:val="22"/>
          <w:lang w:eastAsia="zh-TW"/>
        </w:rPr>
      </w:pPr>
      <w:hyperlink w:anchor="_Toc437349080" w:history="1">
        <w:r w:rsidRPr="00C90C6C">
          <w:rPr>
            <w:rStyle w:val="Hyperlink"/>
            <w:b/>
            <w:noProof/>
          </w:rPr>
          <w:t>A2</w:t>
        </w:r>
        <w:r>
          <w:rPr>
            <w:rFonts w:asciiTheme="minorHAnsi" w:eastAsiaTheme="minorEastAsia" w:hAnsiTheme="minorHAnsi" w:cstheme="minorBidi"/>
            <w:bCs w:val="0"/>
            <w:noProof/>
            <w:szCs w:val="22"/>
            <w:lang w:eastAsia="zh-TW"/>
          </w:rPr>
          <w:tab/>
        </w:r>
        <w:r w:rsidRPr="00C90C6C">
          <w:rPr>
            <w:rStyle w:val="Hyperlink"/>
            <w:noProof/>
          </w:rPr>
          <w:t>Tandy and Hunter:  investigate how values from the product-centric IWXXM properties might be related to data-centric ‘WIGOS’ style observations from which those values are derived</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Decisions</w:t>
      </w:r>
    </w:p>
    <w:p w:rsidR="00F35F35" w:rsidRPr="00FF65B9" w:rsidRDefault="00F35F35" w:rsidP="00F35F35">
      <w:pPr>
        <w:pStyle w:val="BodyText1"/>
      </w:pPr>
    </w:p>
    <w:p w:rsidR="006E352D" w:rsidRDefault="00F35F35">
      <w:pPr>
        <w:pStyle w:val="TOC1"/>
        <w:rPr>
          <w:rFonts w:asciiTheme="minorHAnsi" w:eastAsiaTheme="minorEastAsia" w:hAnsiTheme="minorHAnsi" w:cstheme="minorBidi"/>
          <w:bCs w:val="0"/>
          <w:noProof/>
          <w:szCs w:val="22"/>
          <w:lang w:eastAsia="zh-TW"/>
        </w:rPr>
      </w:pPr>
      <w:r w:rsidRPr="00FF65B9">
        <w:fldChar w:fldCharType="begin"/>
      </w:r>
      <w:r w:rsidRPr="00FF65B9">
        <w:instrText xml:space="preserve"> TOC \n \h \z \t "_Decision,1" </w:instrText>
      </w:r>
      <w:r w:rsidRPr="00FF65B9">
        <w:fldChar w:fldCharType="separate"/>
      </w:r>
      <w:hyperlink w:anchor="_Toc437349082" w:history="1">
        <w:r w:rsidR="006E352D" w:rsidRPr="00C75CF9">
          <w:rPr>
            <w:rStyle w:val="Hyperlink"/>
            <w:b/>
            <w:noProof/>
          </w:rPr>
          <w:t>D1</w:t>
        </w:r>
        <w:r w:rsidR="006E352D">
          <w:rPr>
            <w:rFonts w:asciiTheme="minorHAnsi" w:eastAsiaTheme="minorEastAsia" w:hAnsiTheme="minorHAnsi" w:cstheme="minorBidi"/>
            <w:bCs w:val="0"/>
            <w:noProof/>
            <w:szCs w:val="22"/>
            <w:lang w:eastAsia="zh-TW"/>
          </w:rPr>
          <w:tab/>
        </w:r>
        <w:r w:rsidR="006E352D" w:rsidRPr="00C75CF9">
          <w:rPr>
            <w:rStyle w:val="Hyperlink"/>
            <w:noProof/>
          </w:rPr>
          <w:t>It was decided to remove O&amp;M from IWXXM and restructure the messages.</w:t>
        </w:r>
      </w:hyperlink>
    </w:p>
    <w:p w:rsidR="006E352D" w:rsidRDefault="006E352D">
      <w:pPr>
        <w:pStyle w:val="TOC1"/>
        <w:rPr>
          <w:rFonts w:asciiTheme="minorHAnsi" w:eastAsiaTheme="minorEastAsia" w:hAnsiTheme="minorHAnsi" w:cstheme="minorBidi"/>
          <w:bCs w:val="0"/>
          <w:noProof/>
          <w:szCs w:val="22"/>
          <w:lang w:eastAsia="zh-TW"/>
        </w:rPr>
      </w:pPr>
      <w:hyperlink w:anchor="_Toc437349083" w:history="1">
        <w:r w:rsidRPr="00C75CF9">
          <w:rPr>
            <w:rStyle w:val="Hyperlink"/>
            <w:b/>
            <w:noProof/>
          </w:rPr>
          <w:t>D2</w:t>
        </w:r>
        <w:r>
          <w:rPr>
            <w:rFonts w:asciiTheme="minorHAnsi" w:eastAsiaTheme="minorEastAsia" w:hAnsiTheme="minorHAnsi" w:cstheme="minorBidi"/>
            <w:bCs w:val="0"/>
            <w:noProof/>
            <w:szCs w:val="22"/>
            <w:lang w:eastAsia="zh-TW"/>
          </w:rPr>
          <w:tab/>
        </w:r>
        <w:r w:rsidRPr="00C75CF9">
          <w:rPr>
            <w:rStyle w:val="Hyperlink"/>
            <w:noProof/>
          </w:rPr>
          <w:t>It was also decided to go further in the review of the structure and seek for further simplification.</w:t>
        </w:r>
      </w:hyperlink>
    </w:p>
    <w:p w:rsidR="006E352D" w:rsidRPr="00FF65B9" w:rsidRDefault="00F35F35" w:rsidP="006E352D">
      <w:r w:rsidRPr="00FF65B9">
        <w:fldChar w:fldCharType="end"/>
      </w:r>
    </w:p>
    <w:p w:rsidR="00540C17" w:rsidRPr="00FF65B9" w:rsidRDefault="00540C17" w:rsidP="00F35F35"/>
    <w:p w:rsidR="00F35F35" w:rsidRPr="00FF65B9" w:rsidRDefault="00F35F35" w:rsidP="00F35F35"/>
    <w:p w:rsidR="00F35F35" w:rsidRPr="00FF65B9" w:rsidRDefault="00F35F35" w:rsidP="00F35F35">
      <w:pPr>
        <w:pStyle w:val="BodyText0"/>
        <w:jc w:val="center"/>
      </w:pPr>
      <w:r w:rsidRPr="00FF65B9">
        <w:t>____________</w:t>
      </w:r>
    </w:p>
    <w:p w:rsidR="00F35F35" w:rsidRPr="00FF65B9" w:rsidRDefault="00F35F35" w:rsidP="00413EDA"/>
    <w:p w:rsidR="00F35F35" w:rsidRPr="00FF65B9" w:rsidRDefault="00F35F35" w:rsidP="00413EDA"/>
    <w:sectPr w:rsidR="00F35F35" w:rsidRPr="00FF65B9" w:rsidSect="001C16A8">
      <w:head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991" w:rsidRDefault="00F30991">
      <w:r>
        <w:separator/>
      </w:r>
    </w:p>
    <w:p w:rsidR="00F30991" w:rsidRDefault="00F30991"/>
  </w:endnote>
  <w:endnote w:type="continuationSeparator" w:id="0">
    <w:p w:rsidR="00F30991" w:rsidRDefault="00F30991">
      <w:r>
        <w:continuationSeparator/>
      </w:r>
    </w:p>
    <w:p w:rsidR="00F30991" w:rsidRDefault="00F309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991" w:rsidRDefault="00F30991">
      <w:r>
        <w:separator/>
      </w:r>
    </w:p>
    <w:p w:rsidR="00F30991" w:rsidRDefault="00F30991"/>
  </w:footnote>
  <w:footnote w:type="continuationSeparator" w:id="0">
    <w:p w:rsidR="00F30991" w:rsidRDefault="00F30991">
      <w:r>
        <w:continuationSeparator/>
      </w:r>
    </w:p>
    <w:p w:rsidR="00F30991" w:rsidRDefault="00F309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35" w:rsidRPr="00C10690" w:rsidRDefault="00F30991" w:rsidP="004447EF">
    <w:pPr>
      <w:pStyle w:val="Header"/>
      <w:pBdr>
        <w:bottom w:val="single" w:sz="4" w:space="1" w:color="auto"/>
      </w:pBdr>
      <w:rPr>
        <w:rStyle w:val="PageNumber"/>
        <w:lang w:val="en-GB"/>
      </w:rPr>
    </w:pPr>
    <w:r>
      <w:rPr>
        <w:bCs/>
        <w:lang w:val="fr-CH" w:eastAsia="zh-CN"/>
      </w:rPr>
      <w:t>TT-AvXML-T4-2</w:t>
    </w:r>
    <w:r w:rsidR="001A5CB4">
      <w:rPr>
        <w:bCs/>
        <w:lang w:val="fr-CH" w:eastAsia="zh-CN"/>
      </w:rPr>
      <w:t>/</w:t>
    </w:r>
    <w:r>
      <w:rPr>
        <w:bCs/>
        <w:lang w:val="fr-CH" w:eastAsia="zh-CN"/>
      </w:rPr>
      <w:t>Report</w:t>
    </w:r>
    <w:r w:rsidR="00F35F35" w:rsidRPr="00C10690">
      <w:rPr>
        <w:lang w:val="en-GB"/>
      </w:rPr>
      <w:t>, p</w:t>
    </w:r>
    <w:r w:rsidR="00F35F35">
      <w:rPr>
        <w:rStyle w:val="PageNumber"/>
      </w:rPr>
      <w:fldChar w:fldCharType="begin"/>
    </w:r>
    <w:r w:rsidR="00F35F35" w:rsidRPr="00C10690">
      <w:rPr>
        <w:rStyle w:val="PageNumber"/>
        <w:lang w:val="en-GB"/>
      </w:rPr>
      <w:instrText xml:space="preserve"> PAGE </w:instrText>
    </w:r>
    <w:r w:rsidR="00F35F35">
      <w:rPr>
        <w:rStyle w:val="PageNumber"/>
      </w:rPr>
      <w:fldChar w:fldCharType="separate"/>
    </w:r>
    <w:r w:rsidR="00E07432">
      <w:rPr>
        <w:rStyle w:val="PageNumber"/>
        <w:noProof/>
        <w:lang w:val="en-GB"/>
      </w:rPr>
      <w:t>1</w:t>
    </w:r>
    <w:r w:rsidR="00F35F35">
      <w:rPr>
        <w:rStyle w:val="PageNumber"/>
      </w:rPr>
      <w:fldChar w:fldCharType="end"/>
    </w:r>
  </w:p>
  <w:p w:rsidR="00F35F35" w:rsidRPr="00C10690" w:rsidRDefault="00F35F35"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C2F56A"/>
    <w:lvl w:ilvl="0">
      <w:start w:val="1"/>
      <w:numFmt w:val="decimal"/>
      <w:lvlText w:val="%1."/>
      <w:lvlJc w:val="left"/>
      <w:pPr>
        <w:tabs>
          <w:tab w:val="num" w:pos="1492"/>
        </w:tabs>
        <w:ind w:left="1492" w:hanging="360"/>
      </w:pPr>
    </w:lvl>
  </w:abstractNum>
  <w:abstractNum w:abstractNumId="1">
    <w:nsid w:val="FFFFFF7D"/>
    <w:multiLevelType w:val="singleLevel"/>
    <w:tmpl w:val="65D6555A"/>
    <w:lvl w:ilvl="0">
      <w:start w:val="1"/>
      <w:numFmt w:val="decimal"/>
      <w:lvlText w:val="%1."/>
      <w:lvlJc w:val="left"/>
      <w:pPr>
        <w:tabs>
          <w:tab w:val="num" w:pos="1209"/>
        </w:tabs>
        <w:ind w:left="1209" w:hanging="360"/>
      </w:pPr>
    </w:lvl>
  </w:abstractNum>
  <w:abstractNum w:abstractNumId="2">
    <w:nsid w:val="FFFFFF7E"/>
    <w:multiLevelType w:val="singleLevel"/>
    <w:tmpl w:val="E2825B1A"/>
    <w:lvl w:ilvl="0">
      <w:start w:val="1"/>
      <w:numFmt w:val="decimal"/>
      <w:lvlText w:val="%1."/>
      <w:lvlJc w:val="left"/>
      <w:pPr>
        <w:tabs>
          <w:tab w:val="num" w:pos="926"/>
        </w:tabs>
        <w:ind w:left="926" w:hanging="360"/>
      </w:pPr>
    </w:lvl>
  </w:abstractNum>
  <w:abstractNum w:abstractNumId="3">
    <w:nsid w:val="FFFFFF7F"/>
    <w:multiLevelType w:val="singleLevel"/>
    <w:tmpl w:val="557CD0A8"/>
    <w:lvl w:ilvl="0">
      <w:start w:val="1"/>
      <w:numFmt w:val="decimal"/>
      <w:lvlText w:val="%1."/>
      <w:lvlJc w:val="left"/>
      <w:pPr>
        <w:tabs>
          <w:tab w:val="num" w:pos="643"/>
        </w:tabs>
        <w:ind w:left="643" w:hanging="360"/>
      </w:pPr>
    </w:lvl>
  </w:abstractNum>
  <w:abstractNum w:abstractNumId="4">
    <w:nsid w:val="FFFFFF80"/>
    <w:multiLevelType w:val="singleLevel"/>
    <w:tmpl w:val="482410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9042C9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D469D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F6CFD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7386ED4"/>
    <w:lvl w:ilvl="0">
      <w:start w:val="1"/>
      <w:numFmt w:val="decimal"/>
      <w:lvlText w:val="%1."/>
      <w:lvlJc w:val="left"/>
      <w:pPr>
        <w:tabs>
          <w:tab w:val="num" w:pos="360"/>
        </w:tabs>
        <w:ind w:left="360" w:hanging="360"/>
      </w:pPr>
    </w:lvl>
  </w:abstractNum>
  <w:abstractNum w:abstractNumId="9">
    <w:nsid w:val="FFFFFF89"/>
    <w:multiLevelType w:val="singleLevel"/>
    <w:tmpl w:val="7F04222A"/>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9EE5AA7"/>
    <w:multiLevelType w:val="multilevel"/>
    <w:tmpl w:val="285CA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0820B11"/>
    <w:multiLevelType w:val="multilevel"/>
    <w:tmpl w:val="8010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9">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1">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2">
    <w:nsid w:val="59BE16A1"/>
    <w:multiLevelType w:val="multilevel"/>
    <w:tmpl w:val="AA5E6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8C2B0B"/>
    <w:multiLevelType w:val="hybridMultilevel"/>
    <w:tmpl w:val="1E2A7BC4"/>
    <w:lvl w:ilvl="0" w:tplc="D820E05C">
      <w:start w:val="1"/>
      <w:numFmt w:val="bullet"/>
      <w:pStyle w:val="BodyText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9">
    <w:nsid w:val="7DB31E2E"/>
    <w:multiLevelType w:val="multilevel"/>
    <w:tmpl w:val="0409001F"/>
    <w:numStyleLink w:val="111111"/>
  </w:abstractNum>
  <w:abstractNum w:abstractNumId="4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40"/>
  </w:num>
  <w:num w:numId="3">
    <w:abstractNumId w:val="24"/>
  </w:num>
  <w:num w:numId="4">
    <w:abstractNumId w:val="33"/>
  </w:num>
  <w:num w:numId="5">
    <w:abstractNumId w:val="14"/>
  </w:num>
  <w:num w:numId="6">
    <w:abstractNumId w:val="22"/>
  </w:num>
  <w:num w:numId="7">
    <w:abstractNumId w:val="15"/>
  </w:num>
  <w:num w:numId="8">
    <w:abstractNumId w:val="27"/>
  </w:num>
  <w:num w:numId="9">
    <w:abstractNumId w:val="19"/>
  </w:num>
  <w:num w:numId="10">
    <w:abstractNumId w:val="17"/>
  </w:num>
  <w:num w:numId="11">
    <w:abstractNumId w:val="31"/>
  </w:num>
  <w:num w:numId="12">
    <w:abstractNumId w:val="10"/>
  </w:num>
  <w:num w:numId="13">
    <w:abstractNumId w:val="23"/>
  </w:num>
  <w:num w:numId="14">
    <w:abstractNumId w:val="37"/>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0"/>
  </w:num>
  <w:num w:numId="28">
    <w:abstractNumId w:val="11"/>
  </w:num>
  <w:num w:numId="29">
    <w:abstractNumId w:val="36"/>
  </w:num>
  <w:num w:numId="30">
    <w:abstractNumId w:val="35"/>
  </w:num>
  <w:num w:numId="31">
    <w:abstractNumId w:val="12"/>
  </w:num>
  <w:num w:numId="32">
    <w:abstractNumId w:val="34"/>
  </w:num>
  <w:num w:numId="33">
    <w:abstractNumId w:val="39"/>
    <w:lvlOverride w:ilvl="0">
      <w:lvl w:ilvl="0">
        <w:start w:val="1"/>
        <w:numFmt w:val="decimal"/>
        <w:pStyle w:val="BodyTextNumbered"/>
        <w:lvlText w:val="%1."/>
        <w:lvlJc w:val="left"/>
        <w:pPr>
          <w:tabs>
            <w:tab w:val="num" w:pos="720"/>
          </w:tabs>
          <w:ind w:left="360" w:hanging="360"/>
        </w:pPr>
      </w:lvl>
    </w:lvlOverride>
  </w:num>
  <w:num w:numId="34">
    <w:abstractNumId w:val="13"/>
  </w:num>
  <w:num w:numId="35">
    <w:abstractNumId w:val="28"/>
  </w:num>
  <w:num w:numId="36">
    <w:abstractNumId w:val="29"/>
  </w:num>
  <w:num w:numId="37">
    <w:abstractNumId w:val="38"/>
  </w:num>
  <w:num w:numId="38">
    <w:abstractNumId w:val="18"/>
  </w:num>
  <w:num w:numId="39">
    <w:abstractNumId w:val="21"/>
  </w:num>
  <w:num w:numId="40">
    <w:abstractNumId w:val="32"/>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991"/>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352D"/>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0574"/>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07432"/>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0991"/>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3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paragraph" w:customStyle="1" w:styleId="Personal">
    <w:name w:val="_Personal"/>
    <w:basedOn w:val="BodyText0"/>
    <w:next w:val="BodyTextNumbered"/>
    <w:qFormat/>
    <w:rsid w:val="00540C17"/>
    <w:pPr>
      <w:numPr>
        <w:numId w:val="38"/>
      </w:numPr>
      <w:ind w:left="357" w:hanging="357"/>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3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paragraph" w:customStyle="1" w:styleId="Personal">
    <w:name w:val="_Personal"/>
    <w:basedOn w:val="BodyText0"/>
    <w:next w:val="BodyTextNumbered"/>
    <w:qFormat/>
    <w:rsid w:val="00540C17"/>
    <w:pPr>
      <w:numPr>
        <w:numId w:val="38"/>
      </w:numPr>
      <w:ind w:left="357" w:hanging="357"/>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05031">
      <w:bodyDiv w:val="1"/>
      <w:marLeft w:val="0"/>
      <w:marRight w:val="0"/>
      <w:marTop w:val="0"/>
      <w:marBottom w:val="0"/>
      <w:divBdr>
        <w:top w:val="none" w:sz="0" w:space="0" w:color="auto"/>
        <w:left w:val="none" w:sz="0" w:space="0" w:color="auto"/>
        <w:bottom w:val="none" w:sz="0" w:space="0" w:color="auto"/>
        <w:right w:val="none" w:sz="0" w:space="0" w:color="auto"/>
      </w:divBdr>
      <w:divsChild>
        <w:div w:id="1898201353">
          <w:marLeft w:val="0"/>
          <w:marRight w:val="0"/>
          <w:marTop w:val="0"/>
          <w:marBottom w:val="0"/>
          <w:divBdr>
            <w:top w:val="none" w:sz="0" w:space="0" w:color="auto"/>
            <w:left w:val="none" w:sz="0" w:space="0" w:color="auto"/>
            <w:bottom w:val="none" w:sz="0" w:space="0" w:color="auto"/>
            <w:right w:val="none" w:sz="0" w:space="0" w:color="auto"/>
          </w:divBdr>
          <w:divsChild>
            <w:div w:id="707729119">
              <w:marLeft w:val="0"/>
              <w:marRight w:val="0"/>
              <w:marTop w:val="0"/>
              <w:marBottom w:val="0"/>
              <w:divBdr>
                <w:top w:val="none" w:sz="0" w:space="0" w:color="auto"/>
                <w:left w:val="none" w:sz="0" w:space="0" w:color="auto"/>
                <w:bottom w:val="none" w:sz="0" w:space="0" w:color="auto"/>
                <w:right w:val="none" w:sz="0" w:space="0" w:color="auto"/>
              </w:divBdr>
              <w:divsChild>
                <w:div w:id="193736078">
                  <w:marLeft w:val="0"/>
                  <w:marRight w:val="0"/>
                  <w:marTop w:val="0"/>
                  <w:marBottom w:val="0"/>
                  <w:divBdr>
                    <w:top w:val="none" w:sz="0" w:space="0" w:color="auto"/>
                    <w:left w:val="none" w:sz="0" w:space="0" w:color="auto"/>
                    <w:bottom w:val="none" w:sz="0" w:space="0" w:color="auto"/>
                    <w:right w:val="none" w:sz="0" w:space="0" w:color="auto"/>
                  </w:divBdr>
                  <w:divsChild>
                    <w:div w:id="140941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87946">
          <w:marLeft w:val="0"/>
          <w:marRight w:val="0"/>
          <w:marTop w:val="0"/>
          <w:marBottom w:val="0"/>
          <w:divBdr>
            <w:top w:val="none" w:sz="0" w:space="0" w:color="auto"/>
            <w:left w:val="none" w:sz="0" w:space="0" w:color="auto"/>
            <w:bottom w:val="none" w:sz="0" w:space="0" w:color="auto"/>
            <w:right w:val="none" w:sz="0" w:space="0" w:color="auto"/>
          </w:divBdr>
          <w:divsChild>
            <w:div w:id="28989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190894">
      <w:bodyDiv w:val="1"/>
      <w:marLeft w:val="0"/>
      <w:marRight w:val="0"/>
      <w:marTop w:val="0"/>
      <w:marBottom w:val="0"/>
      <w:divBdr>
        <w:top w:val="none" w:sz="0" w:space="0" w:color="auto"/>
        <w:left w:val="none" w:sz="0" w:space="0" w:color="auto"/>
        <w:bottom w:val="none" w:sz="0" w:space="0" w:color="auto"/>
        <w:right w:val="none" w:sz="0" w:space="0" w:color="auto"/>
      </w:divBdr>
      <w:divsChild>
        <w:div w:id="642930820">
          <w:marLeft w:val="0"/>
          <w:marRight w:val="0"/>
          <w:marTop w:val="0"/>
          <w:marBottom w:val="0"/>
          <w:divBdr>
            <w:top w:val="none" w:sz="0" w:space="0" w:color="auto"/>
            <w:left w:val="none" w:sz="0" w:space="0" w:color="auto"/>
            <w:bottom w:val="none" w:sz="0" w:space="0" w:color="auto"/>
            <w:right w:val="none" w:sz="0" w:space="0" w:color="auto"/>
          </w:divBdr>
          <w:divsChild>
            <w:div w:id="1954286323">
              <w:marLeft w:val="0"/>
              <w:marRight w:val="0"/>
              <w:marTop w:val="0"/>
              <w:marBottom w:val="0"/>
              <w:divBdr>
                <w:top w:val="none" w:sz="0" w:space="0" w:color="auto"/>
                <w:left w:val="none" w:sz="0" w:space="0" w:color="auto"/>
                <w:bottom w:val="none" w:sz="0" w:space="0" w:color="auto"/>
                <w:right w:val="none" w:sz="0" w:space="0" w:color="auto"/>
              </w:divBdr>
              <w:divsChild>
                <w:div w:id="1314288074">
                  <w:marLeft w:val="0"/>
                  <w:marRight w:val="0"/>
                  <w:marTop w:val="0"/>
                  <w:marBottom w:val="0"/>
                  <w:divBdr>
                    <w:top w:val="none" w:sz="0" w:space="0" w:color="auto"/>
                    <w:left w:val="none" w:sz="0" w:space="0" w:color="auto"/>
                    <w:bottom w:val="none" w:sz="0" w:space="0" w:color="auto"/>
                    <w:right w:val="none" w:sz="0" w:space="0" w:color="auto"/>
                  </w:divBdr>
                  <w:divsChild>
                    <w:div w:id="172621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46997">
          <w:marLeft w:val="0"/>
          <w:marRight w:val="0"/>
          <w:marTop w:val="0"/>
          <w:marBottom w:val="0"/>
          <w:divBdr>
            <w:top w:val="none" w:sz="0" w:space="0" w:color="auto"/>
            <w:left w:val="none" w:sz="0" w:space="0" w:color="auto"/>
            <w:bottom w:val="none" w:sz="0" w:space="0" w:color="auto"/>
            <w:right w:val="none" w:sz="0" w:space="0" w:color="auto"/>
          </w:divBdr>
          <w:divsChild>
            <w:div w:id="183213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28422-E259-4611-98EB-CE80387B0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16</TotalTime>
  <Pages>5</Pages>
  <Words>1583</Words>
  <Characters>9025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10587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4</cp:revision>
  <cp:lastPrinted>2012-03-15T15:21:00Z</cp:lastPrinted>
  <dcterms:created xsi:type="dcterms:W3CDTF">2015-12-08T13:27:00Z</dcterms:created>
  <dcterms:modified xsi:type="dcterms:W3CDTF">2015-12-08T13:43:00Z</dcterms:modified>
</cp:coreProperties>
</file>