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B05BBA">
            <w:pPr>
              <w:pStyle w:val="BodyText0"/>
              <w:rPr>
                <w:rFonts w:cs="Helvetica"/>
              </w:rPr>
            </w:pPr>
            <w:r w:rsidRPr="00FF65B9">
              <w:t>WORLD WEATHER WATCH</w:t>
            </w:r>
            <w:r w:rsidRPr="00FF65B9">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en-GB"/>
              </w:rPr>
              <w:drawing>
                <wp:inline distT="0" distB="0" distL="0" distR="0" wp14:anchorId="154A7A74" wp14:editId="65486824">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F65B9" w:rsidTr="001C16A8">
        <w:trPr>
          <w:cantSplit/>
          <w:trHeight w:val="312"/>
        </w:trPr>
        <w:tc>
          <w:tcPr>
            <w:tcW w:w="6228" w:type="dxa"/>
            <w:gridSpan w:val="2"/>
            <w:vMerge w:val="restart"/>
          </w:tcPr>
          <w:p w:rsidR="00E95AB2" w:rsidRPr="00FF65B9" w:rsidRDefault="00220EEA" w:rsidP="001C16A8">
            <w:pPr>
              <w:rPr>
                <w:b/>
              </w:rPr>
            </w:pPr>
            <w:r>
              <w:rPr>
                <w:b/>
              </w:rPr>
              <w:t>IPET-MDRD</w:t>
            </w:r>
          </w:p>
          <w:p w:rsidR="00430A5B" w:rsidRPr="00FF65B9" w:rsidRDefault="00430A5B" w:rsidP="001C16A8">
            <w:pPr>
              <w:rPr>
                <w:b/>
              </w:rPr>
            </w:pPr>
          </w:p>
          <w:p w:rsidR="001C16A8" w:rsidRPr="00FF65B9" w:rsidRDefault="00220EEA" w:rsidP="001C16A8">
            <w:r>
              <w:t>Teleconference, 0900 30 September 2015</w:t>
            </w:r>
            <w:r w:rsidR="004447EF" w:rsidRPr="00FF65B9">
              <w:t xml:space="preserve"> </w:t>
            </w:r>
          </w:p>
        </w:tc>
        <w:tc>
          <w:tcPr>
            <w:tcW w:w="3851" w:type="dxa"/>
          </w:tcPr>
          <w:p w:rsidR="001C16A8" w:rsidRPr="00B42F15" w:rsidRDefault="00220EEA" w:rsidP="00220EEA">
            <w:pPr>
              <w:jc w:val="right"/>
              <w:rPr>
                <w:b/>
                <w:lang w:eastAsia="zh-CN"/>
              </w:rPr>
            </w:pPr>
            <w:r>
              <w:rPr>
                <w:b/>
                <w:bCs/>
                <w:lang w:eastAsia="zh-CN"/>
              </w:rPr>
              <w:t>IPET-MDRD-2-T1</w:t>
            </w:r>
            <w:r w:rsidR="001A5CB4" w:rsidRPr="00FF65B9">
              <w:rPr>
                <w:b/>
                <w:bCs/>
                <w:lang w:eastAsia="zh-CN"/>
              </w:rPr>
              <w:t>/</w:t>
            </w:r>
            <w:r>
              <w:rPr>
                <w:b/>
                <w:bCs/>
                <w:lang w:eastAsia="zh-CN"/>
              </w:rPr>
              <w:t>Report</w:t>
            </w:r>
            <w:r w:rsidR="001C16A8" w:rsidRPr="00FF65B9">
              <w:rPr>
                <w:bCs/>
                <w:lang w:eastAsia="zh-CN"/>
              </w:rPr>
              <w:br/>
            </w:r>
            <w:bookmarkStart w:id="0" w:name="_GoBack"/>
            <w:bookmarkEnd w:id="0"/>
            <w:r w:rsidR="00B42F15" w:rsidRPr="006525B8">
              <w:rPr>
                <w:lang w:eastAsia="zh-CN"/>
              </w:rPr>
              <w:t xml:space="preserve">Submitted by: </w:t>
            </w:r>
            <w:r>
              <w:rPr>
                <w:lang w:eastAsia="zh-CN"/>
              </w:rPr>
              <w:t>Chair</w:t>
            </w:r>
          </w:p>
        </w:tc>
      </w:tr>
      <w:tr w:rsidR="001C16A8" w:rsidRPr="00FF65B9" w:rsidTr="001C16A8">
        <w:trPr>
          <w:cantSplit/>
          <w:trHeight w:val="81"/>
        </w:trPr>
        <w:tc>
          <w:tcPr>
            <w:tcW w:w="6228" w:type="dxa"/>
            <w:gridSpan w:val="2"/>
            <w:vMerge/>
          </w:tcPr>
          <w:p w:rsidR="001C16A8" w:rsidRPr="00FF65B9" w:rsidRDefault="001C16A8" w:rsidP="001C16A8">
            <w:pPr>
              <w:rPr>
                <w:rFonts w:ascii="Verdana" w:hAnsi="Verdana" w:cs="Verdana"/>
                <w:sz w:val="20"/>
              </w:rPr>
            </w:pPr>
          </w:p>
        </w:tc>
        <w:tc>
          <w:tcPr>
            <w:tcW w:w="3851" w:type="dxa"/>
          </w:tcPr>
          <w:p w:rsidR="001C16A8" w:rsidRPr="00FF65B9" w:rsidRDefault="00220EEA" w:rsidP="001C16A8">
            <w:pPr>
              <w:jc w:val="right"/>
              <w:rPr>
                <w:lang w:eastAsia="zh-CN"/>
              </w:rPr>
            </w:pPr>
            <w:r>
              <w:rPr>
                <w:bCs/>
                <w:lang w:eastAsia="zh-CN"/>
              </w:rPr>
              <w:t>30 September 2015</w:t>
            </w:r>
          </w:p>
        </w:tc>
      </w:tr>
    </w:tbl>
    <w:p w:rsidR="00D22E8A" w:rsidRPr="00FF65B9" w:rsidRDefault="00D22E8A" w:rsidP="00415F4C"/>
    <w:p w:rsidR="00480313" w:rsidRPr="00FF65B9" w:rsidRDefault="00220EEA" w:rsidP="000E3612">
      <w:pPr>
        <w:pStyle w:val="Heading1"/>
        <w:jc w:val="center"/>
      </w:pPr>
      <w:r>
        <w:t>Report on Teleconference 30 September 2015 – Representing WIGOS and Station Metadata</w:t>
      </w:r>
    </w:p>
    <w:p w:rsidR="00F35F35" w:rsidRPr="00FF65B9" w:rsidRDefault="00F35F35" w:rsidP="000E3612">
      <w:pPr>
        <w:pStyle w:val="Heading1"/>
        <w:jc w:val="center"/>
        <w:rPr>
          <w:snapToGrid w:val="0"/>
        </w:rPr>
      </w:pPr>
      <w:r w:rsidRPr="00FF65B9">
        <w:rPr>
          <w:snapToGrid w:val="0"/>
        </w:rPr>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796B82" w:rsidRDefault="00F35F35" w:rsidP="00F35F35">
      <w:pPr>
        <w:pStyle w:val="BodyText0"/>
        <w:rPr>
          <w:sz w:val="20"/>
          <w:szCs w:val="20"/>
        </w:rPr>
      </w:pPr>
      <w:r w:rsidRPr="00796B82">
        <w:rPr>
          <w:sz w:val="20"/>
          <w:szCs w:val="20"/>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796B82" w:rsidRDefault="00F35F35" w:rsidP="00F35F35">
      <w:pPr>
        <w:pStyle w:val="BodyText0"/>
        <w:rPr>
          <w:sz w:val="20"/>
          <w:szCs w:val="20"/>
        </w:rPr>
      </w:pPr>
      <w:r w:rsidRPr="00796B82">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796B82" w:rsidRDefault="00F35F35" w:rsidP="00F35F35">
      <w:pPr>
        <w:pStyle w:val="BodyText0"/>
        <w:rPr>
          <w:sz w:val="20"/>
          <w:szCs w:val="20"/>
        </w:rPr>
      </w:pPr>
      <w:r w:rsidRPr="00796B82">
        <w:rPr>
          <w:sz w:val="20"/>
          <w:szCs w:val="20"/>
        </w:rPr>
        <w:t xml:space="preserve">© World Meteorological Organization, </w:t>
      </w:r>
      <w:r w:rsidR="00220EEA">
        <w:rPr>
          <w:sz w:val="20"/>
          <w:szCs w:val="20"/>
        </w:rPr>
        <w:t>2015</w:t>
      </w:r>
    </w:p>
    <w:p w:rsidR="00F35F35" w:rsidRPr="00796B82" w:rsidRDefault="00F35F35" w:rsidP="00F35F35">
      <w:pPr>
        <w:pStyle w:val="BodyText0"/>
        <w:rPr>
          <w:sz w:val="20"/>
          <w:szCs w:val="20"/>
        </w:rPr>
      </w:pPr>
      <w:r w:rsidRPr="00796B82">
        <w:rPr>
          <w:sz w:val="20"/>
          <w:szCs w:val="20"/>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F35F35" w:rsidRPr="00796B82" w:rsidRDefault="00F35F35" w:rsidP="00F35F35">
      <w:pPr>
        <w:pStyle w:val="BodyText0"/>
        <w:rPr>
          <w:sz w:val="20"/>
          <w:szCs w:val="20"/>
        </w:rPr>
      </w:pPr>
      <w:r w:rsidRPr="00796B82">
        <w:rPr>
          <w:sz w:val="20"/>
          <w:szCs w:val="20"/>
        </w:rPr>
        <w:t>Chairperson, Publications Board</w:t>
      </w:r>
    </w:p>
    <w:p w:rsidR="00F35F35" w:rsidRPr="00796B82" w:rsidRDefault="00F35F35" w:rsidP="00F35F35">
      <w:pPr>
        <w:pStyle w:val="BodyText0"/>
        <w:rPr>
          <w:sz w:val="20"/>
          <w:szCs w:val="20"/>
        </w:rPr>
      </w:pPr>
      <w:r w:rsidRPr="00796B82">
        <w:rPr>
          <w:sz w:val="20"/>
          <w:szCs w:val="20"/>
        </w:rPr>
        <w:t>World Meteorological Organization (WMO)</w:t>
      </w:r>
    </w:p>
    <w:p w:rsidR="00F35F35" w:rsidRPr="00796B82" w:rsidRDefault="00F35F35" w:rsidP="00F35F35">
      <w:pPr>
        <w:pStyle w:val="BodyText0"/>
        <w:rPr>
          <w:sz w:val="20"/>
          <w:szCs w:val="20"/>
        </w:rPr>
      </w:pPr>
      <w:r w:rsidRPr="00796B82">
        <w:rPr>
          <w:sz w:val="20"/>
          <w:szCs w:val="20"/>
        </w:rPr>
        <w:t>7 bis, avenue de la Paix</w:t>
      </w:r>
      <w:r w:rsidRPr="00796B82">
        <w:rPr>
          <w:sz w:val="20"/>
          <w:szCs w:val="20"/>
        </w:rPr>
        <w:tab/>
      </w:r>
      <w:r w:rsidRPr="00796B82">
        <w:rPr>
          <w:sz w:val="20"/>
          <w:szCs w:val="20"/>
        </w:rPr>
        <w:tab/>
      </w:r>
      <w:r w:rsidRPr="00796B82">
        <w:rPr>
          <w:sz w:val="20"/>
          <w:szCs w:val="20"/>
        </w:rPr>
        <w:tab/>
      </w:r>
      <w:r w:rsidRPr="00796B82">
        <w:rPr>
          <w:sz w:val="20"/>
          <w:szCs w:val="20"/>
        </w:rPr>
        <w:tab/>
        <w:t>Tel.: +41 (0)22 730 84 03</w:t>
      </w:r>
    </w:p>
    <w:p w:rsidR="00F35F35" w:rsidRPr="00796B82" w:rsidRDefault="00F35F35" w:rsidP="00F35F35">
      <w:pPr>
        <w:pStyle w:val="BodyText0"/>
        <w:rPr>
          <w:sz w:val="20"/>
          <w:szCs w:val="20"/>
        </w:rPr>
      </w:pPr>
      <w:r w:rsidRPr="00796B82">
        <w:rPr>
          <w:sz w:val="20"/>
          <w:szCs w:val="20"/>
        </w:rPr>
        <w:t>P.O. Box No. 2300</w:t>
      </w:r>
      <w:r w:rsidRPr="00796B82">
        <w:rPr>
          <w:sz w:val="20"/>
          <w:szCs w:val="20"/>
        </w:rPr>
        <w:tab/>
      </w:r>
      <w:r w:rsidRPr="00796B82">
        <w:rPr>
          <w:sz w:val="20"/>
          <w:szCs w:val="20"/>
        </w:rPr>
        <w:tab/>
      </w:r>
      <w:r w:rsidRPr="00796B82">
        <w:rPr>
          <w:sz w:val="20"/>
          <w:szCs w:val="20"/>
        </w:rPr>
        <w:tab/>
      </w:r>
      <w:r w:rsidRPr="00796B82">
        <w:rPr>
          <w:sz w:val="20"/>
          <w:szCs w:val="20"/>
        </w:rPr>
        <w:tab/>
        <w:t>Fax: +41 (0)22 730 80 40</w:t>
      </w:r>
    </w:p>
    <w:p w:rsidR="00F35F35" w:rsidRPr="00796B82" w:rsidRDefault="00F35F35" w:rsidP="00F35F35">
      <w:pPr>
        <w:pStyle w:val="BodyText0"/>
        <w:rPr>
          <w:sz w:val="20"/>
          <w:szCs w:val="20"/>
        </w:rPr>
      </w:pPr>
      <w:r w:rsidRPr="00796B82">
        <w:rPr>
          <w:sz w:val="20"/>
          <w:szCs w:val="20"/>
        </w:rPr>
        <w:t>CH-1211 Geneva 2, Switzerland</w:t>
      </w:r>
      <w:r w:rsidRPr="00796B82">
        <w:rPr>
          <w:sz w:val="20"/>
          <w:szCs w:val="20"/>
        </w:rPr>
        <w:tab/>
      </w:r>
      <w:r w:rsidRPr="00796B82">
        <w:rPr>
          <w:sz w:val="20"/>
          <w:szCs w:val="20"/>
        </w:rPr>
        <w:tab/>
      </w:r>
      <w:r w:rsidRPr="00796B82">
        <w:rPr>
          <w:sz w:val="20"/>
          <w:szCs w:val="20"/>
        </w:rPr>
        <w:tab/>
      </w:r>
      <w:r w:rsidRPr="00796B82">
        <w:rPr>
          <w:sz w:val="20"/>
          <w:szCs w:val="20"/>
        </w:rPr>
        <w:tab/>
        <w:t xml:space="preserve">E-mail: </w:t>
      </w:r>
      <w:hyperlink r:id="rId10" w:history="1">
        <w:r w:rsidRPr="00796B82">
          <w:rPr>
            <w:rStyle w:val="Hyperlink"/>
            <w:sz w:val="20"/>
            <w:szCs w:val="20"/>
          </w:rPr>
          <w:t>Publications@wmo.int</w:t>
        </w:r>
      </w:hyperlink>
      <w:r w:rsidRPr="00796B82">
        <w:rPr>
          <w:sz w:val="20"/>
          <w:szCs w:val="20"/>
        </w:rPr>
        <w:t xml:space="preserve"> </w:t>
      </w:r>
    </w:p>
    <w:p w:rsidR="00796B82" w:rsidRPr="00796B82" w:rsidRDefault="00796B82" w:rsidP="00F35F35">
      <w:pPr>
        <w:pStyle w:val="BodyText0"/>
        <w:rPr>
          <w:sz w:val="20"/>
          <w:szCs w:val="20"/>
        </w:rPr>
      </w:pPr>
    </w:p>
    <w:p w:rsidR="00F35F35" w:rsidRPr="00796B82" w:rsidRDefault="00F35F35" w:rsidP="00F35F35">
      <w:pPr>
        <w:pStyle w:val="BodyText0"/>
        <w:rPr>
          <w:sz w:val="20"/>
          <w:szCs w:val="20"/>
        </w:rPr>
      </w:pPr>
      <w:r w:rsidRPr="00796B82">
        <w:rPr>
          <w:sz w:val="20"/>
          <w:szCs w:val="20"/>
        </w:rPr>
        <w:t>NOTE:</w:t>
      </w:r>
    </w:p>
    <w:p w:rsidR="00F35F35" w:rsidRPr="00796B82" w:rsidRDefault="00F35F35" w:rsidP="00F35F35">
      <w:pPr>
        <w:pStyle w:val="BodyText0"/>
        <w:rPr>
          <w:sz w:val="20"/>
          <w:szCs w:val="20"/>
        </w:rPr>
      </w:pPr>
      <w:r w:rsidRPr="00796B82">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796B82" w:rsidRDefault="00F35F35" w:rsidP="00F35F35">
      <w:pPr>
        <w:pStyle w:val="BodyText0"/>
        <w:rPr>
          <w:sz w:val="20"/>
          <w:szCs w:val="20"/>
        </w:rPr>
      </w:pPr>
      <w:r w:rsidRPr="00796B82">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796B82" w:rsidRDefault="00F35F35" w:rsidP="00796B82">
      <w:pPr>
        <w:pStyle w:val="BodyText0"/>
        <w:rPr>
          <w:sz w:val="20"/>
          <w:szCs w:val="20"/>
        </w:rPr>
      </w:pPr>
      <w:r w:rsidRPr="00796B82">
        <w:rPr>
          <w:sz w:val="20"/>
          <w:szCs w:val="20"/>
        </w:rPr>
        <w:t xml:space="preserve">This document (or report) is not an official publication of WMO and has not been subjected to its standard editorial procedures. The views expressed herein do not necessarily have the </w:t>
      </w:r>
      <w:r w:rsidR="00796B82">
        <w:rPr>
          <w:sz w:val="20"/>
          <w:szCs w:val="20"/>
        </w:rPr>
        <w:t>endorsement of the Organization</w:t>
      </w:r>
    </w:p>
    <w:p w:rsidR="00F35F35" w:rsidRPr="00FF65B9" w:rsidRDefault="00F35F35" w:rsidP="000E3612">
      <w:pPr>
        <w:pStyle w:val="Heading1"/>
        <w:jc w:val="center"/>
      </w:pPr>
      <w:r w:rsidRPr="00FF65B9">
        <w:br w:type="page"/>
      </w:r>
      <w:r w:rsidR="00220EEA" w:rsidRPr="00220EEA">
        <w:lastRenderedPageBreak/>
        <w:t>REPORT ON TELECONFERENCE 30 SEPTEMBER 2015 – REPRESENTING WIGOS AND STATION METADATA</w:t>
      </w:r>
    </w:p>
    <w:p w:rsidR="00220EEA" w:rsidRDefault="00220EEA" w:rsidP="00220EEA">
      <w:pPr>
        <w:pStyle w:val="Heading2"/>
      </w:pPr>
      <w:r>
        <w:t>Participants</w:t>
      </w:r>
    </w:p>
    <w:p w:rsidR="00220EEA" w:rsidRDefault="00220EEA" w:rsidP="00220EEA">
      <w:pPr>
        <w:pStyle w:val="BodyText0"/>
      </w:pPr>
      <w:r>
        <w:rPr>
          <w:b/>
        </w:rPr>
        <w:t xml:space="preserve">Chair: </w:t>
      </w:r>
      <w:r w:rsidR="005D54C5">
        <w:t>Mr</w:t>
      </w:r>
      <w:r>
        <w:t xml:space="preserve"> Bannerman</w:t>
      </w:r>
    </w:p>
    <w:p w:rsidR="00220EEA" w:rsidRDefault="00220EEA" w:rsidP="00220EEA">
      <w:pPr>
        <w:pStyle w:val="BodyText0"/>
      </w:pPr>
      <w:r w:rsidRPr="005D54C5">
        <w:rPr>
          <w:b/>
        </w:rPr>
        <w:t>Secretary</w:t>
      </w:r>
      <w:r>
        <w:t xml:space="preserve">: </w:t>
      </w:r>
      <w:r w:rsidR="005D54C5">
        <w:t>Mr</w:t>
      </w:r>
      <w:r>
        <w:t xml:space="preserve"> Foreman</w:t>
      </w:r>
    </w:p>
    <w:p w:rsidR="00220EEA" w:rsidRDefault="005D54C5" w:rsidP="00220EEA">
      <w:pPr>
        <w:pStyle w:val="BodyText0"/>
      </w:pPr>
      <w:r>
        <w:t>Mr</w:t>
      </w:r>
      <w:r w:rsidR="00220EEA">
        <w:t xml:space="preserve"> Stuber</w:t>
      </w:r>
    </w:p>
    <w:p w:rsidR="00220EEA" w:rsidRDefault="005D54C5" w:rsidP="00220EEA">
      <w:pPr>
        <w:pStyle w:val="BodyText0"/>
      </w:pPr>
      <w:r>
        <w:t>Mr</w:t>
      </w:r>
      <w:r w:rsidR="00220EEA">
        <w:t xml:space="preserve"> Monik</w:t>
      </w:r>
    </w:p>
    <w:p w:rsidR="00220EEA" w:rsidRDefault="005D54C5" w:rsidP="00220EEA">
      <w:pPr>
        <w:pStyle w:val="BodyText0"/>
      </w:pPr>
      <w:r>
        <w:t>Mr</w:t>
      </w:r>
      <w:r w:rsidR="00220EEA">
        <w:t xml:space="preserve"> Lowe</w:t>
      </w:r>
    </w:p>
    <w:p w:rsidR="00220EEA" w:rsidRDefault="005D54C5" w:rsidP="00220EEA">
      <w:pPr>
        <w:pStyle w:val="BodyText0"/>
      </w:pPr>
      <w:r>
        <w:t>Mr</w:t>
      </w:r>
      <w:r w:rsidR="00220EEA">
        <w:t xml:space="preserve"> Pecora</w:t>
      </w:r>
    </w:p>
    <w:p w:rsidR="00096153" w:rsidRDefault="005D54C5" w:rsidP="00220EEA">
      <w:pPr>
        <w:pStyle w:val="BodyText0"/>
      </w:pPr>
      <w:r>
        <w:t>Mr</w:t>
      </w:r>
      <w:r w:rsidR="00096153">
        <w:t xml:space="preserve"> Choy (final section)</w:t>
      </w:r>
    </w:p>
    <w:p w:rsidR="00220EEA" w:rsidRPr="00220EEA" w:rsidRDefault="00220EEA" w:rsidP="00220EEA">
      <w:pPr>
        <w:pStyle w:val="BodyText0"/>
      </w:pPr>
    </w:p>
    <w:p w:rsidR="00220EEA" w:rsidRDefault="00220EEA" w:rsidP="00220EEA">
      <w:pPr>
        <w:pStyle w:val="Heading2"/>
      </w:pPr>
      <w:r>
        <w:t>1.</w:t>
      </w:r>
      <w:r w:rsidRPr="00220EEA">
        <w:t xml:space="preserve"> </w:t>
      </w:r>
      <w:r>
        <w:tab/>
        <w:t>Progress with work plan</w:t>
      </w:r>
    </w:p>
    <w:p w:rsidR="00220EEA" w:rsidRDefault="00220EEA" w:rsidP="00220EEA">
      <w:pPr>
        <w:pStyle w:val="BodyTextNumbered"/>
      </w:pPr>
      <w:r>
        <w:t>Mr Tandy had proposed some changes to METCE to meet the needs of WIGOS metadata. TT</w:t>
      </w:r>
      <w:r>
        <w:noBreakHyphen/>
        <w:t>AvXML were proceeding to implement these changes.</w:t>
      </w:r>
    </w:p>
    <w:p w:rsidR="00220EEA" w:rsidRDefault="00220EEA" w:rsidP="00220EEA">
      <w:pPr>
        <w:pStyle w:val="Decision"/>
      </w:pPr>
      <w:bookmarkStart w:id="1" w:name="_Toc431371945"/>
      <w:r>
        <w:t>Most of the team only has access to EA 11. Work will be done using that version unless it proves essential to move to EA 12.</w:t>
      </w:r>
      <w:bookmarkEnd w:id="1"/>
    </w:p>
    <w:p w:rsidR="00220EEA" w:rsidRDefault="00220EEA" w:rsidP="00220EEA">
      <w:pPr>
        <w:pStyle w:val="Heading2"/>
      </w:pPr>
      <w:r>
        <w:t>2.</w:t>
      </w:r>
      <w:r>
        <w:tab/>
      </w:r>
      <w:r>
        <w:t>Decisions on data model</w:t>
      </w:r>
    </w:p>
    <w:p w:rsidR="00220EEA" w:rsidRDefault="00220EEA" w:rsidP="00220EEA">
      <w:pPr>
        <w:pStyle w:val="BodyTextNumbered"/>
      </w:pPr>
      <w:r>
        <w:t>Mr Lowe presented the mapping from the WIGOS metadata elements to the model that have been developed at the June meeting. Items had been classified as “clear mapping”, “probable mapping” and “not mapped”.</w:t>
      </w:r>
    </w:p>
    <w:p w:rsidR="00220EEA" w:rsidRDefault="00220EEA" w:rsidP="005D54C5">
      <w:pPr>
        <w:pStyle w:val="Action"/>
      </w:pPr>
      <w:bookmarkStart w:id="2" w:name="_Toc431371942"/>
      <w:r>
        <w:t>Clarification was needed as to what was to be captured in the collection,</w:t>
      </w:r>
      <w:r w:rsidR="005D54C5">
        <w:t xml:space="preserve"> </w:t>
      </w:r>
      <w:r>
        <w:t>and what at the observation.</w:t>
      </w:r>
      <w:bookmarkEnd w:id="2"/>
    </w:p>
    <w:p w:rsidR="00220EEA" w:rsidRDefault="00220EEA" w:rsidP="005D54C5">
      <w:pPr>
        <w:pStyle w:val="Action"/>
      </w:pPr>
      <w:bookmarkStart w:id="3" w:name="_Toc431371943"/>
      <w:r>
        <w:t>Definitions and relationships between “instruments” and “sensors” needed to be clarified in order to make progress.</w:t>
      </w:r>
      <w:bookmarkEnd w:id="3"/>
    </w:p>
    <w:p w:rsidR="00220EEA" w:rsidRDefault="00220EEA" w:rsidP="00220EEA">
      <w:pPr>
        <w:pStyle w:val="BodyTextNumbered"/>
      </w:pPr>
      <w:r>
        <w:t>Surface cover, etc, only applies to stations for which it is meaningful (for example, do not apply to satellites). WaterML2 structures might help with the design of this section (such as handling groundwater descriptions).</w:t>
      </w:r>
    </w:p>
    <w:p w:rsidR="00220EEA" w:rsidRDefault="000A07BB" w:rsidP="00220EEA">
      <w:pPr>
        <w:pStyle w:val="BodyTextNumbered"/>
      </w:pPr>
      <w:r>
        <w:t>In order to limit the size of the WIGOS metadata standard, several fields were made “descriptive” to allow text, documents etc. These were prime candidates for allowing domain specific extensions to the model.</w:t>
      </w:r>
    </w:p>
    <w:p w:rsidR="00220EEA" w:rsidRDefault="000A07BB" w:rsidP="000A07BB">
      <w:pPr>
        <w:pStyle w:val="Decision"/>
      </w:pPr>
      <w:bookmarkStart w:id="4" w:name="_Toc431371946"/>
      <w:r>
        <w:t>Mr Lowe needed more assistance with the meaning of items 7-03, 7-04 and 7-07. More frequent teleconferences between subject experts should be used to resolve issues like this.</w:t>
      </w:r>
      <w:bookmarkEnd w:id="4"/>
    </w:p>
    <w:p w:rsidR="000A07BB" w:rsidRDefault="000A07BB" w:rsidP="005D54C5">
      <w:pPr>
        <w:pStyle w:val="Decision"/>
      </w:pPr>
      <w:bookmarkStart w:id="5" w:name="_Toc431371947"/>
      <w:r>
        <w:t>Data format (7-07) would be represented by a code list. The team noted that a responsive mechanism for amending code lists would be need to accommodate the addition of new communities.</w:t>
      </w:r>
      <w:bookmarkEnd w:id="5"/>
    </w:p>
    <w:p w:rsidR="000A07BB" w:rsidRDefault="000A07BB" w:rsidP="000A07BB">
      <w:pPr>
        <w:pStyle w:val="BodyTextNumbered"/>
        <w:rPr>
          <w:lang w:eastAsia="ja-JP"/>
        </w:rPr>
      </w:pPr>
      <w:r>
        <w:rPr>
          <w:lang w:eastAsia="ja-JP"/>
        </w:rPr>
        <w:t>7-11 (Reference datum) was intended to be used to record the parameters used in the transformations from which the derived quantities were generated. This would need to consist of several components.</w:t>
      </w:r>
    </w:p>
    <w:p w:rsidR="000A07BB" w:rsidRDefault="00D51632" w:rsidP="000A07BB">
      <w:pPr>
        <w:pStyle w:val="BodyTextNumbered"/>
        <w:rPr>
          <w:lang w:eastAsia="ja-JP"/>
        </w:rPr>
      </w:pPr>
      <w:r>
        <w:rPr>
          <w:lang w:eastAsia="ja-JP"/>
        </w:rPr>
        <w:t>8-01 – uncertainty – would be needed for Phase 2, but was acknowledged to need more work on its definition by TT-WMD.</w:t>
      </w:r>
    </w:p>
    <w:p w:rsidR="00D51632" w:rsidRDefault="00D51632" w:rsidP="000A07BB">
      <w:pPr>
        <w:pStyle w:val="BodyTextNumbered"/>
        <w:rPr>
          <w:lang w:eastAsia="ja-JP"/>
        </w:rPr>
      </w:pPr>
      <w:r>
        <w:rPr>
          <w:lang w:eastAsia="ja-JP"/>
        </w:rPr>
        <w:t xml:space="preserve">Describing quality was in the terms of reference of the climate data management </w:t>
      </w:r>
      <w:r w:rsidR="00096153">
        <w:rPr>
          <w:lang w:eastAsia="ja-JP"/>
        </w:rPr>
        <w:t>expert team.</w:t>
      </w:r>
    </w:p>
    <w:p w:rsidR="00096153" w:rsidRPr="000A07BB" w:rsidRDefault="00096153" w:rsidP="000A07BB">
      <w:pPr>
        <w:pStyle w:val="BodyTextNumbered"/>
        <w:rPr>
          <w:lang w:eastAsia="ja-JP"/>
        </w:rPr>
      </w:pPr>
      <w:r>
        <w:rPr>
          <w:lang w:eastAsia="ja-JP"/>
        </w:rPr>
        <w:t>Mr Bannerman suggested weekly technical conferences, each with specific topics, to resolve these questions.</w:t>
      </w:r>
    </w:p>
    <w:p w:rsidR="00220EEA" w:rsidRDefault="00220EEA" w:rsidP="00220EEA">
      <w:pPr>
        <w:pStyle w:val="Heading2"/>
      </w:pPr>
      <w:r>
        <w:t xml:space="preserve">3. </w:t>
      </w:r>
      <w:r>
        <w:tab/>
      </w:r>
      <w:r>
        <w:t>OSCAR machine to machine test</w:t>
      </w:r>
    </w:p>
    <w:p w:rsidR="00220EEA" w:rsidRDefault="00BC0E55" w:rsidP="00BC0E55">
      <w:pPr>
        <w:pStyle w:val="BodyTextNumbered"/>
      </w:pPr>
      <w:r>
        <w:t>There was a deadline to transfer information from Members’ computer systems to OSCAR, initially to support the replacement of “Volume A,” but in the longer term to allow updating of all the contents of OSCAR. Initially DWD would trial this, aiming to start the trial in December 2015. The OSCAR team hoped to use the formal WIGOS metadata data representation to achieve this.</w:t>
      </w:r>
    </w:p>
    <w:p w:rsidR="00BC0E55" w:rsidRDefault="00BC0E55" w:rsidP="00BC0E55">
      <w:pPr>
        <w:pStyle w:val="BodyTextNumbered"/>
      </w:pPr>
      <w:r>
        <w:t>Mr Lowe had been sent a proposal by the developers of OSCAR for encoding data in OSCAR in O&amp;M compatible XML. The major difference between the conceptual design of that schema and the one being developed by the team was the relationship between slowly varying data and those that vary more rapidly.</w:t>
      </w:r>
    </w:p>
    <w:p w:rsidR="00BC0E55" w:rsidRPr="00220EEA" w:rsidRDefault="00BC0E55" w:rsidP="00BC0E55">
      <w:pPr>
        <w:pStyle w:val="BodyTextNumbered"/>
      </w:pPr>
      <w:r>
        <w:t>The OSAR team had organized a WebEx for 15 October to review the proposal</w:t>
      </w:r>
      <w:r w:rsidR="005D54C5">
        <w:t>, but Mr </w:t>
      </w:r>
      <w:r>
        <w:t>Bannerman was doubtful whether the full data model could be ready in time for the pilot.</w:t>
      </w:r>
    </w:p>
    <w:p w:rsidR="00F35F35" w:rsidRDefault="00220EEA" w:rsidP="00220EEA">
      <w:pPr>
        <w:pStyle w:val="Heading2"/>
      </w:pPr>
      <w:r>
        <w:t xml:space="preserve">4. </w:t>
      </w:r>
      <w:r>
        <w:tab/>
      </w:r>
      <w:r>
        <w:t>Any Other Business</w:t>
      </w:r>
    </w:p>
    <w:p w:rsidR="00BC0E55" w:rsidRDefault="00BC0E55" w:rsidP="00BC0E55">
      <w:pPr>
        <w:pStyle w:val="BodyTextNumbered"/>
      </w:pPr>
      <w:r>
        <w:t>There was no other business.</w:t>
      </w:r>
    </w:p>
    <w:p w:rsidR="00BC0E55" w:rsidRDefault="00BC0E55" w:rsidP="00BC0E55">
      <w:pPr>
        <w:pStyle w:val="BodyTextNumbered"/>
      </w:pPr>
      <w:r>
        <w:t>Future sessions should be aimed for Wednesdays.</w:t>
      </w:r>
    </w:p>
    <w:p w:rsidR="00BC0E55" w:rsidRPr="00220EEA" w:rsidRDefault="00BC0E55" w:rsidP="00BC0E55">
      <w:pPr>
        <w:pStyle w:val="BodyTextNumbered"/>
        <w:rPr>
          <w:rFonts w:hint="eastAsia"/>
        </w:rPr>
      </w:pPr>
      <w:r>
        <w:t>The meeting closed at 10:10 (Geneva time).</w:t>
      </w:r>
    </w:p>
    <w:p w:rsidR="00F35F35" w:rsidRPr="00FF65B9" w:rsidRDefault="00F35F35" w:rsidP="00F35F35"/>
    <w:p w:rsidR="00F35F35" w:rsidRPr="00FF65B9" w:rsidRDefault="00F35F35" w:rsidP="00F35F35">
      <w:pPr>
        <w:pStyle w:val="BodyTextNumbered"/>
        <w:numPr>
          <w:ilvl w:val="0"/>
          <w:numId w:val="0"/>
        </w:numPr>
        <w:ind w:left="432" w:hanging="432"/>
      </w:pPr>
    </w:p>
    <w:p w:rsidR="00F35F35" w:rsidRPr="00FF65B9" w:rsidRDefault="00F35F35" w:rsidP="00F35F35">
      <w:pPr>
        <w:pStyle w:val="BodyTextNumbered"/>
        <w:numPr>
          <w:ilvl w:val="0"/>
          <w:numId w:val="0"/>
        </w:numPr>
        <w:ind w:left="432" w:hanging="432"/>
        <w:sectPr w:rsidR="00F35F35" w:rsidRPr="00FF65B9" w:rsidSect="0019137E">
          <w:headerReference w:type="default" r:id="rId11"/>
          <w:pgSz w:w="11907" w:h="16840" w:code="9"/>
          <w:pgMar w:top="1134" w:right="1134" w:bottom="1134" w:left="1134" w:header="1134" w:footer="1134" w:gutter="0"/>
          <w:pgNumType w:start="1"/>
          <w:cols w:space="720"/>
          <w:docGrid w:linePitch="360"/>
        </w:sectPr>
      </w:pPr>
    </w:p>
    <w:p w:rsidR="00F35F35" w:rsidRPr="00FF65B9" w:rsidRDefault="00F35F35" w:rsidP="000E3612">
      <w:pPr>
        <w:pStyle w:val="Heading1"/>
        <w:jc w:val="center"/>
      </w:pPr>
      <w:r w:rsidRPr="00FF65B9">
        <w:t>Action and Decision Summary</w:t>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Actions</w:t>
      </w:r>
    </w:p>
    <w:p w:rsidR="005D54C5" w:rsidRDefault="00F35F35">
      <w:pPr>
        <w:pStyle w:val="TOC1"/>
        <w:rPr>
          <w:rFonts w:asciiTheme="minorHAnsi" w:eastAsiaTheme="minorEastAsia" w:hAnsiTheme="minorHAnsi" w:cstheme="minorBidi"/>
          <w:bCs w:val="0"/>
          <w:noProof/>
          <w:szCs w:val="22"/>
          <w:lang w:eastAsia="en-GB"/>
        </w:rPr>
      </w:pPr>
      <w:r w:rsidRPr="00FF65B9">
        <w:fldChar w:fldCharType="begin"/>
      </w:r>
      <w:r w:rsidRPr="00FF65B9">
        <w:instrText xml:space="preserve"> TOC \n \h \z \t "_Action,1" </w:instrText>
      </w:r>
      <w:r w:rsidRPr="00FF65B9">
        <w:fldChar w:fldCharType="separate"/>
      </w:r>
      <w:hyperlink w:anchor="_Toc431371942" w:history="1">
        <w:r w:rsidR="005D54C5" w:rsidRPr="0048621E">
          <w:rPr>
            <w:rStyle w:val="Hyperlink"/>
            <w:b/>
            <w:noProof/>
          </w:rPr>
          <w:t>A1</w:t>
        </w:r>
        <w:r w:rsidR="005D54C5">
          <w:rPr>
            <w:rFonts w:asciiTheme="minorHAnsi" w:eastAsiaTheme="minorEastAsia" w:hAnsiTheme="minorHAnsi" w:cstheme="minorBidi"/>
            <w:bCs w:val="0"/>
            <w:noProof/>
            <w:szCs w:val="22"/>
            <w:lang w:eastAsia="en-GB"/>
          </w:rPr>
          <w:tab/>
        </w:r>
        <w:r w:rsidR="005D54C5" w:rsidRPr="0048621E">
          <w:rPr>
            <w:rStyle w:val="Hyperlink"/>
            <w:noProof/>
          </w:rPr>
          <w:t>Clarification was needed as to what was to be captured in the collection, and what at the observation.</w:t>
        </w:r>
      </w:hyperlink>
    </w:p>
    <w:p w:rsidR="005D54C5" w:rsidRDefault="005D54C5">
      <w:pPr>
        <w:pStyle w:val="TOC1"/>
        <w:rPr>
          <w:rFonts w:asciiTheme="minorHAnsi" w:eastAsiaTheme="minorEastAsia" w:hAnsiTheme="minorHAnsi" w:cstheme="minorBidi"/>
          <w:bCs w:val="0"/>
          <w:noProof/>
          <w:szCs w:val="22"/>
          <w:lang w:eastAsia="en-GB"/>
        </w:rPr>
      </w:pPr>
      <w:hyperlink w:anchor="_Toc431371943" w:history="1">
        <w:r w:rsidRPr="0048621E">
          <w:rPr>
            <w:rStyle w:val="Hyperlink"/>
            <w:b/>
            <w:noProof/>
          </w:rPr>
          <w:t>A2</w:t>
        </w:r>
        <w:r>
          <w:rPr>
            <w:rFonts w:asciiTheme="minorHAnsi" w:eastAsiaTheme="minorEastAsia" w:hAnsiTheme="minorHAnsi" w:cstheme="minorBidi"/>
            <w:bCs w:val="0"/>
            <w:noProof/>
            <w:szCs w:val="22"/>
            <w:lang w:eastAsia="en-GB"/>
          </w:rPr>
          <w:tab/>
        </w:r>
        <w:r w:rsidRPr="0048621E">
          <w:rPr>
            <w:rStyle w:val="Hyperlink"/>
            <w:noProof/>
          </w:rPr>
          <w:t>Definitions and relationships between “instruments” and “sensors” needed to be clarified in order to make progress.</w:t>
        </w:r>
      </w:hyperlink>
    </w:p>
    <w:p w:rsidR="00F35F35" w:rsidRPr="00FF65B9" w:rsidRDefault="00F35F35" w:rsidP="00F35F35">
      <w:pPr>
        <w:pStyle w:val="BodyTextNumbered"/>
        <w:numPr>
          <w:ilvl w:val="0"/>
          <w:numId w:val="0"/>
        </w:numPr>
        <w:ind w:left="432" w:hanging="432"/>
      </w:pPr>
      <w:r w:rsidRPr="00FF65B9">
        <w:fldChar w:fldCharType="end"/>
      </w:r>
    </w:p>
    <w:p w:rsidR="00F35F35" w:rsidRPr="00FF65B9" w:rsidRDefault="00F35F35" w:rsidP="00F35F35">
      <w:pPr>
        <w:pStyle w:val="BodyTextNumbered"/>
        <w:numPr>
          <w:ilvl w:val="0"/>
          <w:numId w:val="0"/>
        </w:numPr>
        <w:ind w:left="432" w:hanging="432"/>
      </w:pPr>
    </w:p>
    <w:p w:rsidR="00F35F35" w:rsidRPr="00FF65B9" w:rsidRDefault="00F35F35" w:rsidP="000E3612">
      <w:pPr>
        <w:pStyle w:val="Heading2"/>
        <w:rPr>
          <w:rFonts w:hint="eastAsia"/>
        </w:rPr>
      </w:pPr>
      <w:r w:rsidRPr="00FF65B9">
        <w:t>Decisions</w:t>
      </w:r>
    </w:p>
    <w:p w:rsidR="00F35F35" w:rsidRPr="00FF65B9" w:rsidRDefault="00F35F35" w:rsidP="00F35F35">
      <w:pPr>
        <w:pStyle w:val="BodyText1"/>
      </w:pPr>
    </w:p>
    <w:p w:rsidR="005D54C5" w:rsidRDefault="00F35F35">
      <w:pPr>
        <w:pStyle w:val="TOC1"/>
        <w:rPr>
          <w:rFonts w:asciiTheme="minorHAnsi" w:eastAsiaTheme="minorEastAsia" w:hAnsiTheme="minorHAnsi" w:cstheme="minorBidi"/>
          <w:bCs w:val="0"/>
          <w:noProof/>
          <w:szCs w:val="22"/>
          <w:lang w:eastAsia="en-GB"/>
        </w:rPr>
      </w:pPr>
      <w:r w:rsidRPr="00FF65B9">
        <w:fldChar w:fldCharType="begin"/>
      </w:r>
      <w:r w:rsidRPr="00FF65B9">
        <w:instrText xml:space="preserve"> TOC \n \h \z \t "_Decision,1" </w:instrText>
      </w:r>
      <w:r w:rsidRPr="00FF65B9">
        <w:fldChar w:fldCharType="separate"/>
      </w:r>
      <w:hyperlink w:anchor="_Toc431371945" w:history="1">
        <w:r w:rsidR="005D54C5" w:rsidRPr="009F7159">
          <w:rPr>
            <w:rStyle w:val="Hyperlink"/>
            <w:b/>
            <w:noProof/>
          </w:rPr>
          <w:t>D1</w:t>
        </w:r>
        <w:r w:rsidR="005D54C5">
          <w:rPr>
            <w:rFonts w:asciiTheme="minorHAnsi" w:eastAsiaTheme="minorEastAsia" w:hAnsiTheme="minorHAnsi" w:cstheme="minorBidi"/>
            <w:bCs w:val="0"/>
            <w:noProof/>
            <w:szCs w:val="22"/>
            <w:lang w:eastAsia="en-GB"/>
          </w:rPr>
          <w:tab/>
        </w:r>
        <w:r w:rsidR="005D54C5" w:rsidRPr="009F7159">
          <w:rPr>
            <w:rStyle w:val="Hyperlink"/>
            <w:noProof/>
          </w:rPr>
          <w:t>Most of the team only has access to EA 11. Work will be done using that version unless it proves essential to move to EA 12.</w:t>
        </w:r>
      </w:hyperlink>
    </w:p>
    <w:p w:rsidR="005D54C5" w:rsidRDefault="005D54C5">
      <w:pPr>
        <w:pStyle w:val="TOC1"/>
        <w:rPr>
          <w:rFonts w:asciiTheme="minorHAnsi" w:eastAsiaTheme="minorEastAsia" w:hAnsiTheme="minorHAnsi" w:cstheme="minorBidi"/>
          <w:bCs w:val="0"/>
          <w:noProof/>
          <w:szCs w:val="22"/>
          <w:lang w:eastAsia="en-GB"/>
        </w:rPr>
      </w:pPr>
      <w:hyperlink w:anchor="_Toc431371946" w:history="1">
        <w:r w:rsidRPr="009F7159">
          <w:rPr>
            <w:rStyle w:val="Hyperlink"/>
            <w:b/>
            <w:noProof/>
          </w:rPr>
          <w:t>D2</w:t>
        </w:r>
        <w:r>
          <w:rPr>
            <w:rFonts w:asciiTheme="minorHAnsi" w:eastAsiaTheme="minorEastAsia" w:hAnsiTheme="minorHAnsi" w:cstheme="minorBidi"/>
            <w:bCs w:val="0"/>
            <w:noProof/>
            <w:szCs w:val="22"/>
            <w:lang w:eastAsia="en-GB"/>
          </w:rPr>
          <w:tab/>
        </w:r>
        <w:r w:rsidRPr="009F7159">
          <w:rPr>
            <w:rStyle w:val="Hyperlink"/>
            <w:noProof/>
          </w:rPr>
          <w:t>Mr Lowe needed more assistance with the meaning of items 7-03, 7-04 and 7-07. More frequent teleconferences between subject experts should be used to resolve issues like this.</w:t>
        </w:r>
      </w:hyperlink>
    </w:p>
    <w:p w:rsidR="005D54C5" w:rsidRDefault="005D54C5">
      <w:pPr>
        <w:pStyle w:val="TOC1"/>
        <w:rPr>
          <w:rFonts w:asciiTheme="minorHAnsi" w:eastAsiaTheme="minorEastAsia" w:hAnsiTheme="minorHAnsi" w:cstheme="minorBidi"/>
          <w:bCs w:val="0"/>
          <w:noProof/>
          <w:szCs w:val="22"/>
          <w:lang w:eastAsia="en-GB"/>
        </w:rPr>
      </w:pPr>
      <w:hyperlink w:anchor="_Toc431371947" w:history="1">
        <w:r w:rsidRPr="009F7159">
          <w:rPr>
            <w:rStyle w:val="Hyperlink"/>
            <w:b/>
            <w:noProof/>
          </w:rPr>
          <w:t>D3</w:t>
        </w:r>
        <w:r>
          <w:rPr>
            <w:rFonts w:asciiTheme="minorHAnsi" w:eastAsiaTheme="minorEastAsia" w:hAnsiTheme="minorHAnsi" w:cstheme="minorBidi"/>
            <w:bCs w:val="0"/>
            <w:noProof/>
            <w:szCs w:val="22"/>
            <w:lang w:eastAsia="en-GB"/>
          </w:rPr>
          <w:tab/>
        </w:r>
        <w:r w:rsidRPr="009F7159">
          <w:rPr>
            <w:rStyle w:val="Hyperlink"/>
            <w:noProof/>
          </w:rPr>
          <w:t>Data format (7-07) would be represented by a code list. The team noted that a responsive mechanism for amending code lists would be need to accommodate the addition of new communities.</w:t>
        </w:r>
      </w:hyperlink>
    </w:p>
    <w:p w:rsidR="00F35F35" w:rsidRPr="00FF65B9" w:rsidRDefault="00F35F35" w:rsidP="00F35F35">
      <w:r w:rsidRPr="00FF65B9">
        <w:fldChar w:fldCharType="end"/>
      </w:r>
    </w:p>
    <w:p w:rsidR="00F35F35" w:rsidRPr="00FF65B9" w:rsidRDefault="00F35F35" w:rsidP="00F35F35"/>
    <w:sectPr w:rsidR="00F35F35" w:rsidRPr="00FF65B9" w:rsidSect="001C16A8">
      <w:headerReference w:type="first" r:id="rId12"/>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EEA" w:rsidRDefault="00220EEA">
      <w:r>
        <w:separator/>
      </w:r>
    </w:p>
    <w:p w:rsidR="00220EEA" w:rsidRDefault="00220EEA"/>
  </w:endnote>
  <w:endnote w:type="continuationSeparator" w:id="0">
    <w:p w:rsidR="00220EEA" w:rsidRDefault="00220EEA">
      <w:r>
        <w:continuationSeparator/>
      </w:r>
    </w:p>
    <w:p w:rsidR="00220EEA" w:rsidRDefault="00220E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20B07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EEA" w:rsidRDefault="00220EEA">
      <w:r>
        <w:separator/>
      </w:r>
    </w:p>
    <w:p w:rsidR="00220EEA" w:rsidRDefault="00220EEA"/>
  </w:footnote>
  <w:footnote w:type="continuationSeparator" w:id="0">
    <w:p w:rsidR="00220EEA" w:rsidRDefault="00220EEA">
      <w:r>
        <w:continuationSeparator/>
      </w:r>
    </w:p>
    <w:p w:rsidR="00220EEA" w:rsidRDefault="00220EE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F35" w:rsidRPr="00C10690" w:rsidRDefault="00220EEA" w:rsidP="004447EF">
    <w:pPr>
      <w:pStyle w:val="Header"/>
      <w:pBdr>
        <w:bottom w:val="single" w:sz="4" w:space="1" w:color="auto"/>
      </w:pBdr>
      <w:rPr>
        <w:rStyle w:val="PageNumber"/>
        <w:lang w:val="en-GB"/>
      </w:rPr>
    </w:pPr>
    <w:r>
      <w:rPr>
        <w:bCs/>
        <w:lang w:val="fr-CH" w:eastAsia="zh-CN"/>
      </w:rPr>
      <w:t>IPET-MDRD-2-T1</w:t>
    </w:r>
    <w:r w:rsidR="001A5CB4">
      <w:rPr>
        <w:bCs/>
        <w:lang w:val="fr-CH" w:eastAsia="zh-CN"/>
      </w:rPr>
      <w:t>/</w:t>
    </w:r>
    <w:r>
      <w:rPr>
        <w:bCs/>
        <w:lang w:val="fr-CH" w:eastAsia="zh-CN"/>
      </w:rPr>
      <w:t>Minutes</w:t>
    </w:r>
    <w:r w:rsidR="00F35F35" w:rsidRPr="00C10690">
      <w:rPr>
        <w:lang w:val="en-GB"/>
      </w:rPr>
      <w:t>, p</w:t>
    </w:r>
    <w:r w:rsidR="00F35F35">
      <w:rPr>
        <w:rStyle w:val="PageNumber"/>
      </w:rPr>
      <w:fldChar w:fldCharType="begin"/>
    </w:r>
    <w:r w:rsidR="00F35F35" w:rsidRPr="00C10690">
      <w:rPr>
        <w:rStyle w:val="PageNumber"/>
        <w:lang w:val="en-GB"/>
      </w:rPr>
      <w:instrText xml:space="preserve"> PAGE </w:instrText>
    </w:r>
    <w:r w:rsidR="00F35F35">
      <w:rPr>
        <w:rStyle w:val="PageNumber"/>
      </w:rPr>
      <w:fldChar w:fldCharType="separate"/>
    </w:r>
    <w:r w:rsidR="006525B8">
      <w:rPr>
        <w:rStyle w:val="PageNumber"/>
        <w:noProof/>
        <w:lang w:val="en-GB"/>
      </w:rPr>
      <w:t>1</w:t>
    </w:r>
    <w:r w:rsidR="00F35F35">
      <w:rPr>
        <w:rStyle w:val="PageNumber"/>
      </w:rPr>
      <w:fldChar w:fldCharType="end"/>
    </w:r>
  </w:p>
  <w:p w:rsidR="00F35F35" w:rsidRPr="00C10690" w:rsidRDefault="00F35F35"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A4C798"/>
    <w:lvl w:ilvl="0">
      <w:start w:val="1"/>
      <w:numFmt w:val="decimal"/>
      <w:lvlText w:val="%1."/>
      <w:lvlJc w:val="left"/>
      <w:pPr>
        <w:tabs>
          <w:tab w:val="num" w:pos="1492"/>
        </w:tabs>
        <w:ind w:left="1492" w:hanging="360"/>
      </w:pPr>
    </w:lvl>
  </w:abstractNum>
  <w:abstractNum w:abstractNumId="1">
    <w:nsid w:val="FFFFFF7D"/>
    <w:multiLevelType w:val="singleLevel"/>
    <w:tmpl w:val="2DBA9D96"/>
    <w:lvl w:ilvl="0">
      <w:start w:val="1"/>
      <w:numFmt w:val="decimal"/>
      <w:lvlText w:val="%1."/>
      <w:lvlJc w:val="left"/>
      <w:pPr>
        <w:tabs>
          <w:tab w:val="num" w:pos="1209"/>
        </w:tabs>
        <w:ind w:left="1209" w:hanging="360"/>
      </w:pPr>
    </w:lvl>
  </w:abstractNum>
  <w:abstractNum w:abstractNumId="2">
    <w:nsid w:val="FFFFFF7E"/>
    <w:multiLevelType w:val="singleLevel"/>
    <w:tmpl w:val="3A809466"/>
    <w:lvl w:ilvl="0">
      <w:start w:val="1"/>
      <w:numFmt w:val="decimal"/>
      <w:lvlText w:val="%1."/>
      <w:lvlJc w:val="left"/>
      <w:pPr>
        <w:tabs>
          <w:tab w:val="num" w:pos="926"/>
        </w:tabs>
        <w:ind w:left="926" w:hanging="360"/>
      </w:pPr>
    </w:lvl>
  </w:abstractNum>
  <w:abstractNum w:abstractNumId="3">
    <w:nsid w:val="FFFFFF7F"/>
    <w:multiLevelType w:val="singleLevel"/>
    <w:tmpl w:val="835265A2"/>
    <w:lvl w:ilvl="0">
      <w:start w:val="1"/>
      <w:numFmt w:val="decimal"/>
      <w:lvlText w:val="%1."/>
      <w:lvlJc w:val="left"/>
      <w:pPr>
        <w:tabs>
          <w:tab w:val="num" w:pos="643"/>
        </w:tabs>
        <w:ind w:left="643" w:hanging="360"/>
      </w:pPr>
    </w:lvl>
  </w:abstractNum>
  <w:abstractNum w:abstractNumId="4">
    <w:nsid w:val="FFFFFF80"/>
    <w:multiLevelType w:val="singleLevel"/>
    <w:tmpl w:val="FCDADA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2EA5A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D5E79D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6EE623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4C9176"/>
    <w:lvl w:ilvl="0">
      <w:start w:val="1"/>
      <w:numFmt w:val="decimal"/>
      <w:lvlText w:val="%1."/>
      <w:lvlJc w:val="left"/>
      <w:pPr>
        <w:tabs>
          <w:tab w:val="num" w:pos="360"/>
        </w:tabs>
        <w:ind w:left="360" w:hanging="360"/>
      </w:pPr>
    </w:lvl>
  </w:abstractNum>
  <w:abstractNum w:abstractNumId="9">
    <w:nsid w:val="FFFFFF89"/>
    <w:multiLevelType w:val="singleLevel"/>
    <w:tmpl w:val="5E7E8AF0"/>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2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5">
    <w:nsid w:val="7DB31E2E"/>
    <w:multiLevelType w:val="multilevel"/>
    <w:tmpl w:val="0409001F"/>
    <w:numStyleLink w:val="111111"/>
  </w:abstractNum>
  <w:abstractNum w:abstractNumId="36">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6"/>
  </w:num>
  <w:num w:numId="3">
    <w:abstractNumId w:val="22"/>
  </w:num>
  <w:num w:numId="4">
    <w:abstractNumId w:val="29"/>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8"/>
  </w:num>
  <w:num w:numId="12">
    <w:abstractNumId w:val="10"/>
  </w:num>
  <w:num w:numId="13">
    <w:abstractNumId w:val="21"/>
  </w:num>
  <w:num w:numId="14">
    <w:abstractNumId w:val="33"/>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7"/>
  </w:num>
  <w:num w:numId="28">
    <w:abstractNumId w:val="11"/>
  </w:num>
  <w:num w:numId="29">
    <w:abstractNumId w:val="32"/>
  </w:num>
  <w:num w:numId="30">
    <w:abstractNumId w:val="31"/>
  </w:num>
  <w:num w:numId="31">
    <w:abstractNumId w:val="12"/>
  </w:num>
  <w:num w:numId="32">
    <w:abstractNumId w:val="30"/>
  </w:num>
  <w:num w:numId="33">
    <w:abstractNumId w:val="35"/>
  </w:num>
  <w:num w:numId="34">
    <w:abstractNumId w:val="13"/>
  </w:num>
  <w:num w:numId="35">
    <w:abstractNumId w:val="25"/>
  </w:num>
  <w:num w:numId="36">
    <w:abstractNumId w:val="26"/>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EEA"/>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96153"/>
    <w:rsid w:val="000A07BB"/>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0EEA"/>
    <w:rsid w:val="002250BE"/>
    <w:rsid w:val="00245849"/>
    <w:rsid w:val="00245D75"/>
    <w:rsid w:val="00251C3F"/>
    <w:rsid w:val="0027569D"/>
    <w:rsid w:val="0028043D"/>
    <w:rsid w:val="002810FD"/>
    <w:rsid w:val="00281257"/>
    <w:rsid w:val="0028485E"/>
    <w:rsid w:val="002914FD"/>
    <w:rsid w:val="002921E5"/>
    <w:rsid w:val="002949DD"/>
    <w:rsid w:val="00294BA3"/>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5792B"/>
    <w:rsid w:val="00562CED"/>
    <w:rsid w:val="00566B56"/>
    <w:rsid w:val="00570D7A"/>
    <w:rsid w:val="0058495A"/>
    <w:rsid w:val="00584984"/>
    <w:rsid w:val="005934C3"/>
    <w:rsid w:val="00594308"/>
    <w:rsid w:val="005A6BCE"/>
    <w:rsid w:val="005A7374"/>
    <w:rsid w:val="005B7409"/>
    <w:rsid w:val="005C15CC"/>
    <w:rsid w:val="005D54C5"/>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25B8"/>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830D6"/>
    <w:rsid w:val="00B87205"/>
    <w:rsid w:val="00B87827"/>
    <w:rsid w:val="00B931E7"/>
    <w:rsid w:val="00B96053"/>
    <w:rsid w:val="00B96D40"/>
    <w:rsid w:val="00B97253"/>
    <w:rsid w:val="00BA0164"/>
    <w:rsid w:val="00BA14BE"/>
    <w:rsid w:val="00BA6288"/>
    <w:rsid w:val="00BB0356"/>
    <w:rsid w:val="00BB663D"/>
    <w:rsid w:val="00BC0E55"/>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B6DF9"/>
    <w:rsid w:val="00CC23C9"/>
    <w:rsid w:val="00CD47BE"/>
    <w:rsid w:val="00D01387"/>
    <w:rsid w:val="00D02FA8"/>
    <w:rsid w:val="00D17948"/>
    <w:rsid w:val="00D22E8A"/>
    <w:rsid w:val="00D35ABB"/>
    <w:rsid w:val="00D37E35"/>
    <w:rsid w:val="00D51632"/>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96B82"/>
    <w:pPr>
      <w:numPr>
        <w:numId w:val="31"/>
      </w:numPr>
      <w:tabs>
        <w:tab w:val="left" w:pos="680"/>
        <w:tab w:val="left" w:pos="2041"/>
        <w:tab w:val="left" w:pos="2722"/>
        <w:tab w:val="left" w:pos="3402"/>
      </w:tabs>
      <w:spacing w:after="120"/>
    </w:pPr>
    <w:rPr>
      <w:rFonts w:eastAsia="MS Mincho" w:cs="Times New Roman"/>
      <w:color w:val="0000FF"/>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uiPriority w:val="39"/>
    <w:rsid w:val="00E91F0F"/>
  </w:style>
  <w:style w:type="paragraph" w:styleId="TOC2">
    <w:name w:val="toc 2"/>
    <w:basedOn w:val="BodyText0"/>
    <w:next w:val="BodyText0"/>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32"/>
      </w:numPr>
    </w:pPr>
  </w:style>
  <w:style w:type="paragraph" w:customStyle="1" w:styleId="BodyTextNumbered">
    <w:name w:val="_Body Text Numbered"/>
    <w:basedOn w:val="BodyText0"/>
    <w:rsid w:val="00413EDA"/>
    <w:pPr>
      <w:numPr>
        <w:numId w:val="33"/>
      </w:numPr>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796B82"/>
    <w:pPr>
      <w:numPr>
        <w:numId w:val="34"/>
      </w:numPr>
      <w:tabs>
        <w:tab w:val="left" w:pos="680"/>
        <w:tab w:val="left" w:pos="2041"/>
        <w:tab w:val="left" w:pos="2722"/>
        <w:tab w:val="left" w:pos="3402"/>
      </w:tabs>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3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96B82"/>
    <w:pPr>
      <w:numPr>
        <w:numId w:val="31"/>
      </w:numPr>
      <w:tabs>
        <w:tab w:val="left" w:pos="680"/>
        <w:tab w:val="left" w:pos="2041"/>
        <w:tab w:val="left" w:pos="2722"/>
        <w:tab w:val="left" w:pos="3402"/>
      </w:tabs>
      <w:spacing w:after="120"/>
    </w:pPr>
    <w:rPr>
      <w:rFonts w:eastAsia="MS Mincho" w:cs="Times New Roman"/>
      <w:color w:val="0000FF"/>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uiPriority w:val="39"/>
    <w:rsid w:val="00E91F0F"/>
  </w:style>
  <w:style w:type="paragraph" w:styleId="TOC2">
    <w:name w:val="toc 2"/>
    <w:basedOn w:val="BodyText0"/>
    <w:next w:val="BodyText0"/>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32"/>
      </w:numPr>
    </w:pPr>
  </w:style>
  <w:style w:type="paragraph" w:customStyle="1" w:styleId="BodyTextNumbered">
    <w:name w:val="_Body Text Numbered"/>
    <w:basedOn w:val="BodyText0"/>
    <w:rsid w:val="00413EDA"/>
    <w:pPr>
      <w:numPr>
        <w:numId w:val="33"/>
      </w:numPr>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796B82"/>
    <w:pPr>
      <w:numPr>
        <w:numId w:val="34"/>
      </w:numPr>
      <w:tabs>
        <w:tab w:val="left" w:pos="680"/>
        <w:tab w:val="left" w:pos="2041"/>
        <w:tab w:val="left" w:pos="2722"/>
        <w:tab w:val="left" w:pos="3402"/>
      </w:tabs>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3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36E5B-7366-4CE8-8C39-D129B5FF6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77</TotalTime>
  <Pages>4</Pages>
  <Words>1051</Words>
  <Characters>5995</Characters>
  <Application>Microsoft Office Word</Application>
  <DocSecurity>0</DocSecurity>
  <Lines>49</Lines>
  <Paragraphs>14</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Report on Teleconference 30 September 2015 – Representing WIGOS and Station Meta</vt:lpstr>
      <vt:lpstr>DISCLAIMER</vt:lpstr>
      <vt:lpstr>REPORT ON TELECONFERENCE 30 SEPTEMBER 2015 – REPRESENTING WIGOS AND STATION MET</vt:lpstr>
      <vt:lpstr>    Participants</vt:lpstr>
      <vt:lpstr>    1. 	Progress with work plan</vt:lpstr>
      <vt:lpstr>    2.	Decisions on data model</vt:lpstr>
      <vt:lpstr>    3. 	OSCAR machine to machine test</vt:lpstr>
      <vt:lpstr>    4. 	Any Other Business</vt:lpstr>
      <vt:lpstr>Action and Decision Summary</vt:lpstr>
      <vt:lpstr>    Actions</vt:lpstr>
      <vt:lpstr>    Decisions</vt:lpstr>
    </vt:vector>
  </TitlesOfParts>
  <Company>wmo</Company>
  <LinksUpToDate>false</LinksUpToDate>
  <CharactersWithSpaces>7032</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6</cp:revision>
  <cp:lastPrinted>2012-03-15T15:21:00Z</cp:lastPrinted>
  <dcterms:created xsi:type="dcterms:W3CDTF">2015-09-30T06:54:00Z</dcterms:created>
  <dcterms:modified xsi:type="dcterms:W3CDTF">2015-09-30T08:24:00Z</dcterms:modified>
</cp:coreProperties>
</file>