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680"/>
        <w:gridCol w:w="3851"/>
      </w:tblGrid>
      <w:tr w:rsidR="001C16A8" w:rsidRPr="00FF65B9" w14:paraId="13FA7B42" w14:textId="77777777" w:rsidTr="001C16A8">
        <w:trPr>
          <w:cantSplit/>
          <w:trHeight w:val="1438"/>
        </w:trPr>
        <w:tc>
          <w:tcPr>
            <w:tcW w:w="4548" w:type="dxa"/>
            <w:vAlign w:val="center"/>
          </w:tcPr>
          <w:p w14:paraId="042441EA" w14:textId="77777777"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14:paraId="7E0153D8" w14:textId="77777777"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en-GB"/>
              </w:rPr>
              <w:drawing>
                <wp:inline distT="0" distB="0" distL="0" distR="0" wp14:anchorId="23519533" wp14:editId="0BD591A8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14:paraId="64D4ABC6" w14:textId="77777777" w:rsidTr="001C16A8">
        <w:trPr>
          <w:cantSplit/>
        </w:trPr>
        <w:tc>
          <w:tcPr>
            <w:tcW w:w="6228" w:type="dxa"/>
            <w:gridSpan w:val="2"/>
            <w:tcBorders>
              <w:top w:val="single" w:sz="12" w:space="0" w:color="auto"/>
            </w:tcBorders>
          </w:tcPr>
          <w:p w14:paraId="0B575B23" w14:textId="77777777"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851" w:type="dxa"/>
            <w:tcBorders>
              <w:top w:val="single" w:sz="12" w:space="0" w:color="auto"/>
            </w:tcBorders>
          </w:tcPr>
          <w:p w14:paraId="314FFE1F" w14:textId="77777777"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14:paraId="71BD2FB2" w14:textId="77777777" w:rsidTr="001C16A8">
        <w:trPr>
          <w:cantSplit/>
          <w:trHeight w:val="312"/>
        </w:trPr>
        <w:tc>
          <w:tcPr>
            <w:tcW w:w="6228" w:type="dxa"/>
            <w:gridSpan w:val="2"/>
            <w:vMerge w:val="restart"/>
          </w:tcPr>
          <w:p w14:paraId="4DCEB3D4" w14:textId="77777777"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TT-AvXML</w:t>
            </w:r>
          </w:p>
          <w:p w14:paraId="0DD5B13F" w14:textId="77777777" w:rsidR="00430A5B" w:rsidRPr="00FF65B9" w:rsidRDefault="00430A5B" w:rsidP="001C16A8">
            <w:pPr>
              <w:rPr>
                <w:b/>
              </w:rPr>
            </w:pPr>
          </w:p>
          <w:p w14:paraId="59FD8092" w14:textId="77777777" w:rsidR="001C16A8" w:rsidRPr="00FF65B9" w:rsidRDefault="0078028F" w:rsidP="001C16A8">
            <w:r>
              <w:t>Hong Kong, 22-24 Sept</w:t>
            </w:r>
            <w:bookmarkStart w:id="0" w:name="_GoBack"/>
            <w:bookmarkEnd w:id="0"/>
            <w:r>
              <w:t>ember 2015</w:t>
            </w:r>
            <w:r w:rsidR="004447EF" w:rsidRPr="00FF65B9">
              <w:t xml:space="preserve"> </w:t>
            </w:r>
          </w:p>
        </w:tc>
        <w:tc>
          <w:tcPr>
            <w:tcW w:w="3851" w:type="dxa"/>
          </w:tcPr>
          <w:p w14:paraId="6D3A5434" w14:textId="28AF46AA" w:rsidR="001C16A8" w:rsidRPr="00B42F15" w:rsidRDefault="00A546E3" w:rsidP="00A546E3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TT-</w:t>
            </w:r>
            <w:r w:rsidR="0078028F">
              <w:rPr>
                <w:b/>
                <w:bCs/>
                <w:lang w:eastAsia="zh-CN"/>
              </w:rPr>
              <w:t>AvXML</w:t>
            </w:r>
            <w:r>
              <w:rPr>
                <w:b/>
                <w:bCs/>
                <w:lang w:eastAsia="zh-CN"/>
              </w:rPr>
              <w:t>-4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>
              <w:rPr>
                <w:b/>
                <w:bCs/>
                <w:lang w:eastAsia="zh-CN"/>
              </w:rPr>
              <w:t>D10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78028F">
              <w:rPr>
                <w:lang w:eastAsia="zh-CN"/>
              </w:rPr>
              <w:t xml:space="preserve">Submitted by: </w:t>
            </w:r>
            <w:r w:rsidR="00770D7C">
              <w:rPr>
                <w:lang w:eastAsia="zh-CN"/>
              </w:rPr>
              <w:t>Aaron Braeckel</w:t>
            </w:r>
          </w:p>
        </w:tc>
      </w:tr>
      <w:tr w:rsidR="001C16A8" w:rsidRPr="00FF65B9" w14:paraId="5F8E21FB" w14:textId="77777777" w:rsidTr="001C16A8">
        <w:trPr>
          <w:cantSplit/>
          <w:trHeight w:val="81"/>
        </w:trPr>
        <w:tc>
          <w:tcPr>
            <w:tcW w:w="6228" w:type="dxa"/>
            <w:gridSpan w:val="2"/>
            <w:vMerge/>
          </w:tcPr>
          <w:p w14:paraId="01DBB395" w14:textId="77777777"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851" w:type="dxa"/>
          </w:tcPr>
          <w:p w14:paraId="64850E9A" w14:textId="7D9E28C8" w:rsidR="001C16A8" w:rsidRPr="00770D7C" w:rsidRDefault="00A546E3" w:rsidP="00A546E3">
            <w:pPr>
              <w:jc w:val="right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15 </w:t>
            </w:r>
            <w:r w:rsidR="00770D7C" w:rsidRPr="00770D7C">
              <w:rPr>
                <w:bCs/>
                <w:lang w:eastAsia="zh-CN"/>
              </w:rPr>
              <w:t>September 2015</w:t>
            </w:r>
          </w:p>
        </w:tc>
      </w:tr>
    </w:tbl>
    <w:p w14:paraId="6ABA8A93" w14:textId="77777777" w:rsidR="00D22E8A" w:rsidRPr="00FF65B9" w:rsidRDefault="00D22E8A" w:rsidP="00415F4C"/>
    <w:p w14:paraId="116314ED" w14:textId="02A1F658" w:rsidR="00480313" w:rsidRPr="00FF65B9" w:rsidRDefault="00AF58F3" w:rsidP="000E3612">
      <w:pPr>
        <w:pStyle w:val="Heading1"/>
        <w:jc w:val="center"/>
      </w:pPr>
      <w:r>
        <w:t>Bi-Directional TAC Conversion</w:t>
      </w:r>
    </w:p>
    <w:p w14:paraId="212694AD" w14:textId="77777777" w:rsidR="00F35F35" w:rsidRPr="00FF65B9" w:rsidRDefault="00F35F35" w:rsidP="000E3612">
      <w:pPr>
        <w:pStyle w:val="Heading2"/>
        <w:rPr>
          <w:rFonts w:hint="eastAsia"/>
        </w:rPr>
      </w:pPr>
      <w:r w:rsidRPr="00FF65B9">
        <w:t>Introduction</w:t>
      </w:r>
    </w:p>
    <w:p w14:paraId="080E7DEB" w14:textId="499618A3" w:rsidR="00DA56F6" w:rsidRDefault="00DA56F6" w:rsidP="00AF58F3">
      <w:r>
        <w:t xml:space="preserve">The proposed </w:t>
      </w:r>
      <w:r w:rsidR="00157915">
        <w:t xml:space="preserve">plans for the </w:t>
      </w:r>
      <w:r w:rsidR="005B0784">
        <w:t xml:space="preserve">ICAO </w:t>
      </w:r>
      <w:r w:rsidR="00157915">
        <w:t>transition from TAC to XML have</w:t>
      </w:r>
      <w:r w:rsidR="005B0784">
        <w:t xml:space="preserve"> </w:t>
      </w:r>
      <w:r w:rsidR="00157915">
        <w:t xml:space="preserve">included </w:t>
      </w:r>
      <w:r w:rsidR="005B0784">
        <w:t xml:space="preserve">descriptions of </w:t>
      </w:r>
      <w:r>
        <w:t xml:space="preserve">regional </w:t>
      </w:r>
      <w:r w:rsidR="00157915">
        <w:t>centers converting</w:t>
      </w:r>
      <w:r>
        <w:t xml:space="preserve"> from TAC to IWXXM</w:t>
      </w:r>
      <w:r w:rsidR="001A4783">
        <w:t xml:space="preserve"> </w:t>
      </w:r>
      <w:r w:rsidR="005B0784">
        <w:t xml:space="preserve">on behalf of </w:t>
      </w:r>
      <w:r w:rsidR="001A4783">
        <w:t>ICAO member states that are unable to produce XML natively</w:t>
      </w:r>
      <w:r>
        <w:t>.</w:t>
      </w:r>
      <w:r w:rsidR="00157915">
        <w:t xml:space="preserve">  </w:t>
      </w:r>
      <w:r w:rsidR="005B0784">
        <w:t>During the transition period</w:t>
      </w:r>
      <w:r w:rsidR="001A4783">
        <w:t xml:space="preserve"> TAC consumers </w:t>
      </w:r>
      <w:r w:rsidR="005B0784">
        <w:t>will also</w:t>
      </w:r>
      <w:r w:rsidR="001A4783">
        <w:t xml:space="preserve"> require a mechanism to convert from XML back to TAC</w:t>
      </w:r>
      <w:r w:rsidR="005B0784">
        <w:t xml:space="preserve"> to integrate with existing systems</w:t>
      </w:r>
      <w:r w:rsidR="001A4783">
        <w:t xml:space="preserve">. </w:t>
      </w:r>
      <w:r w:rsidR="005B0784">
        <w:t>Additionally, b</w:t>
      </w:r>
      <w:r w:rsidR="00742536">
        <w:t xml:space="preserve">i-directional </w:t>
      </w:r>
      <w:r w:rsidR="001B0FAF">
        <w:t xml:space="preserve">conversion </w:t>
      </w:r>
      <w:r w:rsidR="00742536">
        <w:t xml:space="preserve">is </w:t>
      </w:r>
      <w:r w:rsidR="001B0FAF">
        <w:t xml:space="preserve">also </w:t>
      </w:r>
      <w:r w:rsidR="001A4783">
        <w:t xml:space="preserve">likely </w:t>
      </w:r>
      <w:r w:rsidR="00742536">
        <w:t>to be required after the transition period</w:t>
      </w:r>
      <w:r w:rsidR="001A4783">
        <w:t xml:space="preserve"> for those consumers who continue to use TAC as a presentation form (such as pilots)</w:t>
      </w:r>
      <w:r w:rsidR="001B0FAF">
        <w:t>.</w:t>
      </w:r>
      <w:r w:rsidR="00742536">
        <w:t xml:space="preserve"> </w:t>
      </w:r>
      <w:r w:rsidR="001B0FAF">
        <w:t xml:space="preserve">Therefore </w:t>
      </w:r>
      <w:r w:rsidR="005B0784">
        <w:t xml:space="preserve">converting </w:t>
      </w:r>
      <w:r w:rsidR="00924C50">
        <w:t xml:space="preserve">both directions is an important capability to implement during the transition period and beyond: </w:t>
      </w:r>
      <w:r w:rsidR="005B0784">
        <w:t>TAC to XML for regional centers, and XML to TAC for existing TAC consumers</w:t>
      </w:r>
      <w:r w:rsidR="001A4783">
        <w:t>.</w:t>
      </w:r>
    </w:p>
    <w:p w14:paraId="299E244C" w14:textId="79476C62" w:rsidR="001C16A8" w:rsidRDefault="00742536" w:rsidP="000E3612">
      <w:pPr>
        <w:pStyle w:val="Heading2"/>
        <w:rPr>
          <w:rFonts w:hint="eastAsia"/>
        </w:rPr>
      </w:pPr>
      <w:r>
        <w:t>TAC to XML Conversion</w:t>
      </w:r>
    </w:p>
    <w:p w14:paraId="73612B73" w14:textId="17E97C44" w:rsidR="0094201F" w:rsidRDefault="00742536" w:rsidP="00742536">
      <w:r>
        <w:t xml:space="preserve">Converting from TAC to XML has a number of challenges, most of which are familiar to TAC consumers trying to parse TAC today.  Missing location metadata, character transpositions, non-standard regional TAC variations, and many other </w:t>
      </w:r>
      <w:r w:rsidR="00195566">
        <w:t xml:space="preserve">known TAC </w:t>
      </w:r>
      <w:r>
        <w:t xml:space="preserve">issues contribute to the difficulty of </w:t>
      </w:r>
      <w:r w:rsidR="000B0FB3">
        <w:t>parsing TAC message</w:t>
      </w:r>
      <w:r w:rsidR="000509AA">
        <w:t>s</w:t>
      </w:r>
      <w:r w:rsidR="000B0FB3">
        <w:t xml:space="preserve"> for conversion to XML</w:t>
      </w:r>
      <w:r>
        <w:t>.</w:t>
      </w:r>
      <w:r w:rsidR="0094201F">
        <w:t xml:space="preserve">  TAC to XML conversion also introduces a</w:t>
      </w:r>
      <w:r w:rsidR="005B0784">
        <w:t>nother</w:t>
      </w:r>
      <w:r w:rsidR="0094201F">
        <w:t xml:space="preserve"> </w:t>
      </w:r>
      <w:r w:rsidR="000509AA">
        <w:t xml:space="preserve">unique </w:t>
      </w:r>
      <w:r w:rsidR="0094201F">
        <w:t xml:space="preserve">requirement that the geospatial referencing information (such as the location of </w:t>
      </w:r>
      <w:r w:rsidR="000509AA">
        <w:t xml:space="preserve">a </w:t>
      </w:r>
      <w:r w:rsidR="0094201F">
        <w:t xml:space="preserve">METAR </w:t>
      </w:r>
      <w:r w:rsidR="000509AA">
        <w:t>station</w:t>
      </w:r>
      <w:r w:rsidR="0094201F">
        <w:t xml:space="preserve">) be </w:t>
      </w:r>
      <w:r w:rsidR="000509AA">
        <w:t>generated</w:t>
      </w:r>
      <w:r w:rsidR="005B0784">
        <w:t xml:space="preserve"> in a consistent fashion</w:t>
      </w:r>
      <w:r w:rsidR="0094201F">
        <w:t xml:space="preserve"> </w:t>
      </w:r>
      <w:r w:rsidR="000B0FB3">
        <w:t xml:space="preserve">across regional </w:t>
      </w:r>
      <w:r w:rsidR="00195566">
        <w:t xml:space="preserve">translation </w:t>
      </w:r>
      <w:r w:rsidR="000B0FB3">
        <w:t>centers</w:t>
      </w:r>
      <w:r w:rsidR="0094201F">
        <w:t>.</w:t>
      </w:r>
    </w:p>
    <w:p w14:paraId="1E2B2C19" w14:textId="77777777" w:rsidR="00742536" w:rsidRDefault="00742536" w:rsidP="00742536"/>
    <w:p w14:paraId="48903F5A" w14:textId="44758AD8" w:rsidR="001C16A8" w:rsidRPr="00742536" w:rsidRDefault="00742536" w:rsidP="001C16A8">
      <w:r>
        <w:t>Due to the imperfect nature of TAC</w:t>
      </w:r>
      <w:r w:rsidR="00C31443">
        <w:t xml:space="preserve"> and the related parsing challenges</w:t>
      </w:r>
      <w:r>
        <w:t xml:space="preserve">, the XML must </w:t>
      </w:r>
      <w:r w:rsidR="00195566">
        <w:t xml:space="preserve">be able to </w:t>
      </w:r>
      <w:r>
        <w:t xml:space="preserve">retain un-parsed information from the TAC so that </w:t>
      </w:r>
      <w:r w:rsidR="005B0784">
        <w:t xml:space="preserve">consumers of TAC do not lose </w:t>
      </w:r>
      <w:r w:rsidR="0094201F">
        <w:t xml:space="preserve">information </w:t>
      </w:r>
      <w:r w:rsidR="005B0784">
        <w:t xml:space="preserve">in </w:t>
      </w:r>
      <w:r w:rsidR="00842541">
        <w:t>the translation</w:t>
      </w:r>
      <w:r w:rsidR="00EC7BAC">
        <w:t xml:space="preserve"> process</w:t>
      </w:r>
      <w:r>
        <w:t>.</w:t>
      </w:r>
    </w:p>
    <w:p w14:paraId="31F7D064" w14:textId="221EC4D2" w:rsidR="00742536" w:rsidRDefault="00742536" w:rsidP="00742536">
      <w:pPr>
        <w:pStyle w:val="Heading2"/>
        <w:rPr>
          <w:rFonts w:hint="eastAsia"/>
        </w:rPr>
      </w:pPr>
      <w:r>
        <w:t>XML To TAC Conversion</w:t>
      </w:r>
    </w:p>
    <w:p w14:paraId="79ADF29E" w14:textId="4EDC4F89" w:rsidR="0094201F" w:rsidRDefault="0094201F" w:rsidP="00DE50DF">
      <w:r>
        <w:t xml:space="preserve">Converting XML to TAC is a </w:t>
      </w:r>
      <w:r w:rsidR="00465A61">
        <w:t xml:space="preserve">much </w:t>
      </w:r>
      <w:r>
        <w:t>simpler task,</w:t>
      </w:r>
      <w:r w:rsidR="00DE50DF">
        <w:t xml:space="preserve"> but does have a few challenges.  One of the </w:t>
      </w:r>
      <w:r w:rsidR="005B0784">
        <w:t xml:space="preserve">more difficult </w:t>
      </w:r>
      <w:r w:rsidR="005B2B85">
        <w:t>technical problems</w:t>
      </w:r>
      <w:r w:rsidR="005B0784">
        <w:t xml:space="preserve"> is </w:t>
      </w:r>
      <w:r w:rsidR="00DE50DF">
        <w:t>c</w:t>
      </w:r>
      <w:r>
        <w:t xml:space="preserve">onverting machine-readable content to human-readable information, such as </w:t>
      </w:r>
      <w:r w:rsidR="00574596">
        <w:t>converting</w:t>
      </w:r>
      <w:r>
        <w:t xml:space="preserve"> a sequence of </w:t>
      </w:r>
      <w:r w:rsidR="00F049AD">
        <w:t xml:space="preserve">SIGMET </w:t>
      </w:r>
      <w:r>
        <w:t xml:space="preserve">points </w:t>
      </w:r>
      <w:r w:rsidR="005B0784">
        <w:t>into</w:t>
      </w:r>
      <w:r>
        <w:t xml:space="preserve"> “north of XYZ up to the FIR boundary”</w:t>
      </w:r>
      <w:r w:rsidR="0023141E">
        <w:t>.</w:t>
      </w:r>
    </w:p>
    <w:p w14:paraId="74E42205" w14:textId="77777777" w:rsidR="005B2B85" w:rsidRDefault="005B2B85" w:rsidP="00DE50DF"/>
    <w:p w14:paraId="6EF9FF31" w14:textId="3D8B0B68" w:rsidR="005B2B85" w:rsidRDefault="005B2B85" w:rsidP="00DE50DF">
      <w:r>
        <w:t>There are a number of techniques that can be used to convert XML to TAC, including custom software and XSLT.</w:t>
      </w:r>
    </w:p>
    <w:p w14:paraId="5A8E9490" w14:textId="5CA5EDC3" w:rsidR="00742536" w:rsidRDefault="00742536" w:rsidP="00742536">
      <w:pPr>
        <w:pStyle w:val="Heading3"/>
      </w:pPr>
      <w:r>
        <w:t>XSLT</w:t>
      </w:r>
    </w:p>
    <w:p w14:paraId="7C587BE1" w14:textId="307935CC" w:rsidR="00742536" w:rsidRDefault="0094201F" w:rsidP="00742536">
      <w:r>
        <w:t xml:space="preserve">XSLT is a standard XML technology used for converting XML to other forms.  It is mature, implemented in web browsers, and broadly utilized worldwide.  XSLT is a </w:t>
      </w:r>
      <w:r w:rsidR="005B2B85">
        <w:t xml:space="preserve">compelling </w:t>
      </w:r>
      <w:r>
        <w:t>choice for a technology to implement XML to TAC conversion</w:t>
      </w:r>
      <w:r w:rsidR="005B2B85">
        <w:t xml:space="preserve"> due its broad presence and high utilization</w:t>
      </w:r>
      <w:r>
        <w:t>.</w:t>
      </w:r>
    </w:p>
    <w:p w14:paraId="453AA808" w14:textId="77777777" w:rsidR="0094201F" w:rsidRDefault="0094201F" w:rsidP="00742536"/>
    <w:p w14:paraId="1279BBF1" w14:textId="24E237AB" w:rsidR="0094201F" w:rsidRDefault="0094201F" w:rsidP="00742536">
      <w:r>
        <w:t xml:space="preserve">WMO and ICAO may be in a position to provide either official or reference XSLT stylesheets for converting XML to TAC.  This would </w:t>
      </w:r>
      <w:r w:rsidR="00DE50DF">
        <w:t>need to be updated with each release of IWXXM and/or Annex 3 as changes are made.</w:t>
      </w:r>
    </w:p>
    <w:p w14:paraId="2297A584" w14:textId="29DA036A" w:rsidR="0094201F" w:rsidRDefault="0094201F" w:rsidP="0094201F">
      <w:pPr>
        <w:pStyle w:val="Heading3"/>
      </w:pPr>
      <w:r>
        <w:t>XSLT Implementation</w:t>
      </w:r>
    </w:p>
    <w:p w14:paraId="13E66254" w14:textId="4B9F4704" w:rsidR="0094201F" w:rsidRDefault="00464EAF" w:rsidP="00742536">
      <w:r>
        <w:t xml:space="preserve">XSLT conversion for </w:t>
      </w:r>
      <w:r w:rsidR="000B0FB3">
        <w:t>IWXXM</w:t>
      </w:r>
      <w:r w:rsidR="0094201F">
        <w:t xml:space="preserve"> </w:t>
      </w:r>
      <w:r>
        <w:t xml:space="preserve">1.0 </w:t>
      </w:r>
      <w:r w:rsidR="0094201F">
        <w:t xml:space="preserve">METAR </w:t>
      </w:r>
      <w:r w:rsidR="00EB5AA0">
        <w:t xml:space="preserve">and SIGMET </w:t>
      </w:r>
      <w:r>
        <w:t xml:space="preserve">examples </w:t>
      </w:r>
      <w:r w:rsidR="000B0FB3">
        <w:t xml:space="preserve">to TAC </w:t>
      </w:r>
      <w:r w:rsidR="0094201F">
        <w:t xml:space="preserve">was implemented and </w:t>
      </w:r>
      <w:r w:rsidR="00DE50DF">
        <w:t xml:space="preserve">the results </w:t>
      </w:r>
      <w:r w:rsidR="000B0FB3">
        <w:t>we</w:t>
      </w:r>
      <w:r w:rsidR="00DE50DF">
        <w:t xml:space="preserve">re </w:t>
      </w:r>
      <w:r>
        <w:t xml:space="preserve">very </w:t>
      </w:r>
      <w:r w:rsidR="00DE50DF">
        <w:t xml:space="preserve">promising.  Using the current XSLT stylesheet, metar-A3-1.xml was converted </w:t>
      </w:r>
      <w:r w:rsidR="000B0FB3">
        <w:t xml:space="preserve">back </w:t>
      </w:r>
      <w:r w:rsidR="00DE50DF">
        <w:t xml:space="preserve">into </w:t>
      </w:r>
      <w:r w:rsidR="00AF36EA">
        <w:t>its full TAC form</w:t>
      </w:r>
      <w:r w:rsidR="00DE50DF">
        <w:t>:</w:t>
      </w:r>
    </w:p>
    <w:p w14:paraId="2F4F7CE7" w14:textId="77777777" w:rsidR="00DE50DF" w:rsidRDefault="00DE50DF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</w:p>
    <w:p w14:paraId="2413D20C" w14:textId="74156829" w:rsidR="00DE50DF" w:rsidRDefault="00DE50DF" w:rsidP="000B0FB3">
      <w:pPr>
        <w:pStyle w:val="Quote"/>
        <w:rPr>
          <w:rFonts w:eastAsia="MS Mincho"/>
          <w:lang w:val="en-US" w:eastAsia="en-GB"/>
        </w:rPr>
      </w:pPr>
      <w:r>
        <w:rPr>
          <w:rFonts w:eastAsia="MS Mincho"/>
          <w:lang w:val="en-US" w:eastAsia="en-GB"/>
        </w:rPr>
        <w:t>METAR YUDO 221630Z 24004MPS 0600 R12/1000U DZ FG SCT010 OVC020 17/16 Q1018 BECMG TL</w:t>
      </w:r>
      <w:r w:rsidR="000B0FB3">
        <w:rPr>
          <w:rFonts w:eastAsia="MS Mincho"/>
          <w:lang w:val="en-US" w:eastAsia="en-GB"/>
        </w:rPr>
        <w:t xml:space="preserve">1700 0800 FG BECMG AT1800 1000 </w:t>
      </w:r>
      <w:r>
        <w:rPr>
          <w:rFonts w:eastAsia="MS Mincho"/>
          <w:lang w:val="en-US" w:eastAsia="en-GB"/>
        </w:rPr>
        <w:t>NSW</w:t>
      </w:r>
    </w:p>
    <w:p w14:paraId="07D34493" w14:textId="77777777" w:rsidR="000B0FB3" w:rsidRDefault="000B0FB3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</w:p>
    <w:p w14:paraId="4EFA6B35" w14:textId="5DE59C29" w:rsidR="000B0FB3" w:rsidRDefault="000B0FB3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This stylesheet only included conversion logic for the portions of a METAR that are needed for this particular example</w:t>
      </w:r>
      <w:r w:rsidR="00464EAF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,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and </w:t>
      </w:r>
      <w:r w:rsidR="00464EAF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the XSLT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would need to be expanded to cover the complete METAR specification.  </w:t>
      </w:r>
      <w:r w:rsidR="0086606E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For example, runway state is not currently implemented. 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Additionally, </w:t>
      </w:r>
      <w:r w:rsidR="00F116B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the SIGMET portion is incomplete and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no </w:t>
      </w:r>
      <w:r w:rsidR="0086606E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implementation has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yet been </w:t>
      </w:r>
      <w:r w:rsidR="0086606E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attempted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</w:t>
      </w:r>
      <w:r w:rsidR="002C2D84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for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</w:t>
      </w:r>
      <w:r w:rsidR="00EB5AA0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an </w:t>
      </w:r>
      <w:r w:rsidR="00BF414B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IWXXM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</w:t>
      </w:r>
      <w:r w:rsidR="00EB5AA0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TAF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.  </w:t>
      </w:r>
      <w:r w:rsidR="00F116B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T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he technology appears very promising</w:t>
      </w:r>
      <w:r w:rsidR="00422F77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and could provide an ICAO/WMO </w:t>
      </w:r>
      <w:r w:rsidR="00144740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authoritative</w:t>
      </w:r>
      <w:r w:rsidR="00422F77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mechanism for conversion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.</w:t>
      </w:r>
    </w:p>
    <w:p w14:paraId="5EADE0F0" w14:textId="121EAF6A" w:rsidR="00502C81" w:rsidRPr="00502C81" w:rsidRDefault="00502C81" w:rsidP="00502C81">
      <w:pPr>
        <w:pStyle w:val="Heading3"/>
        <w:rPr>
          <w:rFonts w:eastAsia="MS Mincho"/>
          <w:lang w:val="en-US" w:eastAsia="en-GB"/>
        </w:rPr>
      </w:pPr>
      <w:r>
        <w:rPr>
          <w:rFonts w:eastAsia="MS Mincho"/>
          <w:lang w:val="en-US" w:eastAsia="en-GB"/>
        </w:rPr>
        <w:t>WMO Registry Codes</w:t>
      </w:r>
    </w:p>
    <w:p w14:paraId="213E0721" w14:textId="56370512" w:rsidR="00B65A36" w:rsidRDefault="004F2BB0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Translation from XML to TAC</w:t>
      </w:r>
      <w:r w:rsidR="0086606E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requires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information on how </w:t>
      </w:r>
      <w:r w:rsidR="00B65A3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WMO code URLs are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mapped to TAC text.  </w:t>
      </w:r>
      <w:r w:rsidR="00F116B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Being able to download</w:t>
      </w:r>
      <w:r w:rsidR="008F203D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metadata code</w:t>
      </w:r>
      <w:r w:rsidR="00B65A3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s</w:t>
      </w:r>
      <w:r w:rsidR="008F203D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from the WMO Codes Registry </w:t>
      </w:r>
      <w:r w:rsidR="00B65A3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is a preferred solution to ensure</w:t>
      </w:r>
      <w:r w:rsidR="008F203D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that there is an authoritative resource</w:t>
      </w:r>
      <w:r w:rsidR="00FB0A53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for developers</w:t>
      </w:r>
      <w:r w:rsidR="0086606E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.  </w:t>
      </w:r>
    </w:p>
    <w:p w14:paraId="31594390" w14:textId="77777777" w:rsidR="00B65A36" w:rsidRDefault="00B65A36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</w:p>
    <w:p w14:paraId="02574BAA" w14:textId="226DF86B" w:rsidR="00502C81" w:rsidRDefault="00FB0A53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The WMO Codes Registry today requires some expansion to support XML to TAC conversion.  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Some </w:t>
      </w:r>
      <w:r w:rsidR="00FA1F08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codes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, such as</w:t>
      </w:r>
      <w:r w:rsidR="00FA1F08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those </w:t>
      </w:r>
      <w:r w:rsidR="00F116B6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contained </w:t>
      </w:r>
      <w:r w:rsidR="00FA1F08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in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</w:t>
      </w:r>
      <w:hyperlink r:id="rId10" w:history="1">
        <w:r w:rsidR="00502C81" w:rsidRPr="0070019D">
          <w:rPr>
            <w:rStyle w:val="Hyperlink"/>
            <w:rFonts w:ascii="Times New Roman" w:eastAsia="MS Mincho" w:hAnsi="Times New Roman" w:cs="Times New Roman"/>
            <w:sz w:val="24"/>
            <w:szCs w:val="24"/>
            <w:lang w:val="en-US" w:eastAsia="en-GB"/>
          </w:rPr>
          <w:t>http://codes.wmo.int/bufr4/codeflag/0-22-061</w:t>
        </w:r>
      </w:hyperlink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, don’t ap</w:t>
      </w:r>
      <w:r w:rsidR="00FA1F08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pear to have 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clearly defined TAC </w:t>
      </w:r>
      <w:r w:rsidR="00FA1F08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text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anywhere 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in the registry.  In other cases register items such as </w:t>
      </w:r>
      <w:hyperlink r:id="rId11" w:history="1">
        <w:r w:rsidR="00502C81" w:rsidRPr="0070019D">
          <w:rPr>
            <w:rStyle w:val="Hyperlink"/>
            <w:rFonts w:ascii="Times New Roman" w:eastAsia="MS Mincho" w:hAnsi="Times New Roman" w:cs="Times New Roman"/>
            <w:sz w:val="24"/>
            <w:szCs w:val="24"/>
            <w:lang w:val="en-US" w:eastAsia="en-GB"/>
          </w:rPr>
          <w:t>http://codes.wmo.int/bufr4/codeflag/0-20-008/3</w:t>
        </w:r>
      </w:hyperlink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have no direct reference back to its TAC 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representation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even though they are present on the 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IWXXM-related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containing 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register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, and </w:t>
      </w:r>
      <w:r w:rsidR="007C2159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discovering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the </w:t>
      </w:r>
      <w:r w:rsidR="007C2159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register 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metadata </w:t>
      </w:r>
      <w:r w:rsidR="007C2159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from the register item </w:t>
      </w:r>
      <w:r w:rsidR="00D863B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is non-trivial</w:t>
      </w:r>
      <w:r w:rsidR="00502C8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.</w:t>
      </w:r>
    </w:p>
    <w:p w14:paraId="2CC31766" w14:textId="77777777" w:rsidR="00327FAA" w:rsidRDefault="00327FAA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</w:p>
    <w:p w14:paraId="53657D4B" w14:textId="76D50E4F" w:rsidR="00327FAA" w:rsidRDefault="00FB0A53" w:rsidP="00742536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Recent c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onversations on this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topic have indicated that the TAC metadata 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should be added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to the WMO Codes Registry using a combination of SKOS labels and SKOS notation properties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:</w:t>
      </w:r>
    </w:p>
    <w:p w14:paraId="50C37C1F" w14:textId="6692EF72" w:rsidR="00327FAA" w:rsidRDefault="00327FAA" w:rsidP="002D3C24">
      <w:pPr>
        <w:pStyle w:val="Quote"/>
        <w:rPr>
          <w:rFonts w:eastAsia="MS Mincho"/>
          <w:lang w:val="en-US" w:eastAsia="en-GB"/>
        </w:rPr>
      </w:pPr>
      <w:r>
        <w:rPr>
          <w:rFonts w:eastAsia="MS Mincho"/>
          <w:lang w:val="en-US" w:eastAsia="en-GB"/>
        </w:rPr>
        <w:t>“…</w:t>
      </w:r>
      <w:r w:rsidRPr="00327FAA">
        <w:rPr>
          <w:rFonts w:eastAsia="MS Mincho"/>
          <w:lang w:val="en-US" w:eastAsia="en-GB"/>
        </w:rPr>
        <w:t>labels from SKOS [1]; e.g. `skos:prefLabel` and zero or more `skos:altLabel` properties in addition to the existing `rdfs:label` property. RDF (&amp; the registry itself) fully support provision of multi-lingual text. Additionally, for strings such as "BKN" we can add `skos:notation` [2] properties</w:t>
      </w:r>
      <w:r>
        <w:rPr>
          <w:rFonts w:eastAsia="MS Mincho"/>
          <w:lang w:val="en-US" w:eastAsia="en-GB"/>
        </w:rPr>
        <w:t>”</w:t>
      </w:r>
    </w:p>
    <w:p w14:paraId="003949DE" w14:textId="77777777" w:rsidR="00327FAA" w:rsidRDefault="00327FAA" w:rsidP="00327FAA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</w:p>
    <w:p w14:paraId="30D36E4A" w14:textId="4509DBC0" w:rsidR="00327FAA" w:rsidRDefault="002D3C24" w:rsidP="00327FAA">
      <w:pP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A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single </w:t>
      </w:r>
      <w:r w:rsidR="00E5141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label or notation</w:t>
      </w:r>
      <w:r w:rsidR="00FB0A53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markup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that is consistent for all register items would be desirable to ensure that this content can be easily translated </w:t>
      </w:r>
      <w:r w:rsidR="00FB0A53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by the metadata contained in </w:t>
      </w:r>
      <w:r w:rsidR="00E5141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each 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SKOS/RDF</w:t>
      </w:r>
      <w:r w:rsidR="00E51411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 xml:space="preserve"> register item</w:t>
      </w:r>
      <w:r w:rsidR="00327FAA">
        <w:rPr>
          <w:rFonts w:ascii="Times New Roman" w:eastAsia="MS Mincho" w:hAnsi="Times New Roman" w:cs="Times New Roman"/>
          <w:color w:val="000000"/>
          <w:sz w:val="24"/>
          <w:szCs w:val="24"/>
          <w:lang w:val="en-US" w:eastAsia="en-GB"/>
        </w:rPr>
        <w:t>.</w:t>
      </w:r>
    </w:p>
    <w:p w14:paraId="45241A13" w14:textId="15091815" w:rsidR="00004CC1" w:rsidRDefault="00004CC1" w:rsidP="00004CC1">
      <w:pPr>
        <w:pStyle w:val="Heading3"/>
        <w:rPr>
          <w:rFonts w:eastAsia="MS Mincho"/>
          <w:lang w:val="en-US" w:eastAsia="en-GB"/>
        </w:rPr>
      </w:pPr>
      <w:r>
        <w:rPr>
          <w:rFonts w:eastAsia="MS Mincho"/>
          <w:lang w:val="en-US" w:eastAsia="en-GB"/>
        </w:rPr>
        <w:t>Proposal</w:t>
      </w:r>
    </w:p>
    <w:p w14:paraId="0A606E04" w14:textId="09801D67" w:rsidR="00804A8C" w:rsidRDefault="00004CC1" w:rsidP="00004CC1">
      <w:pPr>
        <w:rPr>
          <w:rFonts w:ascii="Times New Roman" w:hAnsi="Times New Roman"/>
          <w:sz w:val="24"/>
          <w:szCs w:val="24"/>
        </w:rPr>
      </w:pPr>
      <w:r w:rsidRPr="00004CC1">
        <w:rPr>
          <w:rFonts w:ascii="Times New Roman" w:hAnsi="Times New Roman"/>
          <w:sz w:val="24"/>
          <w:szCs w:val="24"/>
        </w:rPr>
        <w:t>ICAO and WMO</w:t>
      </w:r>
      <w:r>
        <w:rPr>
          <w:rFonts w:ascii="Times New Roman" w:hAnsi="Times New Roman"/>
          <w:sz w:val="24"/>
          <w:szCs w:val="24"/>
        </w:rPr>
        <w:t xml:space="preserve"> determine a</w:t>
      </w:r>
      <w:r w:rsidRPr="00004CC1">
        <w:rPr>
          <w:rFonts w:ascii="Times New Roman" w:hAnsi="Times New Roman"/>
          <w:sz w:val="24"/>
          <w:szCs w:val="24"/>
        </w:rPr>
        <w:t xml:space="preserve"> position on developing and maintaining a complete set of XSLT styles</w:t>
      </w:r>
      <w:r w:rsidR="009020FA">
        <w:rPr>
          <w:rFonts w:ascii="Times New Roman" w:hAnsi="Times New Roman"/>
          <w:sz w:val="24"/>
          <w:szCs w:val="24"/>
        </w:rPr>
        <w:t>heets for XML to TAC conversion, and whether they should be considered authoritative.</w:t>
      </w:r>
    </w:p>
    <w:p w14:paraId="00E392AD" w14:textId="77777777" w:rsidR="00004CC1" w:rsidRDefault="00004CC1" w:rsidP="00004CC1">
      <w:pPr>
        <w:rPr>
          <w:rFonts w:ascii="Times New Roman" w:hAnsi="Times New Roman"/>
          <w:sz w:val="24"/>
          <w:szCs w:val="24"/>
        </w:rPr>
      </w:pPr>
    </w:p>
    <w:p w14:paraId="6B8F0515" w14:textId="361AAC53" w:rsidR="00004CC1" w:rsidRDefault="00004CC1" w:rsidP="00004C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WMO determine whether </w:t>
      </w:r>
      <w:r w:rsidRPr="00004CC1">
        <w:rPr>
          <w:rFonts w:ascii="Times New Roman" w:hAnsi="Times New Roman"/>
          <w:sz w:val="24"/>
          <w:szCs w:val="24"/>
        </w:rPr>
        <w:t xml:space="preserve">the contents of the WMO Codes Registry </w:t>
      </w:r>
      <w:r w:rsidR="00804A8C">
        <w:rPr>
          <w:rFonts w:ascii="Times New Roman" w:hAnsi="Times New Roman"/>
          <w:sz w:val="24"/>
          <w:szCs w:val="24"/>
        </w:rPr>
        <w:t xml:space="preserve">can </w:t>
      </w:r>
      <w:r w:rsidRPr="00004CC1">
        <w:rPr>
          <w:rFonts w:ascii="Times New Roman" w:hAnsi="Times New Roman"/>
          <w:sz w:val="24"/>
          <w:szCs w:val="24"/>
        </w:rPr>
        <w:t>be downloaded either partially or in full</w:t>
      </w:r>
      <w:r>
        <w:rPr>
          <w:rFonts w:ascii="Times New Roman" w:hAnsi="Times New Roman"/>
          <w:sz w:val="24"/>
          <w:szCs w:val="24"/>
        </w:rPr>
        <w:t xml:space="preserve"> in RDF</w:t>
      </w:r>
      <w:r w:rsidR="00C20D27">
        <w:rPr>
          <w:rFonts w:ascii="Times New Roman" w:hAnsi="Times New Roman"/>
          <w:sz w:val="24"/>
          <w:szCs w:val="24"/>
        </w:rPr>
        <w:t>/TTL</w:t>
      </w:r>
      <w:r>
        <w:rPr>
          <w:rFonts w:ascii="Times New Roman" w:hAnsi="Times New Roman"/>
          <w:sz w:val="24"/>
          <w:szCs w:val="24"/>
        </w:rPr>
        <w:t xml:space="preserve"> format.</w:t>
      </w:r>
    </w:p>
    <w:p w14:paraId="026255FC" w14:textId="77777777" w:rsidR="00502C81" w:rsidRDefault="00502C81" w:rsidP="00004CC1">
      <w:pPr>
        <w:rPr>
          <w:rFonts w:ascii="Times New Roman" w:hAnsi="Times New Roman"/>
          <w:sz w:val="24"/>
          <w:szCs w:val="24"/>
        </w:rPr>
      </w:pPr>
    </w:p>
    <w:p w14:paraId="11895BB2" w14:textId="72776AB5" w:rsidR="00502C81" w:rsidRDefault="00502C81" w:rsidP="00004C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WMO </w:t>
      </w:r>
      <w:r w:rsidR="00327FAA">
        <w:rPr>
          <w:rFonts w:ascii="Times New Roman" w:hAnsi="Times New Roman"/>
          <w:sz w:val="24"/>
          <w:szCs w:val="24"/>
        </w:rPr>
        <w:t xml:space="preserve">adds TAC metadata to all </w:t>
      </w:r>
      <w:r w:rsidR="00327FAA" w:rsidRPr="00327FAA">
        <w:rPr>
          <w:rFonts w:ascii="Times New Roman" w:hAnsi="Times New Roman"/>
          <w:i/>
          <w:sz w:val="24"/>
          <w:szCs w:val="24"/>
        </w:rPr>
        <w:t xml:space="preserve">register items </w:t>
      </w:r>
      <w:r w:rsidR="00327FAA">
        <w:rPr>
          <w:rFonts w:ascii="Times New Roman" w:hAnsi="Times New Roman"/>
          <w:sz w:val="24"/>
          <w:szCs w:val="24"/>
        </w:rPr>
        <w:t>in a usable form that are needed for IWXXM</w:t>
      </w:r>
      <w:r w:rsidR="009B7E77">
        <w:rPr>
          <w:rFonts w:ascii="Times New Roman" w:hAnsi="Times New Roman"/>
          <w:sz w:val="24"/>
          <w:szCs w:val="24"/>
        </w:rPr>
        <w:t xml:space="preserve"> 1.1</w:t>
      </w:r>
      <w:r w:rsidR="00327FAA">
        <w:rPr>
          <w:rFonts w:ascii="Times New Roman" w:hAnsi="Times New Roman"/>
          <w:sz w:val="24"/>
          <w:szCs w:val="24"/>
        </w:rPr>
        <w:t>:</w:t>
      </w:r>
    </w:p>
    <w:p w14:paraId="1234DF30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http://codes.wmo.int/49-2/AerodromeForecastWeather</w:t>
      </w:r>
    </w:p>
    <w:p w14:paraId="1162E90A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http://codes.wmo.int/49-2/SigConvectiveCloudType</w:t>
      </w:r>
    </w:p>
    <w:p w14:paraId="1A92EBBE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http://codes.wmo.int/49-2/CloudAmountReportedAtAerodrome</w:t>
      </w:r>
    </w:p>
    <w:p w14:paraId="116A99F7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http://codes.wmo.int/49-2/SigWxPhenomena</w:t>
      </w:r>
    </w:p>
    <w:p w14:paraId="41A14636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http://codes.wmo.int/49-2/AerodromeRecentWeather</w:t>
      </w:r>
    </w:p>
    <w:p w14:paraId="630F6945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http://codes.wmo.int/bufr4/codeflag/0-22-061</w:t>
      </w:r>
    </w:p>
    <w:p w14:paraId="61466C3B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http://codes.wmo.int/bufr4/codeflag/0-20-086</w:t>
      </w:r>
    </w:p>
    <w:p w14:paraId="65B31069" w14:textId="77777777" w:rsidR="00327FAA" w:rsidRPr="00327FAA" w:rsidRDefault="00327FAA" w:rsidP="00327FAA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27FAA">
        <w:rPr>
          <w:rFonts w:ascii="Times New Roman" w:hAnsi="Times New Roman"/>
          <w:sz w:val="24"/>
          <w:szCs w:val="24"/>
        </w:rPr>
        <w:t>http://codes.wmo.int/bufr4/codeflag/0-20-087</w:t>
      </w:r>
    </w:p>
    <w:p w14:paraId="648ACC00" w14:textId="263A8008" w:rsidR="00195566" w:rsidRPr="00965B8A" w:rsidRDefault="00195566" w:rsidP="00195566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195566">
        <w:rPr>
          <w:rFonts w:ascii="Times New Roman" w:hAnsi="Times New Roman"/>
          <w:sz w:val="24"/>
          <w:szCs w:val="24"/>
        </w:rPr>
        <w:t>http://codes.wmo.int/49-2/AerodromePresentWeather</w:t>
      </w:r>
    </w:p>
    <w:p w14:paraId="60DB42C0" w14:textId="77777777" w:rsidR="001C16A8" w:rsidRPr="00FF65B9" w:rsidRDefault="001C16A8" w:rsidP="000E3612">
      <w:pPr>
        <w:pStyle w:val="Heading2"/>
        <w:rPr>
          <w:rFonts w:hint="eastAsia"/>
        </w:rPr>
      </w:pPr>
      <w:r w:rsidRPr="00FF65B9">
        <w:lastRenderedPageBreak/>
        <w:t>References</w:t>
      </w:r>
    </w:p>
    <w:p w14:paraId="4E117989" w14:textId="77777777" w:rsidR="00327FAA" w:rsidRDefault="00327FAA" w:rsidP="00327FAA">
      <w:r>
        <w:t>[1]: </w:t>
      </w:r>
      <w:hyperlink r:id="rId12" w:anchor="seclabel" w:tgtFrame="_blank" w:history="1">
        <w:r>
          <w:rPr>
            <w:rStyle w:val="Hyperlink"/>
          </w:rPr>
          <w:t>http://www.w3.org/TR/skos-primer/#seclabel</w:t>
        </w:r>
      </w:hyperlink>
    </w:p>
    <w:p w14:paraId="0F706E4A" w14:textId="77777777" w:rsidR="00327FAA" w:rsidRDefault="00327FAA" w:rsidP="00327FAA">
      <w:r>
        <w:t>[2]: </w:t>
      </w:r>
      <w:hyperlink r:id="rId13" w:anchor="secnotations" w:tgtFrame="_blank" w:history="1">
        <w:r>
          <w:rPr>
            <w:rStyle w:val="Hyperlink"/>
          </w:rPr>
          <w:t>http://www.w3.org/TR/skos-primer/#secnotations</w:t>
        </w:r>
      </w:hyperlink>
    </w:p>
    <w:p w14:paraId="6CFDEC37" w14:textId="77777777" w:rsidR="001C16A8" w:rsidRPr="00FF65B9" w:rsidRDefault="001C16A8" w:rsidP="000E3612">
      <w:pPr>
        <w:pStyle w:val="Heading2"/>
        <w:rPr>
          <w:rFonts w:hint="eastAsia"/>
        </w:rPr>
      </w:pPr>
      <w:r w:rsidRPr="00FF65B9">
        <w:t xml:space="preserve">Recommended Text </w:t>
      </w:r>
    </w:p>
    <w:p w14:paraId="73DCBD4C" w14:textId="77777777" w:rsidR="00004CC1" w:rsidRPr="00004CC1" w:rsidRDefault="00004CC1" w:rsidP="00004CC1">
      <w:pPr>
        <w:pStyle w:val="ListParagraph"/>
        <w:rPr>
          <w:rFonts w:ascii="Times New Roman" w:hAnsi="Times New Roman"/>
          <w:sz w:val="24"/>
          <w:szCs w:val="24"/>
        </w:rPr>
      </w:pPr>
    </w:p>
    <w:p w14:paraId="7326095C" w14:textId="77777777" w:rsidR="001C16A8" w:rsidRPr="00FF65B9" w:rsidRDefault="001C16A8" w:rsidP="001C16A8">
      <w:pPr>
        <w:jc w:val="center"/>
        <w:rPr>
          <w:rFonts w:ascii="Times New Roman" w:hAnsi="Times New Roman"/>
          <w:sz w:val="24"/>
          <w:szCs w:val="24"/>
        </w:rPr>
      </w:pPr>
      <w:r w:rsidRPr="00FF65B9">
        <w:rPr>
          <w:rFonts w:ascii="Times New Roman" w:hAnsi="Times New Roman"/>
          <w:sz w:val="24"/>
          <w:szCs w:val="24"/>
        </w:rPr>
        <w:t>--------------------</w:t>
      </w:r>
    </w:p>
    <w:p w14:paraId="154215F8" w14:textId="77777777" w:rsidR="008A71EB" w:rsidRPr="00FF65B9" w:rsidRDefault="008A71EB" w:rsidP="00B97253"/>
    <w:sectPr w:rsidR="008A71EB" w:rsidRPr="00FF65B9" w:rsidSect="001C16A8">
      <w:headerReference w:type="default" r:id="rId14"/>
      <w:headerReference w:type="first" r:id="rId15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FA530" w14:textId="77777777" w:rsidR="00C31443" w:rsidRDefault="00C31443">
      <w:r>
        <w:separator/>
      </w:r>
    </w:p>
    <w:p w14:paraId="7D210989" w14:textId="77777777" w:rsidR="00C31443" w:rsidRDefault="00C31443"/>
  </w:endnote>
  <w:endnote w:type="continuationSeparator" w:id="0">
    <w:p w14:paraId="49A34258" w14:textId="77777777" w:rsidR="00C31443" w:rsidRDefault="00C31443">
      <w:r>
        <w:continuationSeparator/>
      </w:r>
    </w:p>
    <w:p w14:paraId="1734F4D3" w14:textId="77777777" w:rsidR="00C31443" w:rsidRDefault="00C31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1A27D" w14:textId="77777777" w:rsidR="00C31443" w:rsidRDefault="00C31443">
      <w:r>
        <w:separator/>
      </w:r>
    </w:p>
    <w:p w14:paraId="400361B0" w14:textId="77777777" w:rsidR="00C31443" w:rsidRDefault="00C31443"/>
  </w:footnote>
  <w:footnote w:type="continuationSeparator" w:id="0">
    <w:p w14:paraId="6AA047E9" w14:textId="77777777" w:rsidR="00C31443" w:rsidRDefault="00C31443">
      <w:r>
        <w:continuationSeparator/>
      </w:r>
    </w:p>
    <w:p w14:paraId="21F3B327" w14:textId="77777777" w:rsidR="00C31443" w:rsidRDefault="00C314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93A9" w14:textId="47C8C303" w:rsidR="00A546E3" w:rsidRPr="00A546E3" w:rsidRDefault="00A546E3">
    <w:pPr>
      <w:pStyle w:val="Header"/>
      <w:rPr>
        <w:lang w:val="en-GB"/>
      </w:rPr>
    </w:pPr>
    <w:r>
      <w:rPr>
        <w:lang w:val="en-GB"/>
      </w:rPr>
      <w:t>TT-AvXML-4/D10, p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>
      <w:rPr>
        <w:noProof/>
        <w:lang w:val="en-GB"/>
      </w:rPr>
      <w:t>1</w:t>
    </w:r>
    <w:r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2A344" w14:textId="77777777" w:rsidR="00C31443" w:rsidRPr="00C10690" w:rsidRDefault="00C31443" w:rsidP="00251C3F">
    <w:pPr>
      <w:pStyle w:val="Header"/>
      <w:rPr>
        <w:lang w:val="en-GB"/>
      </w:rPr>
    </w:pPr>
    <w:r w:rsidRPr="00C10690">
      <w:rPr>
        <w:lang w:val="en-GB"/>
      </w:rPr>
      <w:t>ICT- ISS-2012/Doc. X.X, DRAFT 1, APPENDIX C</w:t>
    </w:r>
  </w:p>
  <w:p w14:paraId="792E5E16" w14:textId="77777777" w:rsidR="00C31443" w:rsidRPr="00C10690" w:rsidRDefault="00C31443" w:rsidP="00251C3F">
    <w:pPr>
      <w:pStyle w:val="Header"/>
      <w:rPr>
        <w:lang w:val="en-GB"/>
      </w:rPr>
    </w:pPr>
  </w:p>
  <w:p w14:paraId="02DC71E6" w14:textId="77777777" w:rsidR="00C31443" w:rsidRPr="00C10690" w:rsidRDefault="00C31443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97774F3"/>
    <w:multiLevelType w:val="hybridMultilevel"/>
    <w:tmpl w:val="B0EA8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2B6E5F7E"/>
    <w:multiLevelType w:val="hybridMultilevel"/>
    <w:tmpl w:val="7ADA8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C051930"/>
    <w:multiLevelType w:val="hybridMultilevel"/>
    <w:tmpl w:val="E5489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2">
    <w:nsid w:val="57DE26FA"/>
    <w:multiLevelType w:val="hybridMultilevel"/>
    <w:tmpl w:val="08003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352DF5"/>
    <w:multiLevelType w:val="hybridMultilevel"/>
    <w:tmpl w:val="723E5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40">
    <w:nsid w:val="7DB31E2E"/>
    <w:multiLevelType w:val="multilevel"/>
    <w:tmpl w:val="0409001F"/>
    <w:numStyleLink w:val="111111"/>
  </w:abstractNum>
  <w:abstractNum w:abstractNumId="41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1"/>
  </w:num>
  <w:num w:numId="3">
    <w:abstractNumId w:val="24"/>
  </w:num>
  <w:num w:numId="4">
    <w:abstractNumId w:val="33"/>
  </w:num>
  <w:num w:numId="5">
    <w:abstractNumId w:val="14"/>
  </w:num>
  <w:num w:numId="6">
    <w:abstractNumId w:val="21"/>
  </w:num>
  <w:num w:numId="7">
    <w:abstractNumId w:val="15"/>
  </w:num>
  <w:num w:numId="8">
    <w:abstractNumId w:val="26"/>
  </w:num>
  <w:num w:numId="9">
    <w:abstractNumId w:val="18"/>
  </w:num>
  <w:num w:numId="10">
    <w:abstractNumId w:val="17"/>
  </w:num>
  <w:num w:numId="11">
    <w:abstractNumId w:val="31"/>
  </w:num>
  <w:num w:numId="12">
    <w:abstractNumId w:val="10"/>
  </w:num>
  <w:num w:numId="13">
    <w:abstractNumId w:val="23"/>
  </w:num>
  <w:num w:numId="14">
    <w:abstractNumId w:val="38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1"/>
  </w:num>
  <w:num w:numId="29">
    <w:abstractNumId w:val="37"/>
  </w:num>
  <w:num w:numId="30">
    <w:abstractNumId w:val="36"/>
  </w:num>
  <w:num w:numId="31">
    <w:abstractNumId w:val="12"/>
  </w:num>
  <w:num w:numId="32">
    <w:abstractNumId w:val="34"/>
  </w:num>
  <w:num w:numId="33">
    <w:abstractNumId w:val="40"/>
  </w:num>
  <w:num w:numId="34">
    <w:abstractNumId w:val="13"/>
  </w:num>
  <w:num w:numId="35">
    <w:abstractNumId w:val="28"/>
  </w:num>
  <w:num w:numId="36">
    <w:abstractNumId w:val="29"/>
  </w:num>
  <w:num w:numId="37">
    <w:abstractNumId w:val="39"/>
  </w:num>
  <w:num w:numId="38">
    <w:abstractNumId w:val="32"/>
  </w:num>
  <w:num w:numId="39">
    <w:abstractNumId w:val="35"/>
  </w:num>
  <w:num w:numId="40">
    <w:abstractNumId w:val="22"/>
  </w:num>
  <w:num w:numId="41">
    <w:abstractNumId w:val="2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04CC1"/>
    <w:rsid w:val="000104BD"/>
    <w:rsid w:val="0001212F"/>
    <w:rsid w:val="000135F6"/>
    <w:rsid w:val="00032134"/>
    <w:rsid w:val="00033326"/>
    <w:rsid w:val="00037813"/>
    <w:rsid w:val="00047952"/>
    <w:rsid w:val="000509AA"/>
    <w:rsid w:val="00051ED5"/>
    <w:rsid w:val="000522FD"/>
    <w:rsid w:val="000531BD"/>
    <w:rsid w:val="00055CB6"/>
    <w:rsid w:val="00061E2C"/>
    <w:rsid w:val="00062C21"/>
    <w:rsid w:val="000700C3"/>
    <w:rsid w:val="00073C93"/>
    <w:rsid w:val="000874E4"/>
    <w:rsid w:val="00095554"/>
    <w:rsid w:val="000A64C1"/>
    <w:rsid w:val="000A7240"/>
    <w:rsid w:val="000B0FB3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44740"/>
    <w:rsid w:val="001575A8"/>
    <w:rsid w:val="00157915"/>
    <w:rsid w:val="001638D5"/>
    <w:rsid w:val="00163C9F"/>
    <w:rsid w:val="001767E7"/>
    <w:rsid w:val="00183776"/>
    <w:rsid w:val="00187554"/>
    <w:rsid w:val="0019137E"/>
    <w:rsid w:val="00195566"/>
    <w:rsid w:val="001A4783"/>
    <w:rsid w:val="001A5CB4"/>
    <w:rsid w:val="001B0FAF"/>
    <w:rsid w:val="001B18E2"/>
    <w:rsid w:val="001B34F3"/>
    <w:rsid w:val="001C16A8"/>
    <w:rsid w:val="001C21AE"/>
    <w:rsid w:val="001C4164"/>
    <w:rsid w:val="001D17E1"/>
    <w:rsid w:val="001D7D0C"/>
    <w:rsid w:val="001E0AF7"/>
    <w:rsid w:val="001F317B"/>
    <w:rsid w:val="001F5B91"/>
    <w:rsid w:val="00207EE3"/>
    <w:rsid w:val="002250BE"/>
    <w:rsid w:val="0023141E"/>
    <w:rsid w:val="00245849"/>
    <w:rsid w:val="00245D75"/>
    <w:rsid w:val="00251C3F"/>
    <w:rsid w:val="0025599B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2D84"/>
    <w:rsid w:val="002C499A"/>
    <w:rsid w:val="002C738A"/>
    <w:rsid w:val="002D3C24"/>
    <w:rsid w:val="002D5529"/>
    <w:rsid w:val="002D7217"/>
    <w:rsid w:val="002E1642"/>
    <w:rsid w:val="002E5A73"/>
    <w:rsid w:val="002F1B0A"/>
    <w:rsid w:val="00302E8E"/>
    <w:rsid w:val="00310DDF"/>
    <w:rsid w:val="00314A52"/>
    <w:rsid w:val="00320A0D"/>
    <w:rsid w:val="00324304"/>
    <w:rsid w:val="00327FAA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7252"/>
    <w:rsid w:val="003C6D9A"/>
    <w:rsid w:val="003E3693"/>
    <w:rsid w:val="003F4325"/>
    <w:rsid w:val="00403F24"/>
    <w:rsid w:val="00413EDA"/>
    <w:rsid w:val="00415F4C"/>
    <w:rsid w:val="00422F77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4EAF"/>
    <w:rsid w:val="00465A61"/>
    <w:rsid w:val="004668E7"/>
    <w:rsid w:val="00472482"/>
    <w:rsid w:val="00480313"/>
    <w:rsid w:val="004938CC"/>
    <w:rsid w:val="00495EEF"/>
    <w:rsid w:val="004A77F1"/>
    <w:rsid w:val="004C1599"/>
    <w:rsid w:val="004C73FF"/>
    <w:rsid w:val="004D3BAA"/>
    <w:rsid w:val="004D77E1"/>
    <w:rsid w:val="004E577D"/>
    <w:rsid w:val="004F2BB0"/>
    <w:rsid w:val="004F3BA0"/>
    <w:rsid w:val="004F6651"/>
    <w:rsid w:val="00502C81"/>
    <w:rsid w:val="00525FDE"/>
    <w:rsid w:val="00526C7D"/>
    <w:rsid w:val="005359E9"/>
    <w:rsid w:val="0055792B"/>
    <w:rsid w:val="00562CED"/>
    <w:rsid w:val="00566B56"/>
    <w:rsid w:val="00570D7A"/>
    <w:rsid w:val="00574596"/>
    <w:rsid w:val="0058495A"/>
    <w:rsid w:val="00584984"/>
    <w:rsid w:val="005934C3"/>
    <w:rsid w:val="00594308"/>
    <w:rsid w:val="005A6BCE"/>
    <w:rsid w:val="005A7374"/>
    <w:rsid w:val="005B0784"/>
    <w:rsid w:val="005B2B85"/>
    <w:rsid w:val="005B7409"/>
    <w:rsid w:val="005C15CC"/>
    <w:rsid w:val="005D5961"/>
    <w:rsid w:val="005E36A7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044"/>
    <w:rsid w:val="006657CC"/>
    <w:rsid w:val="006677D0"/>
    <w:rsid w:val="00677566"/>
    <w:rsid w:val="00677FB7"/>
    <w:rsid w:val="00683A7D"/>
    <w:rsid w:val="006A5514"/>
    <w:rsid w:val="006A6EA2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1469"/>
    <w:rsid w:val="007239FC"/>
    <w:rsid w:val="00724454"/>
    <w:rsid w:val="0073729C"/>
    <w:rsid w:val="00742536"/>
    <w:rsid w:val="0074502C"/>
    <w:rsid w:val="00766EED"/>
    <w:rsid w:val="00770D7C"/>
    <w:rsid w:val="00773798"/>
    <w:rsid w:val="0078028F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2159"/>
    <w:rsid w:val="007C49CE"/>
    <w:rsid w:val="007C595D"/>
    <w:rsid w:val="007F2132"/>
    <w:rsid w:val="007F6329"/>
    <w:rsid w:val="00800251"/>
    <w:rsid w:val="00801715"/>
    <w:rsid w:val="00802B20"/>
    <w:rsid w:val="00804A8C"/>
    <w:rsid w:val="00810373"/>
    <w:rsid w:val="00815DD9"/>
    <w:rsid w:val="008269A2"/>
    <w:rsid w:val="00827511"/>
    <w:rsid w:val="008414B4"/>
    <w:rsid w:val="00842541"/>
    <w:rsid w:val="00843A1D"/>
    <w:rsid w:val="00846779"/>
    <w:rsid w:val="00854846"/>
    <w:rsid w:val="0085547C"/>
    <w:rsid w:val="008621B3"/>
    <w:rsid w:val="008639CA"/>
    <w:rsid w:val="0086606E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C5F04"/>
    <w:rsid w:val="008E274F"/>
    <w:rsid w:val="008E4F71"/>
    <w:rsid w:val="008E7CF0"/>
    <w:rsid w:val="008F203D"/>
    <w:rsid w:val="008F53F7"/>
    <w:rsid w:val="009020FA"/>
    <w:rsid w:val="0090477D"/>
    <w:rsid w:val="00910FF6"/>
    <w:rsid w:val="00911591"/>
    <w:rsid w:val="00913A35"/>
    <w:rsid w:val="00920086"/>
    <w:rsid w:val="00920223"/>
    <w:rsid w:val="00921B88"/>
    <w:rsid w:val="00923438"/>
    <w:rsid w:val="00924C50"/>
    <w:rsid w:val="0093348E"/>
    <w:rsid w:val="00934D30"/>
    <w:rsid w:val="00937052"/>
    <w:rsid w:val="0094201F"/>
    <w:rsid w:val="00943D07"/>
    <w:rsid w:val="00945DA1"/>
    <w:rsid w:val="00953DE3"/>
    <w:rsid w:val="00965B8A"/>
    <w:rsid w:val="009716D8"/>
    <w:rsid w:val="00982B27"/>
    <w:rsid w:val="009A3F73"/>
    <w:rsid w:val="009A4470"/>
    <w:rsid w:val="009A52D6"/>
    <w:rsid w:val="009B0CA5"/>
    <w:rsid w:val="009B2952"/>
    <w:rsid w:val="009B3463"/>
    <w:rsid w:val="009B58CC"/>
    <w:rsid w:val="009B7E77"/>
    <w:rsid w:val="009C2528"/>
    <w:rsid w:val="009D6338"/>
    <w:rsid w:val="009E7EA6"/>
    <w:rsid w:val="009F10F4"/>
    <w:rsid w:val="009F332A"/>
    <w:rsid w:val="00A00183"/>
    <w:rsid w:val="00A04F23"/>
    <w:rsid w:val="00A12112"/>
    <w:rsid w:val="00A414EB"/>
    <w:rsid w:val="00A45F94"/>
    <w:rsid w:val="00A546E3"/>
    <w:rsid w:val="00A55596"/>
    <w:rsid w:val="00A65A51"/>
    <w:rsid w:val="00A7189B"/>
    <w:rsid w:val="00A71E92"/>
    <w:rsid w:val="00A74081"/>
    <w:rsid w:val="00A83967"/>
    <w:rsid w:val="00AB119C"/>
    <w:rsid w:val="00AB564C"/>
    <w:rsid w:val="00AB7157"/>
    <w:rsid w:val="00AC551F"/>
    <w:rsid w:val="00AD3B62"/>
    <w:rsid w:val="00AD49F1"/>
    <w:rsid w:val="00AE5EDA"/>
    <w:rsid w:val="00AF36EA"/>
    <w:rsid w:val="00AF58F3"/>
    <w:rsid w:val="00B0249F"/>
    <w:rsid w:val="00B04592"/>
    <w:rsid w:val="00B05BBA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65A36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F08E2"/>
    <w:rsid w:val="00BF414B"/>
    <w:rsid w:val="00C00432"/>
    <w:rsid w:val="00C10690"/>
    <w:rsid w:val="00C1389A"/>
    <w:rsid w:val="00C20D27"/>
    <w:rsid w:val="00C20DB0"/>
    <w:rsid w:val="00C31443"/>
    <w:rsid w:val="00C33C63"/>
    <w:rsid w:val="00C4012A"/>
    <w:rsid w:val="00C40691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B6DF9"/>
    <w:rsid w:val="00CC23C9"/>
    <w:rsid w:val="00CC7699"/>
    <w:rsid w:val="00CD47BE"/>
    <w:rsid w:val="00D01387"/>
    <w:rsid w:val="00D02FA8"/>
    <w:rsid w:val="00D17948"/>
    <w:rsid w:val="00D22E8A"/>
    <w:rsid w:val="00D35ABB"/>
    <w:rsid w:val="00D37E35"/>
    <w:rsid w:val="00D70B08"/>
    <w:rsid w:val="00D733B4"/>
    <w:rsid w:val="00D863BA"/>
    <w:rsid w:val="00D9579B"/>
    <w:rsid w:val="00DA56F6"/>
    <w:rsid w:val="00DB1BA5"/>
    <w:rsid w:val="00DB3060"/>
    <w:rsid w:val="00DD1C37"/>
    <w:rsid w:val="00DD4013"/>
    <w:rsid w:val="00DE2F6C"/>
    <w:rsid w:val="00DE50DF"/>
    <w:rsid w:val="00DF04C7"/>
    <w:rsid w:val="00E106FE"/>
    <w:rsid w:val="00E40C83"/>
    <w:rsid w:val="00E43CAF"/>
    <w:rsid w:val="00E51411"/>
    <w:rsid w:val="00E6623A"/>
    <w:rsid w:val="00E91F0F"/>
    <w:rsid w:val="00E95AB2"/>
    <w:rsid w:val="00EA3D1A"/>
    <w:rsid w:val="00EA4F1E"/>
    <w:rsid w:val="00EA5587"/>
    <w:rsid w:val="00EB5AA0"/>
    <w:rsid w:val="00EB6634"/>
    <w:rsid w:val="00EC0AE6"/>
    <w:rsid w:val="00EC16B2"/>
    <w:rsid w:val="00EC3B28"/>
    <w:rsid w:val="00EC7711"/>
    <w:rsid w:val="00EC7BAC"/>
    <w:rsid w:val="00EE0CEC"/>
    <w:rsid w:val="00EE1757"/>
    <w:rsid w:val="00EE6F0B"/>
    <w:rsid w:val="00EF7DF7"/>
    <w:rsid w:val="00F049AD"/>
    <w:rsid w:val="00F116B6"/>
    <w:rsid w:val="00F11C19"/>
    <w:rsid w:val="00F345D8"/>
    <w:rsid w:val="00F35F35"/>
    <w:rsid w:val="00F448DD"/>
    <w:rsid w:val="00F617E1"/>
    <w:rsid w:val="00F62267"/>
    <w:rsid w:val="00FA1F08"/>
    <w:rsid w:val="00FB0A53"/>
    <w:rsid w:val="00FC2F19"/>
    <w:rsid w:val="00FC3318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B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  <w:style w:type="paragraph" w:styleId="Quote">
    <w:name w:val="Quote"/>
    <w:basedOn w:val="Normal"/>
    <w:next w:val="Normal"/>
    <w:link w:val="QuoteChar"/>
    <w:uiPriority w:val="29"/>
    <w:qFormat/>
    <w:rsid w:val="000B0FB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B0FB3"/>
    <w:rPr>
      <w:rFonts w:ascii="Arial" w:eastAsia="Times New Roman" w:hAnsi="Arial" w:cs="Arial"/>
      <w:i/>
      <w:iCs/>
      <w:color w:val="000000" w:themeColor="text1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  <w:style w:type="paragraph" w:styleId="Quote">
    <w:name w:val="Quote"/>
    <w:basedOn w:val="Normal"/>
    <w:next w:val="Normal"/>
    <w:link w:val="QuoteChar"/>
    <w:uiPriority w:val="29"/>
    <w:qFormat/>
    <w:rsid w:val="000B0FB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B0FB3"/>
    <w:rPr>
      <w:rFonts w:ascii="Arial" w:eastAsia="Times New Roman" w:hAnsi="Arial" w:cs="Arial"/>
      <w:i/>
      <w:iCs/>
      <w:color w:val="000000" w:themeColor="text1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skos-prim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w3.org/TR/skos-prime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des.wmo.int/bufr4/codeflag/0-20-008/3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codes.wmo.int/bufr4/codeflag/0-22-06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3F9C9-0199-4F49-BF8C-305D26C2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110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TITLE OF THE DOCUMENT</vt:lpstr>
      <vt:lpstr>    Introduction</vt:lpstr>
      <vt:lpstr>Styles (Use format...Styles and Formatting – Heading 1)</vt:lpstr>
      <vt:lpstr>    Style Heading 2</vt:lpstr>
      <vt:lpstr>    Section name (Style heading2)</vt:lpstr>
      <vt:lpstr>        Sub section heading (Style Heading 3)</vt:lpstr>
      <vt:lpstr>    Section name</vt:lpstr>
      <vt:lpstr>    References</vt:lpstr>
      <vt:lpstr>    Recommended Text </vt:lpstr>
    </vt:vector>
  </TitlesOfParts>
  <Company>wmo</Company>
  <LinksUpToDate>false</LinksUpToDate>
  <CharactersWithSpaces>6217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60</cp:revision>
  <cp:lastPrinted>2012-03-15T15:21:00Z</cp:lastPrinted>
  <dcterms:created xsi:type="dcterms:W3CDTF">2015-08-20T14:34:00Z</dcterms:created>
  <dcterms:modified xsi:type="dcterms:W3CDTF">2015-09-15T06:05:00Z</dcterms:modified>
</cp:coreProperties>
</file>