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79" w:type="dxa"/>
        <w:tblLayout w:type="fixed"/>
        <w:tblLook w:val="0000" w:firstRow="0" w:lastRow="0" w:firstColumn="0" w:lastColumn="0" w:noHBand="0" w:noVBand="0"/>
      </w:tblPr>
      <w:tblGrid>
        <w:gridCol w:w="4548"/>
        <w:gridCol w:w="1680"/>
        <w:gridCol w:w="3851"/>
      </w:tblGrid>
      <w:tr w:rsidR="001C16A8" w:rsidRPr="00D94E18" w:rsidTr="001C16A8">
        <w:trPr>
          <w:cantSplit/>
          <w:trHeight w:val="1438"/>
        </w:trPr>
        <w:tc>
          <w:tcPr>
            <w:tcW w:w="4548" w:type="dxa"/>
            <w:vAlign w:val="center"/>
          </w:tcPr>
          <w:p w:rsidR="001C16A8" w:rsidRPr="00D94E18" w:rsidRDefault="001C16A8" w:rsidP="001C16A8">
            <w:pPr>
              <w:jc w:val="center"/>
              <w:rPr>
                <w:rFonts w:cs="Helvetica"/>
                <w:b/>
                <w:bCs/>
                <w:sz w:val="28"/>
                <w:szCs w:val="28"/>
              </w:rPr>
            </w:pPr>
            <w:bookmarkStart w:id="0" w:name="_GoBack"/>
            <w:bookmarkEnd w:id="0"/>
            <w:r w:rsidRPr="00D94E18">
              <w:rPr>
                <w:b/>
                <w:bCs/>
                <w:sz w:val="28"/>
                <w:szCs w:val="28"/>
              </w:rPr>
              <w:t>WORLD WEATHER WATCH</w:t>
            </w:r>
            <w:r w:rsidRPr="00D94E18">
              <w:rPr>
                <w:b/>
                <w:bCs/>
                <w:sz w:val="28"/>
                <w:szCs w:val="28"/>
              </w:rPr>
              <w:br/>
              <w:t>COMMISSION FOR BASIC SYSTEMS</w:t>
            </w:r>
          </w:p>
        </w:tc>
        <w:tc>
          <w:tcPr>
            <w:tcW w:w="5531" w:type="dxa"/>
            <w:gridSpan w:val="2"/>
            <w:tcMar>
              <w:left w:w="6" w:type="dxa"/>
              <w:right w:w="6" w:type="dxa"/>
            </w:tcMar>
          </w:tcPr>
          <w:p w:rsidR="001C16A8" w:rsidRPr="00D94E18" w:rsidRDefault="00F345D8" w:rsidP="001C16A8">
            <w:pPr>
              <w:shd w:val="solid" w:color="FFFFFF" w:fill="FFFFFF"/>
              <w:spacing w:before="240" w:line="240" w:lineRule="atLeast"/>
            </w:pPr>
            <w:r w:rsidRPr="00D94E18">
              <w:rPr>
                <w:rFonts w:eastAsia="Calibri"/>
                <w:noProof/>
                <w:lang w:eastAsia="zh-TW"/>
              </w:rPr>
              <w:drawing>
                <wp:inline distT="0" distB="0" distL="0" distR="0" wp14:anchorId="55745B7E" wp14:editId="6BE6E236">
                  <wp:extent cx="3498850" cy="707390"/>
                  <wp:effectExtent l="0" t="0" r="6350" b="0"/>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98850" cy="707390"/>
                          </a:xfrm>
                          <a:prstGeom prst="rect">
                            <a:avLst/>
                          </a:prstGeom>
                          <a:noFill/>
                          <a:ln>
                            <a:noFill/>
                          </a:ln>
                        </pic:spPr>
                      </pic:pic>
                    </a:graphicData>
                  </a:graphic>
                </wp:inline>
              </w:drawing>
            </w:r>
          </w:p>
        </w:tc>
      </w:tr>
      <w:tr w:rsidR="001C16A8" w:rsidRPr="00D94E18" w:rsidTr="001C16A8">
        <w:trPr>
          <w:cantSplit/>
        </w:trPr>
        <w:tc>
          <w:tcPr>
            <w:tcW w:w="6228" w:type="dxa"/>
            <w:gridSpan w:val="2"/>
            <w:tcBorders>
              <w:top w:val="single" w:sz="12" w:space="0" w:color="auto"/>
            </w:tcBorders>
          </w:tcPr>
          <w:p w:rsidR="001C16A8" w:rsidRPr="00D94E18" w:rsidRDefault="001C16A8" w:rsidP="001C16A8">
            <w:pPr>
              <w:shd w:val="solid" w:color="FFFFFF" w:fill="FFFFFF"/>
              <w:spacing w:after="48"/>
              <w:rPr>
                <w:rFonts w:ascii="Verdana" w:hAnsi="Verdana" w:cs="Verdana"/>
              </w:rPr>
            </w:pPr>
          </w:p>
        </w:tc>
        <w:tc>
          <w:tcPr>
            <w:tcW w:w="3851" w:type="dxa"/>
            <w:tcBorders>
              <w:top w:val="single" w:sz="12" w:space="0" w:color="auto"/>
            </w:tcBorders>
          </w:tcPr>
          <w:p w:rsidR="001C16A8" w:rsidRPr="00D94E18" w:rsidRDefault="001C16A8" w:rsidP="001C16A8">
            <w:pPr>
              <w:shd w:val="solid" w:color="FFFFFF" w:fill="FFFFFF"/>
              <w:spacing w:after="48" w:line="240" w:lineRule="atLeast"/>
            </w:pPr>
          </w:p>
        </w:tc>
      </w:tr>
      <w:tr w:rsidR="001C16A8" w:rsidRPr="00D94E18" w:rsidTr="001C16A8">
        <w:trPr>
          <w:cantSplit/>
          <w:trHeight w:val="312"/>
        </w:trPr>
        <w:tc>
          <w:tcPr>
            <w:tcW w:w="6228" w:type="dxa"/>
            <w:gridSpan w:val="2"/>
            <w:vMerge w:val="restart"/>
          </w:tcPr>
          <w:p w:rsidR="00E95AB2" w:rsidRPr="00D94E18" w:rsidRDefault="00D94E18" w:rsidP="001C16A8">
            <w:pPr>
              <w:rPr>
                <w:b/>
              </w:rPr>
            </w:pPr>
            <w:r w:rsidRPr="00D94E18">
              <w:rPr>
                <w:b/>
              </w:rPr>
              <w:t>ICT-ISS</w:t>
            </w:r>
          </w:p>
          <w:p w:rsidR="00430A5B" w:rsidRPr="00D94E18" w:rsidRDefault="00430A5B" w:rsidP="001C16A8">
            <w:pPr>
              <w:rPr>
                <w:b/>
              </w:rPr>
            </w:pPr>
          </w:p>
          <w:p w:rsidR="001C16A8" w:rsidRPr="00D94E18" w:rsidRDefault="001C16A8" w:rsidP="001C16A8"/>
        </w:tc>
        <w:tc>
          <w:tcPr>
            <w:tcW w:w="3851" w:type="dxa"/>
          </w:tcPr>
          <w:p w:rsidR="001C16A8" w:rsidRPr="00D94E18" w:rsidRDefault="00D94E18" w:rsidP="00D94E18">
            <w:pPr>
              <w:jc w:val="right"/>
              <w:rPr>
                <w:lang w:eastAsia="zh-CN"/>
              </w:rPr>
            </w:pPr>
            <w:r w:rsidRPr="00D94E18">
              <w:rPr>
                <w:b/>
                <w:bCs/>
                <w:lang w:eastAsia="zh-CN"/>
              </w:rPr>
              <w:t>ICT-ISS</w:t>
            </w:r>
            <w:r w:rsidR="001A5CB4" w:rsidRPr="00D94E18">
              <w:rPr>
                <w:b/>
                <w:bCs/>
                <w:lang w:eastAsia="zh-CN"/>
              </w:rPr>
              <w:t>/</w:t>
            </w:r>
            <w:r w:rsidRPr="00D94E18">
              <w:rPr>
                <w:b/>
                <w:bCs/>
                <w:lang w:eastAsia="zh-CN"/>
              </w:rPr>
              <w:t>CBSext(2014)Actions</w:t>
            </w:r>
            <w:r w:rsidR="001C16A8" w:rsidRPr="00D94E18">
              <w:rPr>
                <w:bCs/>
                <w:lang w:eastAsia="zh-CN"/>
              </w:rPr>
              <w:br/>
            </w:r>
          </w:p>
        </w:tc>
      </w:tr>
      <w:tr w:rsidR="001C16A8" w:rsidRPr="00D94E18" w:rsidTr="001C16A8">
        <w:trPr>
          <w:cantSplit/>
          <w:trHeight w:val="81"/>
        </w:trPr>
        <w:tc>
          <w:tcPr>
            <w:tcW w:w="6228" w:type="dxa"/>
            <w:gridSpan w:val="2"/>
            <w:vMerge/>
          </w:tcPr>
          <w:p w:rsidR="001C16A8" w:rsidRPr="00D94E18" w:rsidRDefault="001C16A8" w:rsidP="001C16A8">
            <w:pPr>
              <w:rPr>
                <w:rFonts w:ascii="Verdana" w:hAnsi="Verdana" w:cs="Verdana"/>
                <w:sz w:val="20"/>
              </w:rPr>
            </w:pPr>
          </w:p>
        </w:tc>
        <w:tc>
          <w:tcPr>
            <w:tcW w:w="3851" w:type="dxa"/>
          </w:tcPr>
          <w:p w:rsidR="001C16A8" w:rsidRPr="00D94E18" w:rsidRDefault="00D94E18" w:rsidP="001C16A8">
            <w:pPr>
              <w:jc w:val="right"/>
              <w:rPr>
                <w:lang w:eastAsia="zh-CN"/>
              </w:rPr>
            </w:pPr>
            <w:r w:rsidRPr="00D94E18">
              <w:rPr>
                <w:bCs/>
                <w:lang w:eastAsia="zh-CN"/>
              </w:rPr>
              <w:t>11 February 2015</w:t>
            </w:r>
          </w:p>
        </w:tc>
      </w:tr>
    </w:tbl>
    <w:p w:rsidR="00D22E8A" w:rsidRPr="00D94E18" w:rsidRDefault="00D22E8A" w:rsidP="00415F4C"/>
    <w:p w:rsidR="00480313" w:rsidRPr="00D94E18" w:rsidRDefault="00D94E18" w:rsidP="00413EDA">
      <w:pPr>
        <w:pStyle w:val="MainHeading"/>
      </w:pPr>
      <w:r w:rsidRPr="00D94E18">
        <w:t>Summary of Actions on OPAG-ISS arising from CBS Ext.(2014)</w:t>
      </w:r>
    </w:p>
    <w:p w:rsidR="00F35F35" w:rsidRPr="00D94E18" w:rsidRDefault="00F35F35" w:rsidP="00F35F35">
      <w:pPr>
        <w:pStyle w:val="TopHeading"/>
        <w:rPr>
          <w:snapToGrid w:val="0"/>
        </w:rPr>
      </w:pPr>
      <w:r w:rsidRPr="00D94E18">
        <w:rPr>
          <w:snapToGrid w:val="0"/>
        </w:rPr>
        <w:t>DISCLAIMER</w:t>
      </w:r>
    </w:p>
    <w:p w:rsidR="00F35F35" w:rsidRPr="00D94E18" w:rsidRDefault="00F35F35" w:rsidP="00F35F35">
      <w:pPr>
        <w:tabs>
          <w:tab w:val="left" w:pos="4320"/>
          <w:tab w:val="left" w:pos="4860"/>
          <w:tab w:val="left" w:pos="5400"/>
        </w:tabs>
        <w:spacing w:line="360" w:lineRule="auto"/>
        <w:ind w:right="34"/>
        <w:jc w:val="center"/>
        <w:rPr>
          <w:b/>
          <w:sz w:val="20"/>
        </w:rPr>
      </w:pPr>
      <w:r w:rsidRPr="00D94E18">
        <w:rPr>
          <w:b/>
          <w:sz w:val="20"/>
        </w:rPr>
        <w:t>Regulation 43</w:t>
      </w:r>
    </w:p>
    <w:p w:rsidR="00F35F35" w:rsidRPr="00D94E18" w:rsidRDefault="00F35F35" w:rsidP="00F35F35">
      <w:pPr>
        <w:pStyle w:val="BodyText"/>
        <w:rPr>
          <w:sz w:val="20"/>
          <w:szCs w:val="20"/>
        </w:rPr>
      </w:pPr>
      <w:r w:rsidRPr="00D94E18">
        <w:rPr>
          <w:sz w:val="20"/>
          <w:szCs w:val="20"/>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F35F35" w:rsidRPr="00D94E18" w:rsidRDefault="00F35F35" w:rsidP="00F35F35">
      <w:pPr>
        <w:tabs>
          <w:tab w:val="left" w:pos="4320"/>
          <w:tab w:val="left" w:pos="4860"/>
          <w:tab w:val="left" w:pos="5400"/>
        </w:tabs>
        <w:spacing w:line="360" w:lineRule="auto"/>
        <w:ind w:right="34"/>
        <w:jc w:val="center"/>
        <w:rPr>
          <w:b/>
          <w:sz w:val="20"/>
        </w:rPr>
      </w:pPr>
      <w:r w:rsidRPr="00D94E18">
        <w:rPr>
          <w:b/>
          <w:sz w:val="20"/>
        </w:rPr>
        <w:t>Regulation 44</w:t>
      </w:r>
    </w:p>
    <w:p w:rsidR="00F35F35" w:rsidRPr="00D94E18" w:rsidRDefault="00F35F35" w:rsidP="00F35F35">
      <w:pPr>
        <w:pStyle w:val="BodyText"/>
        <w:rPr>
          <w:sz w:val="20"/>
          <w:szCs w:val="20"/>
        </w:rPr>
      </w:pPr>
      <w:r w:rsidRPr="00D94E18">
        <w:rPr>
          <w:sz w:val="20"/>
          <w:szCs w:val="20"/>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F35F35" w:rsidRPr="00D94E18" w:rsidRDefault="00F35F35" w:rsidP="00F35F35">
      <w:pPr>
        <w:pStyle w:val="BodyText"/>
        <w:rPr>
          <w:sz w:val="20"/>
          <w:szCs w:val="20"/>
        </w:rPr>
      </w:pPr>
      <w:r w:rsidRPr="00D94E18">
        <w:rPr>
          <w:sz w:val="20"/>
          <w:szCs w:val="20"/>
        </w:rPr>
        <w:t xml:space="preserve">© World Meteorological Organization, </w:t>
      </w:r>
      <w:r w:rsidR="00D94E18" w:rsidRPr="00D94E18">
        <w:rPr>
          <w:sz w:val="20"/>
          <w:szCs w:val="20"/>
        </w:rPr>
        <w:t>2015</w:t>
      </w:r>
    </w:p>
    <w:p w:rsidR="00F35F35" w:rsidRPr="00D94E18" w:rsidRDefault="00F35F35" w:rsidP="00F35F35">
      <w:pPr>
        <w:pStyle w:val="BodyText"/>
        <w:rPr>
          <w:sz w:val="20"/>
          <w:szCs w:val="20"/>
        </w:rPr>
      </w:pPr>
      <w:r w:rsidRPr="00D94E18">
        <w:rPr>
          <w:sz w:val="20"/>
          <w:szCs w:val="20"/>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(articles) in part or in whole should be addressed to:</w:t>
      </w:r>
    </w:p>
    <w:p w:rsidR="00F35F35" w:rsidRPr="00D94E18" w:rsidRDefault="00F35F35" w:rsidP="00F35F35">
      <w:pPr>
        <w:pStyle w:val="BodyText"/>
        <w:rPr>
          <w:sz w:val="20"/>
          <w:szCs w:val="20"/>
        </w:rPr>
      </w:pPr>
      <w:r w:rsidRPr="00D94E18">
        <w:rPr>
          <w:sz w:val="20"/>
          <w:szCs w:val="20"/>
        </w:rPr>
        <w:t>Chairperson, Publications Board</w:t>
      </w:r>
    </w:p>
    <w:p w:rsidR="00F35F35" w:rsidRPr="00D94E18" w:rsidRDefault="00F35F35" w:rsidP="00F35F35">
      <w:pPr>
        <w:pStyle w:val="BodyText"/>
        <w:rPr>
          <w:sz w:val="20"/>
          <w:szCs w:val="20"/>
        </w:rPr>
      </w:pPr>
      <w:r w:rsidRPr="00D94E18">
        <w:rPr>
          <w:sz w:val="20"/>
          <w:szCs w:val="20"/>
        </w:rPr>
        <w:t>World Meteorological Organization (WMO)</w:t>
      </w:r>
    </w:p>
    <w:p w:rsidR="00F35F35" w:rsidRPr="00D94E18" w:rsidRDefault="00F35F35" w:rsidP="00F35F35">
      <w:pPr>
        <w:pStyle w:val="BodyText"/>
        <w:rPr>
          <w:sz w:val="20"/>
          <w:szCs w:val="20"/>
        </w:rPr>
      </w:pPr>
      <w:r w:rsidRPr="00D94E18">
        <w:rPr>
          <w:sz w:val="20"/>
          <w:szCs w:val="20"/>
        </w:rPr>
        <w:t>7 bis, avenue de la Paix</w:t>
      </w:r>
      <w:r w:rsidRPr="00D94E18">
        <w:rPr>
          <w:sz w:val="20"/>
          <w:szCs w:val="20"/>
        </w:rPr>
        <w:tab/>
      </w:r>
      <w:r w:rsidRPr="00D94E18">
        <w:rPr>
          <w:sz w:val="20"/>
          <w:szCs w:val="20"/>
        </w:rPr>
        <w:tab/>
      </w:r>
      <w:r w:rsidRPr="00D94E18">
        <w:rPr>
          <w:sz w:val="20"/>
          <w:szCs w:val="20"/>
        </w:rPr>
        <w:tab/>
      </w:r>
      <w:r w:rsidRPr="00D94E18">
        <w:rPr>
          <w:sz w:val="20"/>
          <w:szCs w:val="20"/>
        </w:rPr>
        <w:tab/>
        <w:t>Tel.: +41 (0)22 730 84 03</w:t>
      </w:r>
    </w:p>
    <w:p w:rsidR="00F35F35" w:rsidRPr="00D94E18" w:rsidRDefault="00F35F35" w:rsidP="00F35F35">
      <w:pPr>
        <w:pStyle w:val="BodyText"/>
        <w:rPr>
          <w:sz w:val="20"/>
          <w:szCs w:val="20"/>
        </w:rPr>
      </w:pPr>
      <w:r w:rsidRPr="00D94E18">
        <w:rPr>
          <w:sz w:val="20"/>
          <w:szCs w:val="20"/>
        </w:rPr>
        <w:t>P.O. Box No. 2300</w:t>
      </w:r>
      <w:r w:rsidRPr="00D94E18">
        <w:rPr>
          <w:sz w:val="20"/>
          <w:szCs w:val="20"/>
        </w:rPr>
        <w:tab/>
      </w:r>
      <w:r w:rsidRPr="00D94E18">
        <w:rPr>
          <w:sz w:val="20"/>
          <w:szCs w:val="20"/>
        </w:rPr>
        <w:tab/>
      </w:r>
      <w:r w:rsidRPr="00D94E18">
        <w:rPr>
          <w:sz w:val="20"/>
          <w:szCs w:val="20"/>
        </w:rPr>
        <w:tab/>
      </w:r>
      <w:r w:rsidRPr="00D94E18">
        <w:rPr>
          <w:sz w:val="20"/>
          <w:szCs w:val="20"/>
        </w:rPr>
        <w:tab/>
        <w:t>Fax: +41 (0)22 730 80 40</w:t>
      </w:r>
    </w:p>
    <w:p w:rsidR="00F35F35" w:rsidRPr="00D94E18" w:rsidRDefault="00F35F35" w:rsidP="00F35F35">
      <w:pPr>
        <w:pStyle w:val="BodyText"/>
        <w:rPr>
          <w:sz w:val="20"/>
          <w:szCs w:val="20"/>
        </w:rPr>
      </w:pPr>
      <w:r w:rsidRPr="00D94E18">
        <w:rPr>
          <w:sz w:val="20"/>
          <w:szCs w:val="20"/>
        </w:rPr>
        <w:t>CH-1211 Geneva 2, Switzerland</w:t>
      </w:r>
      <w:r w:rsidRPr="00D94E18">
        <w:rPr>
          <w:sz w:val="20"/>
          <w:szCs w:val="20"/>
        </w:rPr>
        <w:tab/>
      </w:r>
      <w:r w:rsidRPr="00D94E18">
        <w:rPr>
          <w:sz w:val="20"/>
          <w:szCs w:val="20"/>
        </w:rPr>
        <w:tab/>
      </w:r>
      <w:r w:rsidRPr="00D94E18">
        <w:rPr>
          <w:sz w:val="20"/>
          <w:szCs w:val="20"/>
        </w:rPr>
        <w:tab/>
      </w:r>
      <w:r w:rsidRPr="00D94E18">
        <w:rPr>
          <w:sz w:val="20"/>
          <w:szCs w:val="20"/>
        </w:rPr>
        <w:tab/>
        <w:t xml:space="preserve">E-mail: </w:t>
      </w:r>
      <w:hyperlink r:id="rId10" w:history="1">
        <w:r w:rsidRPr="00D94E18">
          <w:rPr>
            <w:rStyle w:val="Hyperlink"/>
            <w:sz w:val="20"/>
            <w:szCs w:val="20"/>
          </w:rPr>
          <w:t>Publications@wmo.int</w:t>
        </w:r>
      </w:hyperlink>
      <w:r w:rsidRPr="00D94E18">
        <w:rPr>
          <w:sz w:val="20"/>
          <w:szCs w:val="20"/>
        </w:rPr>
        <w:t xml:space="preserve"> </w:t>
      </w:r>
    </w:p>
    <w:p w:rsidR="00796B82" w:rsidRPr="00D94E18" w:rsidRDefault="00796B82" w:rsidP="00F35F35">
      <w:pPr>
        <w:pStyle w:val="BodyText"/>
        <w:rPr>
          <w:sz w:val="20"/>
          <w:szCs w:val="20"/>
        </w:rPr>
      </w:pPr>
    </w:p>
    <w:p w:rsidR="00F35F35" w:rsidRPr="00D94E18" w:rsidRDefault="00F35F35" w:rsidP="00F35F35">
      <w:pPr>
        <w:pStyle w:val="BodyText"/>
        <w:rPr>
          <w:sz w:val="20"/>
          <w:szCs w:val="20"/>
        </w:rPr>
      </w:pPr>
      <w:r w:rsidRPr="00D94E18">
        <w:rPr>
          <w:sz w:val="20"/>
          <w:szCs w:val="20"/>
        </w:rPr>
        <w:t>NOTE:</w:t>
      </w:r>
    </w:p>
    <w:p w:rsidR="00F35F35" w:rsidRPr="00D94E18" w:rsidRDefault="00F35F35" w:rsidP="00F35F35">
      <w:pPr>
        <w:pStyle w:val="BodyText"/>
        <w:rPr>
          <w:sz w:val="20"/>
          <w:szCs w:val="20"/>
        </w:rPr>
      </w:pPr>
      <w:r w:rsidRPr="00D94E18">
        <w:rPr>
          <w:sz w:val="20"/>
          <w:szCs w:val="20"/>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F35F35" w:rsidRPr="00D94E18" w:rsidRDefault="00F35F35" w:rsidP="00F35F35">
      <w:pPr>
        <w:pStyle w:val="BodyText"/>
        <w:rPr>
          <w:sz w:val="20"/>
          <w:szCs w:val="20"/>
        </w:rPr>
      </w:pPr>
      <w:r w:rsidRPr="00D94E18">
        <w:rPr>
          <w:sz w:val="20"/>
          <w:szCs w:val="20"/>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rsidR="00F35F35" w:rsidRPr="00D94E18" w:rsidRDefault="00F35F35" w:rsidP="00796B82">
      <w:pPr>
        <w:pStyle w:val="BodyText"/>
        <w:rPr>
          <w:sz w:val="20"/>
          <w:szCs w:val="20"/>
        </w:rPr>
      </w:pPr>
      <w:r w:rsidRPr="00D94E18">
        <w:rPr>
          <w:sz w:val="20"/>
          <w:szCs w:val="20"/>
        </w:rPr>
        <w:t xml:space="preserve">This document (or report) is not an official publication of WMO and has not been subjected to its standard editorial procedures. The views expressed herein do not necessarily have the </w:t>
      </w:r>
      <w:r w:rsidR="00796B82" w:rsidRPr="00D94E18">
        <w:rPr>
          <w:sz w:val="20"/>
          <w:szCs w:val="20"/>
        </w:rPr>
        <w:t>endorsement of the Organization</w:t>
      </w:r>
    </w:p>
    <w:p w:rsidR="00D94E18" w:rsidRPr="00D94E18" w:rsidRDefault="00D94E18" w:rsidP="00F35F35">
      <w:pPr>
        <w:pStyle w:val="SubHeading"/>
        <w:rPr>
          <w:b/>
          <w:color w:val="auto"/>
          <w:sz w:val="28"/>
        </w:rPr>
      </w:pPr>
      <w:r w:rsidRPr="00D94E18">
        <w:rPr>
          <w:b/>
          <w:color w:val="auto"/>
          <w:sz w:val="28"/>
        </w:rPr>
        <w:t>SUMMARY OF ACTIONS ON OPAG-ISS ARISING FROM CBS EXT.(2014)</w:t>
      </w:r>
    </w:p>
    <w:p w:rsidR="00F35F35" w:rsidRPr="00D94E18" w:rsidRDefault="00B73E56" w:rsidP="00D94E18">
      <w:pPr>
        <w:pStyle w:val="SubHeading"/>
      </w:pPr>
      <w:r w:rsidRPr="00D94E18">
        <w:t xml:space="preserve">Doc 2.3(1) – </w:t>
      </w:r>
      <w:r w:rsidR="00D94E18" w:rsidRPr="00D94E18">
        <w:t>TECHNICAL REGULATIONS MANAGED BY THE OPEN PROGRAMME AREA GROUP ON INFORMATION SYSTEMS AND SERVICES</w:t>
      </w:r>
    </w:p>
    <w:p w:rsidR="00D94E18" w:rsidRDefault="00D94E18" w:rsidP="00D94E18">
      <w:pPr>
        <w:pStyle w:val="BodyText"/>
      </w:pPr>
      <w:r>
        <w:t xml:space="preserve">(2.3(1).1) </w:t>
      </w:r>
      <w:r w:rsidRPr="00D94E18">
        <w:t>The Commission noted that the Global Telecommunications System (GTS) remains a key component of the WMO Information System (WIS), that an up to date description of the connectivity between centres is important for efficient and effective operation of the GTS, that with changes in technology are reducing the need for regional practices, and that Volume II of WMO-No. 386 The Manual on the Global Telecommunications System is not regulatory. The Commission therefore recommended that information should either be published in WMO-No. 386 Volume I if it is regulatory, or on the WMO website if it is not</w:t>
      </w:r>
      <w:r>
        <w:t>…</w:t>
      </w:r>
      <w:r w:rsidRPr="00D94E18">
        <w:t xml:space="preserve"> (see draft Recommendation 2.3(1)/1 (CBS-Ext.(2014)).</w:t>
      </w:r>
    </w:p>
    <w:p w:rsidR="00D94E18" w:rsidRDefault="00D94E18" w:rsidP="00D94E18">
      <w:pPr>
        <w:pStyle w:val="BodyText"/>
      </w:pPr>
      <w:r>
        <w:t xml:space="preserve">(2.3(1).1) </w:t>
      </w:r>
      <w:r w:rsidRPr="00D94E18">
        <w:t xml:space="preserve">The Commission noted that the Global Telecommunications System (GTS) remains a key component of the WMO Information System (WIS), that an up to date description of the connectivity between centres is important for efficient and effective operation of the GTS, that with changes in technology are reducing the need for regional practices, and that Volume II of WMO-No. 386 The Manual on the Global Telecommunications System is not regulatory. The Commission therefore recommended that </w:t>
      </w:r>
      <w:r>
        <w:t>…</w:t>
      </w:r>
      <w:r w:rsidRPr="00D94E18">
        <w:t xml:space="preserve"> that Volume II should be discontinued (see draft Recommendation 2.3(1)/1 (CBS-Ext.(2014)).</w:t>
      </w:r>
    </w:p>
    <w:p w:rsidR="00B73E56" w:rsidRPr="00D94E18" w:rsidRDefault="00D94E18" w:rsidP="00D94E18">
      <w:pPr>
        <w:pStyle w:val="BodyText"/>
      </w:pPr>
      <w:r w:rsidRPr="00D94E18">
        <w:t xml:space="preserve"> </w:t>
      </w:r>
      <w:r w:rsidR="00B73E56" w:rsidRPr="00D94E18">
        <w:t xml:space="preserve">(2.3(1).1) </w:t>
      </w:r>
      <w:r w:rsidRPr="00D94E18">
        <w:t xml:space="preserve">The Commission </w:t>
      </w:r>
      <w:r>
        <w:t>…</w:t>
      </w:r>
      <w:r w:rsidRPr="00D94E18">
        <w:t>requested Members, in particular RTHs, not to remove regional or national information from messages forwarded for global distribution.</w:t>
      </w:r>
    </w:p>
    <w:p w:rsidR="00B73E56" w:rsidRPr="00D94E18" w:rsidRDefault="00D94E18" w:rsidP="00D94E18">
      <w:pPr>
        <w:pStyle w:val="BodyText"/>
      </w:pPr>
      <w:r>
        <w:t>(2.3(1).9</w:t>
      </w:r>
      <w:r w:rsidR="00B73E56" w:rsidRPr="00D94E18">
        <w:t xml:space="preserve">) </w:t>
      </w:r>
      <w:r w:rsidRPr="00D94E18">
        <w:t>The Commission added capacity development and the additional requirements expected to be included in Amendment 77 to the tasks of TT-AvXML, noting that it would require additional team members with skill in capacity development issues.</w:t>
      </w:r>
    </w:p>
    <w:p w:rsidR="00B73E56" w:rsidRPr="00D94E18" w:rsidRDefault="00B73E56" w:rsidP="00D94E18">
      <w:pPr>
        <w:pStyle w:val="BodyText"/>
      </w:pPr>
      <w:r w:rsidRPr="00D94E18">
        <w:t>(2.3(1).</w:t>
      </w:r>
      <w:r w:rsidR="00D94E18">
        <w:t>9</w:t>
      </w:r>
      <w:r w:rsidRPr="00D94E18">
        <w:t xml:space="preserve">) </w:t>
      </w:r>
      <w:r w:rsidR="00D94E18" w:rsidRPr="00D94E18">
        <w:t>The Commission added capacity development and the additional requirements expected to be included in Amendment 77 to the tasks of TT-AvXML</w:t>
      </w:r>
      <w:r w:rsidRPr="00D94E18">
        <w:t>.</w:t>
      </w:r>
    </w:p>
    <w:p w:rsidR="00B73E56" w:rsidRPr="00D94E18" w:rsidRDefault="00B73E56" w:rsidP="00D94E18">
      <w:pPr>
        <w:pStyle w:val="BodyText"/>
      </w:pPr>
      <w:r w:rsidRPr="00D94E18">
        <w:t xml:space="preserve">(2.3(1).9) </w:t>
      </w:r>
      <w:r w:rsidR="00D94E18" w:rsidRPr="00D94E18">
        <w:t>The Commission also noted that CAeM had created an Expert Team on Information and Services for Aviation (ET-ISA), and asked that a member of that team should act as coordinator with TT-AvXML.</w:t>
      </w:r>
    </w:p>
    <w:p w:rsidR="00B73E56" w:rsidRPr="00D94E18" w:rsidRDefault="00B73E56" w:rsidP="00D94E18">
      <w:pPr>
        <w:pStyle w:val="BodyText"/>
      </w:pPr>
      <w:r w:rsidRPr="00D94E18">
        <w:t xml:space="preserve">(2.3(1).14bis) </w:t>
      </w:r>
      <w:r w:rsidR="00D94E18" w:rsidRPr="00D94E18">
        <w:t>the Commission recommended that data providers produce reports in both TAC and BUFR for an overlap period of two months with the intention of completing migration within six months.</w:t>
      </w:r>
    </w:p>
    <w:p w:rsidR="00B73E56" w:rsidRPr="00D94E18" w:rsidRDefault="00B73E56" w:rsidP="00D94E18">
      <w:pPr>
        <w:pStyle w:val="BodyText"/>
      </w:pPr>
      <w:r w:rsidRPr="00D94E18">
        <w:t xml:space="preserve">(2.3(1).14bis) </w:t>
      </w:r>
      <w:r w:rsidR="00D94E18" w:rsidRPr="00D94E18">
        <w:t>The Commission asked OPAG-ISS to review progress with migration every six months and to consider whether a further of extension of six months was required to resolve issues with the consistency and quality of data.</w:t>
      </w:r>
    </w:p>
    <w:p w:rsidR="00B73E56" w:rsidRPr="00D94E18" w:rsidRDefault="00B73E56" w:rsidP="00D94E18">
      <w:pPr>
        <w:pStyle w:val="BodyText"/>
      </w:pPr>
      <w:r w:rsidRPr="00D94E18">
        <w:t>(2.3(1).15(b)) All Members should make available their plans for migration, including key dates</w:t>
      </w:r>
      <w:r w:rsidR="00D94E18">
        <w:t>.</w:t>
      </w:r>
    </w:p>
    <w:p w:rsidR="00B73E56" w:rsidRPr="00D94E18" w:rsidRDefault="00B73E56" w:rsidP="00D94E18">
      <w:pPr>
        <w:pStyle w:val="BodyText"/>
      </w:pPr>
      <w:r w:rsidRPr="00D94E18">
        <w:t>(2.3(1).15(</w:t>
      </w:r>
      <w:r w:rsidR="00D94E18">
        <w:t>d</w:t>
      </w:r>
      <w:r w:rsidRPr="00D94E18">
        <w:t>)) Quality checking and validation of BUFR bulletins is needed, including comparison of BUFR messages with their TAC equivalent.</w:t>
      </w:r>
    </w:p>
    <w:p w:rsidR="00B73E56" w:rsidRPr="00D94E18" w:rsidRDefault="00B73E56" w:rsidP="00D94E18">
      <w:pPr>
        <w:pStyle w:val="BodyText"/>
      </w:pPr>
      <w:r w:rsidRPr="00D94E18">
        <w:t>(2.3(1).15(</w:t>
      </w:r>
      <w:r w:rsidR="00D94E18">
        <w:t>e</w:t>
      </w:r>
      <w:r w:rsidRPr="00D94E18">
        <w:t>)) A procedure is needed for reporting and addressing issues arising from the migration.</w:t>
      </w:r>
    </w:p>
    <w:p w:rsidR="00B73E56" w:rsidRPr="00D94E18" w:rsidRDefault="00B73E56" w:rsidP="00D94E18">
      <w:pPr>
        <w:pStyle w:val="BodyText"/>
      </w:pPr>
      <w:r w:rsidRPr="00D94E18">
        <w:t xml:space="preserve">(2.3(1).15(f)) </w:t>
      </w:r>
      <w:r w:rsidR="00D94E18" w:rsidRPr="00D94E18">
        <w:t>IPET-DRMM should prepare a report to be sent to Permanent Representatives of Members of with WMO to communicate migration successes and remaining issues</w:t>
      </w:r>
      <w:r w:rsidR="00D94E18">
        <w:t>.</w:t>
      </w:r>
    </w:p>
    <w:p w:rsidR="00D94E18" w:rsidRPr="00D94E18" w:rsidRDefault="00B73E56" w:rsidP="00D94E18">
      <w:pPr>
        <w:pStyle w:val="BodyText"/>
      </w:pPr>
      <w:r w:rsidRPr="00D94E18">
        <w:t>(2.3(1).15(</w:t>
      </w:r>
      <w:r w:rsidR="00D94E18" w:rsidRPr="00D94E18">
        <w:t>i)</w:t>
      </w:r>
      <w:r w:rsidRPr="00D94E18">
        <w:t xml:space="preserve">) </w:t>
      </w:r>
      <w:r w:rsidR="00D94E18" w:rsidRPr="00D94E18">
        <w:t>OPAG-ISS to provide further assistance to Members on issues relating to migration.</w:t>
      </w:r>
    </w:p>
    <w:p w:rsidR="00B73E56" w:rsidRPr="00D94E18" w:rsidRDefault="00B73E56" w:rsidP="00D94E18">
      <w:pPr>
        <w:pStyle w:val="BodyText"/>
      </w:pPr>
      <w:r w:rsidRPr="00D94E18">
        <w:t>(2.3(1).23) The Commission adopted Recommendation 2.3(1)/6 – Establishment of a SATCOM Users Forum</w:t>
      </w:r>
    </w:p>
    <w:p w:rsidR="00B73E56" w:rsidRPr="00D94E18" w:rsidRDefault="00B73E56" w:rsidP="00B73E56">
      <w:pPr>
        <w:pStyle w:val="BodyTextNumbered"/>
        <w:numPr>
          <w:ilvl w:val="0"/>
          <w:numId w:val="0"/>
        </w:numPr>
        <w:ind w:left="360"/>
      </w:pPr>
    </w:p>
    <w:p w:rsidR="00B73E56" w:rsidRPr="00D94E18" w:rsidRDefault="00B73E56" w:rsidP="00B73E56">
      <w:pPr>
        <w:pStyle w:val="SubHeading2"/>
        <w:rPr>
          <w:lang w:val="en-GB"/>
        </w:rPr>
      </w:pPr>
      <w:r w:rsidRPr="00D94E18">
        <w:rPr>
          <w:lang w:val="en-GB"/>
        </w:rPr>
        <w:t>Doc 2.6(1) – Managing tech regs</w:t>
      </w:r>
    </w:p>
    <w:p w:rsidR="00B73E56" w:rsidRPr="00D94E18" w:rsidRDefault="00D94E18" w:rsidP="00D94E18">
      <w:pPr>
        <w:pStyle w:val="BodyText"/>
      </w:pPr>
      <w:r>
        <w:t xml:space="preserve">(2.6(1).1) </w:t>
      </w:r>
      <w:r w:rsidR="00B73E56" w:rsidRPr="00D94E18">
        <w:t xml:space="preserve">If Congress approves </w:t>
      </w:r>
      <w:r>
        <w:t xml:space="preserve">the recommendation to allow the equivalent to the “fast track” and “between sessions” for updating of all CBS manuals, ICT-ISS </w:t>
      </w:r>
      <w:r w:rsidR="00B73E56" w:rsidRPr="00D94E18">
        <w:t>will need to nominate teams for the maintenance of:</w:t>
      </w:r>
    </w:p>
    <w:p w:rsidR="00B73E56" w:rsidRPr="00D94E18" w:rsidRDefault="00B73E56" w:rsidP="00D94E18">
      <w:pPr>
        <w:pStyle w:val="BodyTextBullet"/>
      </w:pPr>
      <w:r w:rsidRPr="00D94E18">
        <w:t>Manual on Codes (Keep with IPET-DRMM – but need to consider XML representations)</w:t>
      </w:r>
    </w:p>
    <w:p w:rsidR="00B73E56" w:rsidRPr="00D94E18" w:rsidRDefault="00B73E56" w:rsidP="00D94E18">
      <w:pPr>
        <w:pStyle w:val="BodyTextBullet"/>
      </w:pPr>
      <w:r w:rsidRPr="00D94E18">
        <w:t>Manual and Guide on WIS (propose IPET-MDRD for Metadata, ET-WISC for rest)</w:t>
      </w:r>
    </w:p>
    <w:p w:rsidR="00B73E56" w:rsidRPr="00D94E18" w:rsidRDefault="00B73E56" w:rsidP="00D94E18">
      <w:pPr>
        <w:pStyle w:val="BodyTextBullet"/>
      </w:pPr>
      <w:r w:rsidRPr="00D94E18">
        <w:t>Manual on GTS and associated Guides (Propose IPET-DRMM for Att II-5; ET-CTS for rest)</w:t>
      </w:r>
    </w:p>
    <w:p w:rsidR="00D94E18" w:rsidRDefault="00D94E18" w:rsidP="00B73E56">
      <w:pPr>
        <w:pStyle w:val="SubHeading2"/>
        <w:rPr>
          <w:rFonts w:cs="Arial"/>
          <w:b w:val="0"/>
          <w:bCs/>
          <w:color w:val="auto"/>
          <w:sz w:val="22"/>
          <w:lang w:val="en-GB"/>
        </w:rPr>
      </w:pPr>
      <w:r>
        <w:rPr>
          <w:rFonts w:cs="Arial"/>
          <w:b w:val="0"/>
          <w:bCs/>
          <w:color w:val="auto"/>
          <w:sz w:val="22"/>
          <w:lang w:val="en-GB"/>
        </w:rPr>
        <w:t>(</w:t>
      </w:r>
      <w:r w:rsidRPr="00D94E18">
        <w:rPr>
          <w:rFonts w:cs="Arial"/>
          <w:b w:val="0"/>
          <w:bCs/>
          <w:color w:val="auto"/>
          <w:sz w:val="22"/>
          <w:lang w:val="en-GB"/>
        </w:rPr>
        <w:t>2.6(1).2</w:t>
      </w:r>
      <w:r>
        <w:rPr>
          <w:rFonts w:cs="Arial"/>
          <w:b w:val="0"/>
          <w:bCs/>
          <w:color w:val="auto"/>
          <w:sz w:val="22"/>
          <w:lang w:val="en-GB"/>
        </w:rPr>
        <w:t>)</w:t>
      </w:r>
      <w:r w:rsidRPr="00D94E18">
        <w:rPr>
          <w:rFonts w:cs="Arial"/>
          <w:b w:val="0"/>
          <w:bCs/>
          <w:color w:val="auto"/>
          <w:sz w:val="22"/>
          <w:lang w:val="en-GB"/>
        </w:rPr>
        <w:t xml:space="preserve"> The Commission requested its OPAGs to ensure that focal-points are in place for each Manual and Guide that will be subject to the simple (“fast track”) procedure.</w:t>
      </w:r>
    </w:p>
    <w:p w:rsidR="00B73E56" w:rsidRPr="00D94E18" w:rsidRDefault="00B73E56" w:rsidP="00B73E56">
      <w:pPr>
        <w:pStyle w:val="SubHeading2"/>
        <w:rPr>
          <w:lang w:val="en-GB"/>
        </w:rPr>
      </w:pPr>
      <w:r w:rsidRPr="00D94E18">
        <w:rPr>
          <w:lang w:val="en-GB"/>
        </w:rPr>
        <w:t>Doc 3.2(1) – WIS</w:t>
      </w:r>
    </w:p>
    <w:p w:rsidR="00B73E56" w:rsidRPr="00D94E18" w:rsidRDefault="00B73E56" w:rsidP="00D94E18">
      <w:pPr>
        <w:pStyle w:val="BodyText"/>
      </w:pPr>
      <w:r w:rsidRPr="00D94E18">
        <w:t>(3.2(1).1bis) The Commission requests ICT-ISS, in collaboration with GISC Tehran, to assist them in the design and implementation of an affordable, interim solution to allow Iran to connect to the WIS Core Network as fully as possible.</w:t>
      </w:r>
    </w:p>
    <w:p w:rsidR="00B73E56" w:rsidRPr="00D94E18" w:rsidRDefault="00B73E56" w:rsidP="00D94E18">
      <w:pPr>
        <w:pStyle w:val="BodyText"/>
      </w:pPr>
      <w:r w:rsidRPr="00D94E18">
        <w:t>(3.2(1).5</w:t>
      </w:r>
      <w:r w:rsidRPr="00D94E18">
        <w:tab/>
        <w:t>) The Commission emphasized the importance of centres maintaining their compliance with the agreed standards and practices for ensuring the ongoing functionality of WIS. It stated that the review should occur at least once every eight years for all centres, with half interval reviews for GISCs.</w:t>
      </w:r>
    </w:p>
    <w:p w:rsidR="00B73E56" w:rsidRPr="00D94E18" w:rsidRDefault="00B73E56" w:rsidP="00D94E18">
      <w:pPr>
        <w:pStyle w:val="BodyText"/>
      </w:pPr>
      <w:r w:rsidRPr="00D94E18">
        <w:t>(3.2.(1).7) It recognized the importance of including capacity development in Regional WIS IPs and of ensuring all NCs have sufficient expertise in WIS through regional monitoring of national progress and in taking targeted actions to assist those NMHSs that are lagging in the required competencies.</w:t>
      </w:r>
    </w:p>
    <w:p w:rsidR="00B73E56" w:rsidRPr="00D94E18" w:rsidRDefault="00B73E56" w:rsidP="00D94E18">
      <w:pPr>
        <w:pStyle w:val="BodyText"/>
      </w:pPr>
      <w:r w:rsidRPr="00D94E18">
        <w:t>(3.2(1).8) It also identified the need to establish WIS specific online training modules that will assist in local training and in maintenance of the required WIS competencies. It invited Regional Training Centres to work with GISCs and HMEI to address this important need.</w:t>
      </w:r>
    </w:p>
    <w:p w:rsidR="00B73E56" w:rsidRPr="00D94E18" w:rsidRDefault="00B73E56" w:rsidP="00D94E18">
      <w:pPr>
        <w:pStyle w:val="BodyText"/>
      </w:pPr>
      <w:r w:rsidRPr="00D94E18">
        <w:t xml:space="preserve">(3.2(1).9) It </w:t>
      </w:r>
      <w:r w:rsidRPr="00D94E18">
        <w:rPr>
          <w:i/>
        </w:rPr>
        <w:t>(the Commission)</w:t>
      </w:r>
      <w:r w:rsidRPr="00D94E18">
        <w:t xml:space="preserve"> noted that some decisions, such as prioritizing of data streams across the WIS Core Network, or making data or product streams available or not in the cache, may extend beyond in the scope of GISCs decision making authority. The Commission adopted Resolution 3.2(1)/1 – Establishment of an Inter commission Task Team to review processes for prioritizing of data streams and cache content.</w:t>
      </w:r>
    </w:p>
    <w:p w:rsidR="00B73E56" w:rsidRPr="00D94E18" w:rsidRDefault="00B73E56" w:rsidP="00D94E18">
      <w:pPr>
        <w:pStyle w:val="BodyText"/>
      </w:pPr>
      <w:r w:rsidRPr="00D94E18">
        <w:t xml:space="preserve">(3.2(1).11) </w:t>
      </w:r>
      <w:r w:rsidRPr="00D94E18">
        <w:rPr>
          <w:i/>
        </w:rPr>
        <w:t>The Commission</w:t>
      </w:r>
      <w:r w:rsidRPr="00D94E18">
        <w:t xml:space="preserve"> .. encouraged expert teams to continue this development making use of the Web for ease of access and maintenance, and to migrate practices that are likely to be long term and stable into numbered WMO publications or the WIS Manual and Guide as appropriate.</w:t>
      </w:r>
    </w:p>
    <w:p w:rsidR="00B73E56" w:rsidRPr="00D94E18" w:rsidRDefault="00B73E56" w:rsidP="00D94E18">
      <w:pPr>
        <w:pStyle w:val="BodyText"/>
      </w:pPr>
      <w:r w:rsidRPr="00D94E18">
        <w:t xml:space="preserve">(3.2(1).13) </w:t>
      </w:r>
      <w:r w:rsidRPr="00D94E18">
        <w:rPr>
          <w:i/>
        </w:rPr>
        <w:t>The Commission…</w:t>
      </w:r>
      <w:r w:rsidRPr="00D94E18">
        <w:t xml:space="preserve"> encouraged the Implementation Coordination Team on Information Systems and Services (ICT-ISS) to proceed with a pilot implementation with volunteer GISCs so that the interim guidance can be tested and updated with the aim of producing a standard practice for inclusion in WMO-No. 1061 - Guide to the WMO Information System at CBS 16.</w:t>
      </w:r>
    </w:p>
    <w:p w:rsidR="00B73E56" w:rsidRPr="00D94E18" w:rsidRDefault="00B73E56" w:rsidP="00D94E18">
      <w:pPr>
        <w:pStyle w:val="BodyText"/>
      </w:pPr>
      <w:r w:rsidRPr="00D94E18">
        <w:t>(3.2(1).15) …. several WMO experts participating in OGC domain working groups that are seeking to provide guidance on best practice.  The Commission asked OPAG-ISS to nominate a rapporteur to report on and coordinate the activities of these experts.</w:t>
      </w:r>
    </w:p>
    <w:p w:rsidR="00B73E56" w:rsidRPr="00D94E18" w:rsidRDefault="00B73E56" w:rsidP="00D94E18">
      <w:pPr>
        <w:pStyle w:val="BodyText"/>
      </w:pPr>
      <w:r w:rsidRPr="00D94E18">
        <w:t>(3.2(1).16) The Commission asked OPAG-ISS to coordinate its work with the CAeM Expert Team on Information and Services for Aviation.</w:t>
      </w:r>
    </w:p>
    <w:p w:rsidR="00B73E56" w:rsidRPr="00D94E18" w:rsidRDefault="00B73E56" w:rsidP="00D94E18">
      <w:pPr>
        <w:pStyle w:val="BodyText"/>
      </w:pPr>
      <w:r w:rsidRPr="00D94E18">
        <w:t>(3.2.(1)17) The Commission agreed that the Inter Programme Expert Team on Metadata and Data Representation Development (IPET-MDRD) should provide an updated specification of the WMO Core Metadata Profile (version 2) that is compliant with both ISO 19115-1 and 19115-2 (extensions for imagery and gridded data) following publication by ISO of the XML representation of ISO 19115-1:2014.</w:t>
      </w:r>
    </w:p>
    <w:p w:rsidR="00B73E56" w:rsidRPr="00D94E18" w:rsidRDefault="00444094" w:rsidP="00D94E18">
      <w:pPr>
        <w:pStyle w:val="BodyText"/>
      </w:pPr>
      <w:r w:rsidRPr="00D94E18">
        <w:t>(3.2(1).18) The Commission therefore asked OPAG-ISS to introduce a formal Guide to WIS Discovery Metadata at CBS-16, and to make sure that the definition of WMO Core Metadata Profile version 2 is accompanied by an update to that Guide. It asked OPAG-ISS to maintain web-based guidance in the interim.</w:t>
      </w:r>
    </w:p>
    <w:p w:rsidR="00444094" w:rsidRPr="00D94E18" w:rsidRDefault="00444094" w:rsidP="00D94E18">
      <w:pPr>
        <w:pStyle w:val="BodyText"/>
      </w:pPr>
      <w:r w:rsidRPr="00D94E18">
        <w:t>(3.2(1).20) It asked OPAG-ISS to use the codes register as an additional method of publishing other approved code tables.</w:t>
      </w:r>
    </w:p>
    <w:p w:rsidR="00444094" w:rsidRPr="00D94E18" w:rsidRDefault="00444094" w:rsidP="00D94E18">
      <w:pPr>
        <w:pStyle w:val="BodyText"/>
      </w:pPr>
      <w:r w:rsidRPr="00D94E18">
        <w:t>(3.2.(1).24) It tasked ICT-ISS to create and maintain a strategy for the development of the WIS, and added an item to the Terms of Reference of ICT-ISS as in the Annex to this paragraph.</w:t>
      </w:r>
    </w:p>
    <w:p w:rsidR="00881A4B" w:rsidRPr="00D94E18" w:rsidRDefault="00881A4B" w:rsidP="00881A4B">
      <w:pPr>
        <w:pStyle w:val="SubHeading2"/>
        <w:rPr>
          <w:lang w:val="en-GB"/>
        </w:rPr>
      </w:pPr>
      <w:r w:rsidRPr="00D94E18">
        <w:rPr>
          <w:lang w:val="en-GB"/>
        </w:rPr>
        <w:t>Doc 4.5(1) – Future of WIS</w:t>
      </w:r>
    </w:p>
    <w:p w:rsidR="00881A4B" w:rsidRPr="00D94E18" w:rsidRDefault="00881A4B" w:rsidP="00D94E18">
      <w:pPr>
        <w:pStyle w:val="BodyText"/>
      </w:pPr>
      <w:r w:rsidRPr="00D94E18">
        <w:t>(4.5(1).1) The Commission agreed that WMO CBS should lead in the definition of such vocabularies for the disciplines of weather, water and climate and that CBS should lead on this topic, in conjunction with other technical commissions as required.</w:t>
      </w:r>
    </w:p>
    <w:p w:rsidR="00881A4B" w:rsidRPr="00D94E18" w:rsidRDefault="00881A4B" w:rsidP="00D94E18">
      <w:pPr>
        <w:pStyle w:val="BodyText"/>
      </w:pPr>
      <w:r w:rsidRPr="00D94E18">
        <w:t>(4.5(1).2) The Commission noted that further work was needed to clarify the exact requirements and whether it would be necessary for WMO to manage its own system of identifiers, or whether it would be feasible to use systems operated by other organizations</w:t>
      </w:r>
    </w:p>
    <w:p w:rsidR="00881A4B" w:rsidRPr="00D94E18" w:rsidRDefault="00881A4B" w:rsidP="00D94E18">
      <w:pPr>
        <w:pStyle w:val="BodyText"/>
      </w:pPr>
      <w:r w:rsidRPr="00D94E18">
        <w:t>(4.5(1).3) The Commission decided that the scope of the WIS should be extended to include guidance on the technical framework to support data management throughout the lifecycle of the data. The Commission requested its OPAG-ISS to co-ordinate with CCl and other interested technical commissions in developing the guidance.</w:t>
      </w:r>
    </w:p>
    <w:p w:rsidR="00881A4B" w:rsidRPr="00D94E18" w:rsidRDefault="00881A4B" w:rsidP="00D94E18">
      <w:pPr>
        <w:pStyle w:val="BodyText"/>
      </w:pPr>
      <w:r w:rsidRPr="00D94E18">
        <w:t>(4.5(1).5) The Commission recommended that in order to ensure the integrity, accessibility and availability of information, it would be appropriate for the WIS to develop a “Part C” to set auditable standards for centres providing long term access to data held on behalf of WMO Programmes.</w:t>
      </w:r>
    </w:p>
    <w:p w:rsidR="00444094" w:rsidRPr="00D94E18" w:rsidRDefault="00444094" w:rsidP="00444094">
      <w:pPr>
        <w:pStyle w:val="BodyTextNumbered"/>
        <w:numPr>
          <w:ilvl w:val="0"/>
          <w:numId w:val="0"/>
        </w:numPr>
        <w:ind w:left="360" w:hanging="360"/>
      </w:pPr>
    </w:p>
    <w:sectPr w:rsidR="00444094" w:rsidRPr="00D94E18" w:rsidSect="00B73E56">
      <w:headerReference w:type="default" r:id="rId11"/>
      <w:headerReference w:type="first" r:id="rId12"/>
      <w:pgSz w:w="11907" w:h="16840" w:code="9"/>
      <w:pgMar w:top="1134" w:right="1134" w:bottom="1134" w:left="1134" w:header="113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3E56" w:rsidRDefault="00B73E56">
      <w:r>
        <w:separator/>
      </w:r>
    </w:p>
    <w:p w:rsidR="00B73E56" w:rsidRDefault="00B73E56"/>
  </w:endnote>
  <w:endnote w:type="continuationSeparator" w:id="0">
    <w:p w:rsidR="00B73E56" w:rsidRDefault="00B73E56">
      <w:r>
        <w:continuationSeparator/>
      </w:r>
    </w:p>
    <w:p w:rsidR="00B73E56" w:rsidRDefault="00B73E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20B0704020202020204"/>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3E56" w:rsidRDefault="00B73E56">
      <w:r>
        <w:separator/>
      </w:r>
    </w:p>
    <w:p w:rsidR="00B73E56" w:rsidRDefault="00B73E56"/>
  </w:footnote>
  <w:footnote w:type="continuationSeparator" w:id="0">
    <w:p w:rsidR="00B73E56" w:rsidRDefault="00B73E56">
      <w:r>
        <w:continuationSeparator/>
      </w:r>
    </w:p>
    <w:p w:rsidR="00B73E56" w:rsidRDefault="00B73E5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E18" w:rsidRDefault="00D94E18">
    <w:pPr>
      <w:pStyle w:val="Header"/>
    </w:pPr>
    <w:r w:rsidRPr="00D94E18">
      <w:t>ICT-ISS/CBSext(2014)Actions</w:t>
    </w:r>
    <w:r>
      <w:t xml:space="preserve">, p </w:t>
    </w:r>
    <w:r>
      <w:fldChar w:fldCharType="begin"/>
    </w:r>
    <w:r>
      <w:instrText xml:space="preserve"> PAGE   \* MERGEFORMAT </w:instrText>
    </w:r>
    <w:r>
      <w:fldChar w:fldCharType="separate"/>
    </w:r>
    <w:r>
      <w:rPr>
        <w:noProof/>
      </w:rPr>
      <w:t>1</w:t>
    </w:r>
    <w:r>
      <w:fldChar w:fldCharType="end"/>
    </w:r>
  </w:p>
  <w:p w:rsidR="00D94E18" w:rsidRDefault="00D94E1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3906C6C"/>
    <w:lvl w:ilvl="0">
      <w:start w:val="1"/>
      <w:numFmt w:val="decimal"/>
      <w:lvlText w:val="%1."/>
      <w:lvlJc w:val="left"/>
      <w:pPr>
        <w:tabs>
          <w:tab w:val="num" w:pos="1492"/>
        </w:tabs>
        <w:ind w:left="1492" w:hanging="360"/>
      </w:pPr>
    </w:lvl>
  </w:abstractNum>
  <w:abstractNum w:abstractNumId="1">
    <w:nsid w:val="FFFFFF7D"/>
    <w:multiLevelType w:val="singleLevel"/>
    <w:tmpl w:val="B9B6222E"/>
    <w:lvl w:ilvl="0">
      <w:start w:val="1"/>
      <w:numFmt w:val="decimal"/>
      <w:lvlText w:val="%1."/>
      <w:lvlJc w:val="left"/>
      <w:pPr>
        <w:tabs>
          <w:tab w:val="num" w:pos="1209"/>
        </w:tabs>
        <w:ind w:left="1209" w:hanging="360"/>
      </w:pPr>
    </w:lvl>
  </w:abstractNum>
  <w:abstractNum w:abstractNumId="2">
    <w:nsid w:val="FFFFFF7E"/>
    <w:multiLevelType w:val="singleLevel"/>
    <w:tmpl w:val="4C96A140"/>
    <w:lvl w:ilvl="0">
      <w:start w:val="1"/>
      <w:numFmt w:val="decimal"/>
      <w:lvlText w:val="%1."/>
      <w:lvlJc w:val="left"/>
      <w:pPr>
        <w:tabs>
          <w:tab w:val="num" w:pos="926"/>
        </w:tabs>
        <w:ind w:left="926" w:hanging="360"/>
      </w:pPr>
    </w:lvl>
  </w:abstractNum>
  <w:abstractNum w:abstractNumId="3">
    <w:nsid w:val="FFFFFF7F"/>
    <w:multiLevelType w:val="singleLevel"/>
    <w:tmpl w:val="3468EDAA"/>
    <w:lvl w:ilvl="0">
      <w:start w:val="1"/>
      <w:numFmt w:val="decimal"/>
      <w:lvlText w:val="%1."/>
      <w:lvlJc w:val="left"/>
      <w:pPr>
        <w:tabs>
          <w:tab w:val="num" w:pos="643"/>
        </w:tabs>
        <w:ind w:left="643" w:hanging="360"/>
      </w:pPr>
    </w:lvl>
  </w:abstractNum>
  <w:abstractNum w:abstractNumId="4">
    <w:nsid w:val="FFFFFF80"/>
    <w:multiLevelType w:val="singleLevel"/>
    <w:tmpl w:val="5A12C44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3FE9E7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80043F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EBE7DA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7008600"/>
    <w:lvl w:ilvl="0">
      <w:start w:val="1"/>
      <w:numFmt w:val="decimal"/>
      <w:lvlText w:val="%1."/>
      <w:lvlJc w:val="left"/>
      <w:pPr>
        <w:tabs>
          <w:tab w:val="num" w:pos="360"/>
        </w:tabs>
        <w:ind w:left="360" w:hanging="360"/>
      </w:pPr>
    </w:lvl>
  </w:abstractNum>
  <w:abstractNum w:abstractNumId="9">
    <w:nsid w:val="FFFFFF89"/>
    <w:multiLevelType w:val="singleLevel"/>
    <w:tmpl w:val="DA101F6E"/>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0">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1">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6">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7">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8">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29">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C8C2B0B"/>
    <w:multiLevelType w:val="hybridMultilevel"/>
    <w:tmpl w:val="D47884CE"/>
    <w:lvl w:ilvl="0" w:tplc="31BC822E">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2">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59C2CE7"/>
    <w:multiLevelType w:val="multilevel"/>
    <w:tmpl w:val="0409001F"/>
    <w:styleLink w:val="111111"/>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5">
    <w:nsid w:val="7DB31E2E"/>
    <w:multiLevelType w:val="multilevel"/>
    <w:tmpl w:val="0409001F"/>
    <w:numStyleLink w:val="111111"/>
  </w:abstractNum>
  <w:abstractNum w:abstractNumId="36">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3"/>
  </w:num>
  <w:num w:numId="2">
    <w:abstractNumId w:val="36"/>
  </w:num>
  <w:num w:numId="3">
    <w:abstractNumId w:val="22"/>
  </w:num>
  <w:num w:numId="4">
    <w:abstractNumId w:val="29"/>
  </w:num>
  <w:num w:numId="5">
    <w:abstractNumId w:val="14"/>
  </w:num>
  <w:num w:numId="6">
    <w:abstractNumId w:val="20"/>
  </w:num>
  <w:num w:numId="7">
    <w:abstractNumId w:val="15"/>
  </w:num>
  <w:num w:numId="8">
    <w:abstractNumId w:val="24"/>
  </w:num>
  <w:num w:numId="9">
    <w:abstractNumId w:val="18"/>
  </w:num>
  <w:num w:numId="10">
    <w:abstractNumId w:val="17"/>
  </w:num>
  <w:num w:numId="11">
    <w:abstractNumId w:val="28"/>
  </w:num>
  <w:num w:numId="12">
    <w:abstractNumId w:val="10"/>
  </w:num>
  <w:num w:numId="13">
    <w:abstractNumId w:val="21"/>
  </w:num>
  <w:num w:numId="14">
    <w:abstractNumId w:val="33"/>
  </w:num>
  <w:num w:numId="15">
    <w:abstractNumId w:val="16"/>
  </w:num>
  <w:num w:numId="16">
    <w:abstractNumId w:val="19"/>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7"/>
  </w:num>
  <w:num w:numId="28">
    <w:abstractNumId w:val="11"/>
  </w:num>
  <w:num w:numId="29">
    <w:abstractNumId w:val="32"/>
  </w:num>
  <w:num w:numId="30">
    <w:abstractNumId w:val="31"/>
  </w:num>
  <w:num w:numId="31">
    <w:abstractNumId w:val="12"/>
  </w:num>
  <w:num w:numId="32">
    <w:abstractNumId w:val="30"/>
  </w:num>
  <w:num w:numId="33">
    <w:abstractNumId w:val="35"/>
    <w:lvlOverride w:ilvl="0">
      <w:lvl w:ilvl="0">
        <w:start w:val="1"/>
        <w:numFmt w:val="decimal"/>
        <w:pStyle w:val="BodyTextNumbered"/>
        <w:lvlText w:val="%1."/>
        <w:lvlJc w:val="left"/>
        <w:pPr>
          <w:tabs>
            <w:tab w:val="num" w:pos="720"/>
          </w:tabs>
          <w:ind w:left="360" w:hanging="360"/>
        </w:pPr>
      </w:lvl>
    </w:lvlOverride>
    <w:lvlOverride w:ilvl="1">
      <w:lvl w:ilvl="1">
        <w:start w:val="1"/>
        <w:numFmt w:val="decimal"/>
        <w:lvlText w:val="%1.%2."/>
        <w:lvlJc w:val="left"/>
        <w:pPr>
          <w:tabs>
            <w:tab w:val="num" w:pos="1440"/>
          </w:tabs>
          <w:ind w:left="792" w:hanging="432"/>
        </w:pPr>
      </w:lvl>
    </w:lvlOverride>
  </w:num>
  <w:num w:numId="34">
    <w:abstractNumId w:val="13"/>
  </w:num>
  <w:num w:numId="35">
    <w:abstractNumId w:val="25"/>
  </w:num>
  <w:num w:numId="36">
    <w:abstractNumId w:val="26"/>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E56"/>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10269C"/>
    <w:rsid w:val="001112B8"/>
    <w:rsid w:val="001350C6"/>
    <w:rsid w:val="00141491"/>
    <w:rsid w:val="001446A7"/>
    <w:rsid w:val="001575A8"/>
    <w:rsid w:val="001638D5"/>
    <w:rsid w:val="00163C9F"/>
    <w:rsid w:val="00183776"/>
    <w:rsid w:val="00187554"/>
    <w:rsid w:val="0019137E"/>
    <w:rsid w:val="001A5CB4"/>
    <w:rsid w:val="001B18E2"/>
    <w:rsid w:val="001B34F3"/>
    <w:rsid w:val="001C16A8"/>
    <w:rsid w:val="001C21AE"/>
    <w:rsid w:val="001C4164"/>
    <w:rsid w:val="001D17E1"/>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49DD"/>
    <w:rsid w:val="00294BA3"/>
    <w:rsid w:val="00295E01"/>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094"/>
    <w:rsid w:val="004447EF"/>
    <w:rsid w:val="00460847"/>
    <w:rsid w:val="004668E7"/>
    <w:rsid w:val="00472482"/>
    <w:rsid w:val="00480313"/>
    <w:rsid w:val="004938CC"/>
    <w:rsid w:val="004A77F1"/>
    <w:rsid w:val="004C1599"/>
    <w:rsid w:val="004D3BAA"/>
    <w:rsid w:val="004D77E1"/>
    <w:rsid w:val="004E577D"/>
    <w:rsid w:val="004F3BA0"/>
    <w:rsid w:val="004F6651"/>
    <w:rsid w:val="00525FDE"/>
    <w:rsid w:val="00526C7D"/>
    <w:rsid w:val="005359E9"/>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6329"/>
    <w:rsid w:val="00801715"/>
    <w:rsid w:val="00802B20"/>
    <w:rsid w:val="00810373"/>
    <w:rsid w:val="008269A2"/>
    <w:rsid w:val="00827511"/>
    <w:rsid w:val="008414B4"/>
    <w:rsid w:val="00843A1D"/>
    <w:rsid w:val="00846779"/>
    <w:rsid w:val="00854846"/>
    <w:rsid w:val="0085547C"/>
    <w:rsid w:val="008621B3"/>
    <w:rsid w:val="008639CA"/>
    <w:rsid w:val="00881A4B"/>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5EDA"/>
    <w:rsid w:val="00B0249F"/>
    <w:rsid w:val="00B04592"/>
    <w:rsid w:val="00B06CE2"/>
    <w:rsid w:val="00B070C6"/>
    <w:rsid w:val="00B2276F"/>
    <w:rsid w:val="00B360C9"/>
    <w:rsid w:val="00B408BC"/>
    <w:rsid w:val="00B42F03"/>
    <w:rsid w:val="00B44DB6"/>
    <w:rsid w:val="00B469A6"/>
    <w:rsid w:val="00B521E7"/>
    <w:rsid w:val="00B524CF"/>
    <w:rsid w:val="00B73E56"/>
    <w:rsid w:val="00B830D6"/>
    <w:rsid w:val="00B87205"/>
    <w:rsid w:val="00B87827"/>
    <w:rsid w:val="00B931E7"/>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7922"/>
    <w:rsid w:val="00C61349"/>
    <w:rsid w:val="00C615EF"/>
    <w:rsid w:val="00C628FD"/>
    <w:rsid w:val="00C7132E"/>
    <w:rsid w:val="00C729BB"/>
    <w:rsid w:val="00C739BA"/>
    <w:rsid w:val="00C75290"/>
    <w:rsid w:val="00C77223"/>
    <w:rsid w:val="00C8640B"/>
    <w:rsid w:val="00C96AE6"/>
    <w:rsid w:val="00C974A5"/>
    <w:rsid w:val="00CA0423"/>
    <w:rsid w:val="00CB6DF9"/>
    <w:rsid w:val="00CC23C9"/>
    <w:rsid w:val="00CD47BE"/>
    <w:rsid w:val="00D01387"/>
    <w:rsid w:val="00D02FA8"/>
    <w:rsid w:val="00D17948"/>
    <w:rsid w:val="00D22E8A"/>
    <w:rsid w:val="00D35ABB"/>
    <w:rsid w:val="00D37E35"/>
    <w:rsid w:val="00D70B08"/>
    <w:rsid w:val="00D733B4"/>
    <w:rsid w:val="00D94E18"/>
    <w:rsid w:val="00D9579B"/>
    <w:rsid w:val="00DB1BA5"/>
    <w:rsid w:val="00DB3060"/>
    <w:rsid w:val="00DD1C37"/>
    <w:rsid w:val="00DD4013"/>
    <w:rsid w:val="00DF04C7"/>
    <w:rsid w:val="00E106FE"/>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796B82"/>
    <w:pPr>
      <w:numPr>
        <w:numId w:val="31"/>
      </w:numPr>
      <w:tabs>
        <w:tab w:val="left" w:pos="680"/>
        <w:tab w:val="left" w:pos="2041"/>
        <w:tab w:val="left" w:pos="2722"/>
        <w:tab w:val="left" w:pos="3402"/>
      </w:tabs>
      <w:spacing w:after="12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semiHidden/>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796B82"/>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796B82"/>
    <w:pPr>
      <w:numPr>
        <w:numId w:val="34"/>
      </w:numPr>
      <w:tabs>
        <w:tab w:val="left" w:pos="680"/>
        <w:tab w:val="left" w:pos="2041"/>
        <w:tab w:val="left" w:pos="2722"/>
        <w:tab w:val="left" w:pos="3402"/>
      </w:tabs>
      <w:spacing w:after="12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796B82"/>
    <w:pPr>
      <w:numPr>
        <w:numId w:val="35"/>
      </w:numPr>
      <w:tabs>
        <w:tab w:val="left" w:pos="680"/>
        <w:tab w:val="left" w:pos="2041"/>
        <w:tab w:val="left" w:pos="2722"/>
        <w:tab w:val="left" w:pos="3402"/>
      </w:tabs>
      <w:spacing w:after="120"/>
      <w:ind w:left="357" w:hanging="357"/>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paragraph" w:customStyle="1" w:styleId="Actionold">
    <w:name w:val="_Action_old"/>
    <w:basedOn w:val="Action"/>
    <w:qFormat/>
    <w:rsid w:val="00A7189B"/>
    <w:pPr>
      <w:numPr>
        <w:numId w:val="0"/>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796B82"/>
    <w:pPr>
      <w:numPr>
        <w:numId w:val="31"/>
      </w:numPr>
      <w:tabs>
        <w:tab w:val="left" w:pos="680"/>
        <w:tab w:val="left" w:pos="2041"/>
        <w:tab w:val="left" w:pos="2722"/>
        <w:tab w:val="left" w:pos="3402"/>
      </w:tabs>
      <w:spacing w:after="12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semiHidden/>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796B82"/>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796B82"/>
    <w:pPr>
      <w:numPr>
        <w:numId w:val="34"/>
      </w:numPr>
      <w:tabs>
        <w:tab w:val="left" w:pos="680"/>
        <w:tab w:val="left" w:pos="2041"/>
        <w:tab w:val="left" w:pos="2722"/>
        <w:tab w:val="left" w:pos="3402"/>
      </w:tabs>
      <w:spacing w:after="12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796B82"/>
    <w:pPr>
      <w:numPr>
        <w:numId w:val="35"/>
      </w:numPr>
      <w:tabs>
        <w:tab w:val="left" w:pos="680"/>
        <w:tab w:val="left" w:pos="2041"/>
        <w:tab w:val="left" w:pos="2722"/>
        <w:tab w:val="left" w:pos="3402"/>
      </w:tabs>
      <w:spacing w:after="120"/>
      <w:ind w:left="357" w:hanging="357"/>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paragraph" w:customStyle="1" w:styleId="Actionold">
    <w:name w:val="_Action_old"/>
    <w:basedOn w:val="Action"/>
    <w:qFormat/>
    <w:rsid w:val="00A7189B"/>
    <w:pPr>
      <w:numPr>
        <w:numId w:val="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Publications@wmo.int"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5256A8-066E-4A2F-8D52-5F2F3E60D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77</TotalTime>
  <Pages>4</Pages>
  <Words>1699</Words>
  <Characters>9687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11364</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4</cp:revision>
  <cp:lastPrinted>2012-03-15T15:21:00Z</cp:lastPrinted>
  <dcterms:created xsi:type="dcterms:W3CDTF">2015-02-11T07:30:00Z</dcterms:created>
  <dcterms:modified xsi:type="dcterms:W3CDTF">2015-02-11T15:37:00Z</dcterms:modified>
</cp:coreProperties>
</file>