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0F67AC" w:rsidTr="001C16A8">
        <w:trPr>
          <w:cantSplit/>
          <w:trHeight w:val="1438"/>
        </w:trPr>
        <w:tc>
          <w:tcPr>
            <w:tcW w:w="4548" w:type="dxa"/>
            <w:vAlign w:val="center"/>
          </w:tcPr>
          <w:p w:rsidR="001C16A8" w:rsidRPr="001C16A8" w:rsidRDefault="001C16A8" w:rsidP="001C16A8">
            <w:pPr>
              <w:jc w:val="center"/>
              <w:rPr>
                <w:rFonts w:cs="Helvetica"/>
                <w:b/>
                <w:bCs/>
                <w:sz w:val="28"/>
                <w:szCs w:val="28"/>
              </w:rPr>
            </w:pPr>
            <w:r w:rsidRPr="001C16A8">
              <w:rPr>
                <w:b/>
                <w:bCs/>
                <w:sz w:val="28"/>
                <w:szCs w:val="28"/>
              </w:rPr>
              <w:t>WORLD WEATHER WATCH</w:t>
            </w:r>
            <w:r w:rsidRPr="001C16A8">
              <w:rPr>
                <w:b/>
                <w:bCs/>
                <w:sz w:val="28"/>
                <w:szCs w:val="28"/>
              </w:rPr>
              <w:br/>
              <w:t>COMMISSION FOR BASIC SYSTEMS</w:t>
            </w:r>
          </w:p>
        </w:tc>
        <w:tc>
          <w:tcPr>
            <w:tcW w:w="5531" w:type="dxa"/>
            <w:gridSpan w:val="2"/>
            <w:tcMar>
              <w:left w:w="6" w:type="dxa"/>
              <w:right w:w="6" w:type="dxa"/>
            </w:tcMar>
          </w:tcPr>
          <w:p w:rsidR="001C16A8" w:rsidRPr="000F67AC" w:rsidRDefault="00F345D8" w:rsidP="001C16A8">
            <w:pPr>
              <w:shd w:val="solid" w:color="FFFFFF" w:fill="FFFFFF"/>
              <w:spacing w:before="240" w:line="240" w:lineRule="atLeast"/>
            </w:pPr>
            <w:bookmarkStart w:id="0" w:name="ditulogo"/>
            <w:bookmarkEnd w:id="0"/>
            <w:r>
              <w:rPr>
                <w:rFonts w:eastAsia="Calibri"/>
                <w:noProof/>
                <w:lang w:eastAsia="en-GB"/>
              </w:rPr>
              <w:drawing>
                <wp:inline distT="0" distB="0" distL="0" distR="0">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0F67AC" w:rsidTr="001C16A8">
        <w:trPr>
          <w:cantSplit/>
        </w:trPr>
        <w:tc>
          <w:tcPr>
            <w:tcW w:w="6228" w:type="dxa"/>
            <w:gridSpan w:val="2"/>
            <w:tcBorders>
              <w:top w:val="single" w:sz="12" w:space="0" w:color="auto"/>
            </w:tcBorders>
          </w:tcPr>
          <w:p w:rsidR="001C16A8" w:rsidRPr="000F67AC"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0F67AC" w:rsidRDefault="001C16A8" w:rsidP="001C16A8">
            <w:pPr>
              <w:shd w:val="solid" w:color="FFFFFF" w:fill="FFFFFF"/>
              <w:spacing w:after="48" w:line="240" w:lineRule="atLeast"/>
            </w:pPr>
          </w:p>
        </w:tc>
      </w:tr>
      <w:tr w:rsidR="001C16A8" w:rsidRPr="00C10690" w:rsidTr="001C16A8">
        <w:trPr>
          <w:cantSplit/>
          <w:trHeight w:val="312"/>
        </w:trPr>
        <w:tc>
          <w:tcPr>
            <w:tcW w:w="6228" w:type="dxa"/>
            <w:gridSpan w:val="2"/>
            <w:vMerge w:val="restart"/>
          </w:tcPr>
          <w:p w:rsidR="00E95AB2" w:rsidRDefault="00D42A24" w:rsidP="001C16A8">
            <w:pPr>
              <w:rPr>
                <w:b/>
              </w:rPr>
            </w:pPr>
            <w:r>
              <w:rPr>
                <w:b/>
              </w:rPr>
              <w:t>ICT-ISS</w:t>
            </w:r>
          </w:p>
          <w:p w:rsidR="00430A5B" w:rsidRDefault="00430A5B" w:rsidP="001C16A8">
            <w:pPr>
              <w:rPr>
                <w:b/>
              </w:rPr>
            </w:pPr>
          </w:p>
          <w:p w:rsidR="001C16A8" w:rsidRPr="00430A5B" w:rsidRDefault="00D42A24" w:rsidP="001C16A8">
            <w:r>
              <w:t>Geneva, 8-10 July 2014</w:t>
            </w:r>
            <w:r w:rsidR="004447EF" w:rsidRPr="00430A5B">
              <w:t xml:space="preserve"> </w:t>
            </w:r>
          </w:p>
        </w:tc>
        <w:tc>
          <w:tcPr>
            <w:tcW w:w="3851" w:type="dxa"/>
          </w:tcPr>
          <w:p w:rsidR="001C16A8" w:rsidRPr="00C10690" w:rsidRDefault="00D42A24" w:rsidP="000C0008">
            <w:pPr>
              <w:jc w:val="right"/>
              <w:rPr>
                <w:lang w:eastAsia="zh-CN"/>
              </w:rPr>
            </w:pPr>
            <w:r w:rsidRPr="00CB17B7">
              <w:rPr>
                <w:b/>
                <w:bCs/>
                <w:lang w:eastAsia="zh-CN"/>
              </w:rPr>
              <w:t>ICT/ISS-2014</w:t>
            </w:r>
            <w:r w:rsidR="001A5CB4" w:rsidRPr="00CB17B7">
              <w:rPr>
                <w:b/>
                <w:bCs/>
                <w:lang w:eastAsia="zh-CN"/>
              </w:rPr>
              <w:t>/</w:t>
            </w:r>
            <w:r w:rsidR="00CB17B7" w:rsidRPr="00CB17B7">
              <w:rPr>
                <w:b/>
                <w:bCs/>
                <w:lang w:eastAsia="zh-CN"/>
              </w:rPr>
              <w:t>Doc 4.</w:t>
            </w:r>
            <w:r w:rsidR="00CB17B7">
              <w:rPr>
                <w:b/>
                <w:bCs/>
                <w:lang w:eastAsia="zh-CN"/>
              </w:rPr>
              <w:t>3</w:t>
            </w:r>
            <w:r w:rsidR="000C0008" w:rsidRPr="00CB17B7">
              <w:rPr>
                <w:b/>
                <w:bCs/>
                <w:lang w:eastAsia="zh-CN"/>
              </w:rPr>
              <w:t>(3)</w:t>
            </w:r>
            <w:r w:rsidR="001C16A8" w:rsidRPr="00C10690">
              <w:rPr>
                <w:bCs/>
                <w:lang w:eastAsia="zh-CN"/>
              </w:rPr>
              <w:br/>
            </w:r>
          </w:p>
        </w:tc>
      </w:tr>
      <w:tr w:rsidR="001C16A8" w:rsidRPr="000F67AC" w:rsidTr="001C16A8">
        <w:trPr>
          <w:cantSplit/>
          <w:trHeight w:val="81"/>
        </w:trPr>
        <w:tc>
          <w:tcPr>
            <w:tcW w:w="6228" w:type="dxa"/>
            <w:gridSpan w:val="2"/>
            <w:vMerge/>
          </w:tcPr>
          <w:p w:rsidR="001C16A8" w:rsidRPr="00C10690" w:rsidRDefault="001C16A8" w:rsidP="001C16A8">
            <w:pPr>
              <w:rPr>
                <w:rFonts w:ascii="Verdana" w:hAnsi="Verdana" w:cs="Verdana"/>
                <w:sz w:val="20"/>
              </w:rPr>
            </w:pPr>
          </w:p>
        </w:tc>
        <w:tc>
          <w:tcPr>
            <w:tcW w:w="3851" w:type="dxa"/>
          </w:tcPr>
          <w:p w:rsidR="001C16A8" w:rsidRPr="000F67AC" w:rsidRDefault="000C0008" w:rsidP="001C16A8">
            <w:pPr>
              <w:jc w:val="right"/>
              <w:rPr>
                <w:lang w:eastAsia="zh-CN"/>
              </w:rPr>
            </w:pPr>
            <w:r>
              <w:rPr>
                <w:bCs/>
                <w:lang w:eastAsia="zh-CN"/>
              </w:rPr>
              <w:t>7 July 2014</w:t>
            </w:r>
          </w:p>
        </w:tc>
      </w:tr>
    </w:tbl>
    <w:p w:rsidR="00D22E8A" w:rsidRPr="008E274F" w:rsidRDefault="00D22E8A" w:rsidP="00415F4C"/>
    <w:p w:rsidR="00480313" w:rsidRPr="008E274F" w:rsidRDefault="000C0008" w:rsidP="00413EDA">
      <w:pPr>
        <w:pStyle w:val="MainHeading"/>
        <w:rPr>
          <w:rFonts w:hint="eastAsia"/>
        </w:rPr>
      </w:pPr>
      <w:r>
        <w:t>Miration to TDCF</w:t>
      </w:r>
    </w:p>
    <w:p w:rsidR="00F35F35" w:rsidRDefault="000C0008" w:rsidP="00F35F35">
      <w:pPr>
        <w:pStyle w:val="SubHeading"/>
        <w:rPr>
          <w:rFonts w:hint="eastAsia"/>
        </w:rPr>
      </w:pPr>
      <w:r>
        <w:t xml:space="preserve">Background </w:t>
      </w:r>
    </w:p>
    <w:p w:rsidR="001C16A8" w:rsidRDefault="000C0008" w:rsidP="00413EDA">
      <w:pPr>
        <w:pStyle w:val="BodyTextNumbered"/>
        <w:numPr>
          <w:ilvl w:val="1"/>
          <w:numId w:val="33"/>
        </w:numPr>
      </w:pPr>
      <w:r>
        <w:t>IPET-DMRR-II identified several issues that remain in migrating to TDCF. These are listed below.</w:t>
      </w:r>
    </w:p>
    <w:p w:rsidR="000C0008" w:rsidRDefault="000C0008" w:rsidP="00413EDA">
      <w:pPr>
        <w:pStyle w:val="BodyTextNumbered"/>
        <w:numPr>
          <w:ilvl w:val="1"/>
          <w:numId w:val="33"/>
        </w:numPr>
      </w:pPr>
      <w:r>
        <w:t>ICT-ISS is asked to consider these issues and propose an action plan that will allow migration to continue.</w:t>
      </w:r>
    </w:p>
    <w:p w:rsidR="000C0008" w:rsidRDefault="000C0008" w:rsidP="000C0008">
      <w:pPr>
        <w:pStyle w:val="SubHeading"/>
      </w:pPr>
      <w:r>
        <w:t>Issues identified by IPET-DRMM-II</w:t>
      </w:r>
    </w:p>
    <w:p w:rsidR="000C0008" w:rsidRDefault="000C0008" w:rsidP="000C0008">
      <w:pPr>
        <w:pStyle w:val="BodyTextNumbered"/>
      </w:pPr>
      <w:r>
        <w:t>The plan for migration to using Table Driven Code Forms calls for an end to the requirement to distribute information in TDCF and TAC, permitting only TDCF to be distributed from November 2014.  At this stage, the Commission considered no changes are necessary to the migration matrix in the Annex to this paragraph.  It felt, however, that the following measures are needed to facilitate and complete the migration:</w:t>
      </w:r>
    </w:p>
    <w:p w:rsidR="000C0008" w:rsidRDefault="000C0008" w:rsidP="000C0008">
      <w:pPr>
        <w:pStyle w:val="BodyTextNumbered"/>
        <w:numPr>
          <w:ilvl w:val="1"/>
          <w:numId w:val="33"/>
        </w:numPr>
      </w:pPr>
      <w:r>
        <w:tab/>
        <w:t>The migration may continue after the expiration of the dates given in the migration matrix. However, the risks associated with the reliance on TAC increase substantially as the migration approached its conclusion. The plan will be maintained as is in order to stress the importance of the committed time table.</w:t>
      </w:r>
    </w:p>
    <w:p w:rsidR="000C0008" w:rsidRDefault="000C0008" w:rsidP="000C0008">
      <w:pPr>
        <w:pStyle w:val="BodyTextNumbered"/>
        <w:numPr>
          <w:ilvl w:val="1"/>
          <w:numId w:val="33"/>
        </w:numPr>
      </w:pPr>
      <w:r>
        <w:tab/>
        <w:t>The dates and plans from all states for migration logistics are made available.</w:t>
      </w:r>
    </w:p>
    <w:p w:rsidR="000C0008" w:rsidRDefault="000C0008" w:rsidP="000C0008">
      <w:pPr>
        <w:pStyle w:val="BodyTextNumbered"/>
        <w:numPr>
          <w:ilvl w:val="1"/>
          <w:numId w:val="33"/>
        </w:numPr>
      </w:pPr>
      <w:r>
        <w:tab/>
        <w:t>Difficulties with the maintenance and evolution of WMO-No. 9, Vol. A need to be alleviated, which inhibit the migration because of inconsistencies arising during TAC to TDCF conversion.</w:t>
      </w:r>
    </w:p>
    <w:p w:rsidR="000C0008" w:rsidRDefault="000C0008" w:rsidP="000C0008">
      <w:pPr>
        <w:pStyle w:val="BodyTextNumbered"/>
        <w:numPr>
          <w:ilvl w:val="1"/>
          <w:numId w:val="33"/>
        </w:numPr>
      </w:pPr>
      <w:r>
        <w:tab/>
        <w:t>There is a definite need for quality checking of BUFR bulletins and a validation process, taking into account the comparison with BUFR messages and their TAC equivalent.</w:t>
      </w:r>
    </w:p>
    <w:p w:rsidR="000C0008" w:rsidRDefault="000C0008" w:rsidP="000C0008">
      <w:pPr>
        <w:pStyle w:val="BodyTextNumbered"/>
        <w:numPr>
          <w:ilvl w:val="1"/>
          <w:numId w:val="33"/>
        </w:numPr>
      </w:pPr>
      <w:r>
        <w:tab/>
        <w:t>The absence of a consolidated process for reporting and addressing issues arising from the migration needs to be resolved.</w:t>
      </w:r>
    </w:p>
    <w:p w:rsidR="000C0008" w:rsidRDefault="000C0008" w:rsidP="000C0008">
      <w:pPr>
        <w:pStyle w:val="BodyTextNumbered"/>
        <w:numPr>
          <w:ilvl w:val="1"/>
          <w:numId w:val="33"/>
        </w:numPr>
      </w:pPr>
      <w:r>
        <w:tab/>
        <w:t>Noting the imminent November 2014 deadline, there is a need to be able to send a status report from the WMO SG to the PRs in order to communicate the successes and remaining issues.  The report should be delivered by the WMO SG this calendar year.</w:t>
      </w:r>
    </w:p>
    <w:p w:rsidR="000C0008" w:rsidRDefault="000C0008" w:rsidP="000C0008">
      <w:pPr>
        <w:pStyle w:val="BodyTextNumbered"/>
        <w:numPr>
          <w:ilvl w:val="1"/>
          <w:numId w:val="33"/>
        </w:numPr>
      </w:pPr>
      <w:r>
        <w:tab/>
        <w:t>The reporting of progress and issues by Member states to be encouraged, and it was noted that Regional Associations can play a role by creating a framework for MTDCF reporting and support.</w:t>
      </w:r>
    </w:p>
    <w:p w:rsidR="000C0008" w:rsidRDefault="000C0008" w:rsidP="000C0008">
      <w:pPr>
        <w:pStyle w:val="BodyTextNumbered"/>
        <w:numPr>
          <w:ilvl w:val="1"/>
          <w:numId w:val="33"/>
        </w:numPr>
      </w:pPr>
      <w:r>
        <w:tab/>
        <w:t>Difficulties in getting data from observation sites to RTHs, which are often identified by practitioners as a migration issue, should be solved.</w:t>
      </w:r>
    </w:p>
    <w:p w:rsidR="00CB17B7" w:rsidRDefault="00CB17B7" w:rsidP="00CB17B7">
      <w:pPr>
        <w:pStyle w:val="BodyTextNumbered"/>
        <w:numPr>
          <w:ilvl w:val="0"/>
          <w:numId w:val="0"/>
        </w:numPr>
        <w:ind w:left="360"/>
      </w:pPr>
    </w:p>
    <w:p w:rsidR="001C16A8" w:rsidRDefault="001C16A8" w:rsidP="001C16A8">
      <w:pPr>
        <w:rPr>
          <w:rFonts w:ascii="Times New Roman" w:hAnsi="Times New Roman"/>
          <w:sz w:val="24"/>
          <w:szCs w:val="24"/>
        </w:rPr>
      </w:pPr>
    </w:p>
    <w:p w:rsidR="000C0008" w:rsidRPr="000C0008" w:rsidRDefault="000C0008" w:rsidP="000C0008">
      <w:pPr>
        <w:pStyle w:val="SubHeading"/>
        <w:rPr>
          <w:rFonts w:hint="eastAsia"/>
        </w:rPr>
      </w:pPr>
      <w:r>
        <w:t>Migration plan</w:t>
      </w:r>
    </w:p>
    <w:p w:rsidR="00D42A24" w:rsidRPr="00456F30" w:rsidRDefault="000C0008" w:rsidP="000C0008">
      <w:pPr>
        <w:pStyle w:val="BodyTextNumbered"/>
      </w:pPr>
      <w:r>
        <w:t xml:space="preserve">The migration plan adopted at CBS </w:t>
      </w:r>
      <w:proofErr w:type="gramStart"/>
      <w:r>
        <w:t>Ext(</w:t>
      </w:r>
      <w:proofErr w:type="gramEnd"/>
      <w:r>
        <w:t>10) is in Fig 1.</w:t>
      </w:r>
    </w:p>
    <w:p w:rsidR="000C0008" w:rsidRDefault="001C16A8" w:rsidP="000C0008">
      <w:pPr>
        <w:pStyle w:val="SubHeading"/>
      </w:pPr>
      <w:r>
        <w:lastRenderedPageBreak/>
        <w:t xml:space="preserve">Recommended Text </w:t>
      </w:r>
    </w:p>
    <w:p w:rsidR="001C16A8" w:rsidRPr="000C0008" w:rsidRDefault="000C0008" w:rsidP="000C0008">
      <w:pPr>
        <w:pStyle w:val="BodyTextNumbered"/>
        <w:rPr>
          <w:highlight w:val="yellow"/>
        </w:rPr>
      </w:pPr>
      <w:r w:rsidRPr="000C0008">
        <w:rPr>
          <w:highlight w:val="yellow"/>
        </w:rPr>
        <w:tab/>
        <w:t>ICT-ISS proposed the following actions to accelerate completion of migration to TDCF:</w:t>
      </w:r>
    </w:p>
    <w:p w:rsidR="000C0008" w:rsidRPr="000C0008" w:rsidRDefault="000C0008" w:rsidP="000C0008">
      <w:pPr>
        <w:pStyle w:val="BodyTextNumbered"/>
        <w:numPr>
          <w:ilvl w:val="1"/>
          <w:numId w:val="33"/>
        </w:numPr>
        <w:rPr>
          <w:highlight w:val="yellow"/>
        </w:rPr>
      </w:pPr>
      <w:r w:rsidRPr="000C0008">
        <w:rPr>
          <w:highlight w:val="yellow"/>
        </w:rPr>
        <w:tab/>
        <w:t>The migration may continue after the expiration of the dates given in the migration matrix. However, the risks associated with the reliance on TAC increase substantially as the migration approached its conclusion. The plan will be maintained as is in order to stress the importance of the committed time table.</w:t>
      </w:r>
    </w:p>
    <w:p w:rsidR="000C0008" w:rsidRPr="000C0008" w:rsidRDefault="000C0008" w:rsidP="000C0008">
      <w:pPr>
        <w:pStyle w:val="BodyTextNumbered"/>
        <w:numPr>
          <w:ilvl w:val="1"/>
          <w:numId w:val="33"/>
        </w:numPr>
        <w:rPr>
          <w:highlight w:val="yellow"/>
        </w:rPr>
      </w:pPr>
      <w:r w:rsidRPr="000C0008">
        <w:rPr>
          <w:highlight w:val="yellow"/>
        </w:rPr>
        <w:tab/>
        <w:t>The dates and plans from all states for migration logistics are made available.</w:t>
      </w:r>
    </w:p>
    <w:p w:rsidR="000C0008" w:rsidRPr="000C0008" w:rsidRDefault="000C0008" w:rsidP="000C0008">
      <w:pPr>
        <w:pStyle w:val="BodyTextNumbered"/>
        <w:numPr>
          <w:ilvl w:val="1"/>
          <w:numId w:val="33"/>
        </w:numPr>
        <w:rPr>
          <w:highlight w:val="yellow"/>
        </w:rPr>
      </w:pPr>
      <w:r w:rsidRPr="000C0008">
        <w:rPr>
          <w:highlight w:val="yellow"/>
        </w:rPr>
        <w:tab/>
        <w:t>Difficulties with the maintenance and evolution of WMO-No. 9, Vol. A need to be alleviated, which inhibit the migration because of inconsistencies arising during TAC to TDCF conversion.</w:t>
      </w:r>
    </w:p>
    <w:p w:rsidR="000C0008" w:rsidRPr="000C0008" w:rsidRDefault="000C0008" w:rsidP="000C0008">
      <w:pPr>
        <w:pStyle w:val="BodyTextNumbered"/>
        <w:numPr>
          <w:ilvl w:val="1"/>
          <w:numId w:val="33"/>
        </w:numPr>
        <w:rPr>
          <w:highlight w:val="yellow"/>
        </w:rPr>
      </w:pPr>
      <w:r w:rsidRPr="000C0008">
        <w:rPr>
          <w:highlight w:val="yellow"/>
        </w:rPr>
        <w:tab/>
        <w:t>There is a definite need for quality checking of BUFR bulletins and a validation process, taking into account the comparison with BUFR messages and their TAC equivalent.</w:t>
      </w:r>
    </w:p>
    <w:p w:rsidR="000C0008" w:rsidRPr="000C0008" w:rsidRDefault="000C0008" w:rsidP="000C0008">
      <w:pPr>
        <w:pStyle w:val="BodyTextNumbered"/>
        <w:numPr>
          <w:ilvl w:val="1"/>
          <w:numId w:val="33"/>
        </w:numPr>
        <w:rPr>
          <w:highlight w:val="yellow"/>
        </w:rPr>
      </w:pPr>
      <w:r w:rsidRPr="000C0008">
        <w:rPr>
          <w:highlight w:val="yellow"/>
        </w:rPr>
        <w:tab/>
        <w:t>The absence of a consolidated process for reporting and addressing issues arising from the migration needs to be resolved.</w:t>
      </w:r>
    </w:p>
    <w:p w:rsidR="000C0008" w:rsidRPr="000C0008" w:rsidRDefault="000C0008" w:rsidP="000C0008">
      <w:pPr>
        <w:pStyle w:val="BodyTextNumbered"/>
        <w:numPr>
          <w:ilvl w:val="1"/>
          <w:numId w:val="33"/>
        </w:numPr>
        <w:rPr>
          <w:highlight w:val="yellow"/>
        </w:rPr>
      </w:pPr>
      <w:r w:rsidRPr="000C0008">
        <w:rPr>
          <w:highlight w:val="yellow"/>
        </w:rPr>
        <w:tab/>
        <w:t>Noting the imminent November 2014 deadline, there is a need to be able to send a status report from the WMO SG to the PRs in order to communicate the successes and remaining issues.  The report should be delivered by the WMO SG this calendar year.</w:t>
      </w:r>
    </w:p>
    <w:p w:rsidR="000C0008" w:rsidRPr="000C0008" w:rsidRDefault="000C0008" w:rsidP="000C0008">
      <w:pPr>
        <w:pStyle w:val="BodyTextNumbered"/>
        <w:numPr>
          <w:ilvl w:val="1"/>
          <w:numId w:val="33"/>
        </w:numPr>
        <w:rPr>
          <w:highlight w:val="yellow"/>
        </w:rPr>
      </w:pPr>
      <w:r w:rsidRPr="000C0008">
        <w:rPr>
          <w:highlight w:val="yellow"/>
        </w:rPr>
        <w:tab/>
        <w:t>The reporting of progress and issues by Member states to be encouraged, and it was noted that Regional Associations can play a role by creating a framework for MTDCF reporting and support.</w:t>
      </w:r>
    </w:p>
    <w:p w:rsidR="000C0008" w:rsidRDefault="000C0008" w:rsidP="000C0008">
      <w:pPr>
        <w:pStyle w:val="BodyTextNumbered"/>
        <w:numPr>
          <w:ilvl w:val="1"/>
          <w:numId w:val="33"/>
        </w:numPr>
        <w:rPr>
          <w:highlight w:val="yellow"/>
        </w:rPr>
      </w:pPr>
      <w:r w:rsidRPr="000C0008">
        <w:rPr>
          <w:highlight w:val="yellow"/>
        </w:rPr>
        <w:tab/>
        <w:t>Difficulties in getting data from observation sites to RTHs, which are often identified by practitioners as a migration issue, should be solved.</w:t>
      </w:r>
    </w:p>
    <w:p w:rsidR="00CB17B7" w:rsidRPr="00CB17B7" w:rsidRDefault="00CB17B7" w:rsidP="00CB17B7">
      <w:pPr>
        <w:pStyle w:val="BodyTextNumbered"/>
        <w:rPr>
          <w:highlight w:val="yellow"/>
        </w:rPr>
      </w:pPr>
      <w:bookmarkStart w:id="1" w:name="_GoBack"/>
      <w:r w:rsidRPr="00CB17B7">
        <w:rPr>
          <w:highlight w:val="yellow"/>
        </w:rPr>
        <w:t>ICT-ISS also proposed that CBS Ext.(2014)</w:t>
      </w:r>
    </w:p>
    <w:bookmarkEnd w:id="1"/>
    <w:p w:rsidR="00CB17B7" w:rsidRPr="00CB17B7" w:rsidRDefault="00CB17B7" w:rsidP="00CB17B7">
      <w:pPr>
        <w:pStyle w:val="BodyTextNumbered"/>
        <w:numPr>
          <w:ilvl w:val="1"/>
          <w:numId w:val="33"/>
        </w:numPr>
        <w:rPr>
          <w:highlight w:val="yellow"/>
        </w:rPr>
      </w:pPr>
      <w:r w:rsidRPr="00CB17B7">
        <w:rPr>
          <w:highlight w:val="yellow"/>
        </w:rPr>
        <w:t>Recommends that Members adding new reports for exchange using the Global Telecommunications System should not use Traditional Alphanumeric Code to represent the information.</w:t>
      </w:r>
    </w:p>
    <w:p w:rsidR="000C0008" w:rsidRPr="00D37E35" w:rsidRDefault="000C0008" w:rsidP="000C0008">
      <w:pPr>
        <w:pStyle w:val="BodyText"/>
        <w:rPr>
          <w:highlight w:val="yellow"/>
        </w:rPr>
      </w:pPr>
    </w:p>
    <w:p w:rsidR="001C16A8" w:rsidRDefault="001C16A8" w:rsidP="001C16A8">
      <w:pPr>
        <w:rPr>
          <w:rFonts w:ascii="Times New Roman" w:hAnsi="Times New Roman"/>
          <w:sz w:val="24"/>
          <w:szCs w:val="24"/>
        </w:rPr>
      </w:pPr>
    </w:p>
    <w:p w:rsidR="001C16A8" w:rsidRPr="00F8649F" w:rsidRDefault="001C16A8" w:rsidP="001C16A8">
      <w:pPr>
        <w:jc w:val="center"/>
        <w:rPr>
          <w:rFonts w:ascii="Times New Roman" w:hAnsi="Times New Roman"/>
          <w:sz w:val="24"/>
          <w:szCs w:val="24"/>
        </w:rPr>
      </w:pPr>
      <w:r>
        <w:rPr>
          <w:rFonts w:ascii="Times New Roman" w:hAnsi="Times New Roman"/>
          <w:sz w:val="24"/>
          <w:szCs w:val="24"/>
        </w:rPr>
        <w:t>--------------------</w:t>
      </w:r>
    </w:p>
    <w:p w:rsidR="00D42A24" w:rsidRDefault="00D42A24">
      <w:r>
        <w:br w:type="page"/>
      </w:r>
    </w:p>
    <w:p w:rsidR="00D42A24" w:rsidRPr="006D67ED" w:rsidRDefault="00D42A24" w:rsidP="00D42A24">
      <w:pPr>
        <w:pStyle w:val="MainHeading"/>
        <w:rPr>
          <w:rFonts w:hint="eastAsia"/>
          <w:lang w:val="en-US"/>
        </w:rPr>
      </w:pPr>
      <w:r w:rsidRPr="006D67ED">
        <w:rPr>
          <w:lang w:val="en-US"/>
        </w:rPr>
        <w:lastRenderedPageBreak/>
        <w:t>Styles (Use format...Styles and Formatting)</w:t>
      </w:r>
    </w:p>
    <w:p w:rsidR="00D42A24" w:rsidRPr="006D67ED" w:rsidRDefault="00D42A24" w:rsidP="00D42A24">
      <w:pPr>
        <w:pStyle w:val="MainHeading"/>
        <w:rPr>
          <w:rFonts w:hint="eastAsia"/>
          <w:lang w:val="en-US"/>
        </w:rPr>
      </w:pPr>
      <w:r w:rsidRPr="006D67ED">
        <w:rPr>
          <w:lang w:val="en-US"/>
        </w:rPr>
        <w:t>_Main Heading</w:t>
      </w:r>
    </w:p>
    <w:p w:rsidR="00D42A24" w:rsidRPr="006D67ED" w:rsidRDefault="00D42A24" w:rsidP="00D42A24">
      <w:pPr>
        <w:pStyle w:val="SubHeading"/>
        <w:rPr>
          <w:rFonts w:hint="eastAsia"/>
          <w:lang w:val="en-US"/>
        </w:rPr>
      </w:pPr>
      <w:r w:rsidRPr="006D67ED">
        <w:rPr>
          <w:lang w:val="en-US"/>
        </w:rPr>
        <w:t>_Sub-Heading</w:t>
      </w:r>
    </w:p>
    <w:p w:rsidR="00D42A24" w:rsidRPr="006D67ED" w:rsidRDefault="00D42A24" w:rsidP="00D42A24">
      <w:pPr>
        <w:pStyle w:val="BodyText"/>
        <w:rPr>
          <w:lang w:val="en-US"/>
        </w:rPr>
      </w:pPr>
      <w:r w:rsidRPr="006D67ED">
        <w:rPr>
          <w:lang w:val="en-US"/>
        </w:rPr>
        <w:t>_Body Text</w:t>
      </w:r>
    </w:p>
    <w:p w:rsidR="00D42A24" w:rsidRDefault="00D42A24" w:rsidP="00D42A24">
      <w:pPr>
        <w:pStyle w:val="BodyTextNumbered"/>
        <w:tabs>
          <w:tab w:val="clear" w:pos="720"/>
          <w:tab w:val="num" w:pos="432"/>
        </w:tabs>
        <w:ind w:left="432" w:hanging="432"/>
        <w:rPr>
          <w:lang w:val="fr-CH"/>
        </w:rPr>
      </w:pPr>
      <w:r w:rsidRPr="000C0008">
        <w:t xml:space="preserve">_Body Text </w:t>
      </w:r>
      <w:proofErr w:type="spellStart"/>
      <w:r w:rsidRPr="000C0008">
        <w:t>Numbe</w:t>
      </w:r>
      <w:r>
        <w:rPr>
          <w:lang w:val="fr-CH"/>
        </w:rPr>
        <w:t>red</w:t>
      </w:r>
      <w:proofErr w:type="spellEnd"/>
    </w:p>
    <w:p w:rsidR="00D42A24" w:rsidRDefault="00D42A24" w:rsidP="00D42A24">
      <w:pPr>
        <w:pStyle w:val="BodyTextBullet"/>
        <w:rPr>
          <w:lang w:val="fr-CH"/>
        </w:rPr>
      </w:pPr>
      <w:r>
        <w:rPr>
          <w:lang w:val="fr-CH"/>
        </w:rPr>
        <w:t xml:space="preserve">_Body </w:t>
      </w:r>
      <w:proofErr w:type="spellStart"/>
      <w:r>
        <w:rPr>
          <w:lang w:val="fr-CH"/>
        </w:rPr>
        <w:t>Text</w:t>
      </w:r>
      <w:proofErr w:type="spellEnd"/>
      <w:r>
        <w:rPr>
          <w:lang w:val="fr-CH"/>
        </w:rPr>
        <w:t xml:space="preserve"> Bullet</w:t>
      </w:r>
    </w:p>
    <w:p w:rsidR="00D42A24" w:rsidRDefault="00D42A24" w:rsidP="00D42A24">
      <w:pPr>
        <w:pStyle w:val="Action"/>
      </w:pPr>
      <w:bookmarkStart w:id="2" w:name="_Toc388521070"/>
      <w:r>
        <w:t>_Action</w:t>
      </w:r>
      <w:bookmarkEnd w:id="2"/>
    </w:p>
    <w:p w:rsidR="00D42A24" w:rsidRDefault="00D42A24" w:rsidP="00D42A24">
      <w:pPr>
        <w:pStyle w:val="Decision"/>
        <w:rPr>
          <w:lang w:val="fr-CH"/>
        </w:rPr>
      </w:pPr>
      <w:bookmarkStart w:id="3" w:name="_Toc388521074"/>
      <w:r>
        <w:rPr>
          <w:lang w:val="fr-CH"/>
        </w:rPr>
        <w:t>_</w:t>
      </w:r>
      <w:proofErr w:type="spellStart"/>
      <w:r>
        <w:rPr>
          <w:lang w:val="fr-CH"/>
        </w:rPr>
        <w:t>Decision</w:t>
      </w:r>
      <w:bookmarkEnd w:id="3"/>
      <w:proofErr w:type="spellEnd"/>
    </w:p>
    <w:p w:rsidR="00D42A24" w:rsidRPr="006D67ED" w:rsidRDefault="00D42A24" w:rsidP="00D42A24">
      <w:pPr>
        <w:pStyle w:val="Briefing"/>
        <w:rPr>
          <w:lang w:val="en-US" w:eastAsia="ar-SA"/>
        </w:rPr>
      </w:pPr>
      <w:r w:rsidRPr="006D67ED">
        <w:rPr>
          <w:lang w:val="en-US" w:eastAsia="ar-SA"/>
        </w:rPr>
        <w:t>_Briefing (hitting return creates another _Briefing paragraph)</w:t>
      </w:r>
    </w:p>
    <w:p w:rsidR="00D42A24" w:rsidRDefault="00D42A24" w:rsidP="00D42A24">
      <w:pPr>
        <w:pStyle w:val="BodyText"/>
        <w:rPr>
          <w:rStyle w:val="Addedtext"/>
        </w:rPr>
      </w:pPr>
      <w:r>
        <w:rPr>
          <w:rStyle w:val="Addedtext"/>
        </w:rPr>
        <w:t>_Added Text</w:t>
      </w:r>
    </w:p>
    <w:p w:rsidR="00D42A24" w:rsidRPr="00BF71A7" w:rsidRDefault="00D42A24" w:rsidP="00D42A24">
      <w:pPr>
        <w:pStyle w:val="BodyText"/>
        <w:rPr>
          <w:rStyle w:val="Deletedtext"/>
        </w:rPr>
      </w:pPr>
      <w:r>
        <w:rPr>
          <w:rStyle w:val="Deletedtext"/>
        </w:rPr>
        <w:t>_Deleted Text</w:t>
      </w:r>
    </w:p>
    <w:p w:rsidR="00D42A24" w:rsidRPr="00BF71A7" w:rsidRDefault="00D42A24" w:rsidP="00D42A24">
      <w:pPr>
        <w:pStyle w:val="BodyText"/>
      </w:pPr>
      <w:r>
        <w:t>(Note: you can use Find to find text in different styles, so, for example, you can search a document for the “_Added Text” style to find added text. Track Changes can also record changes to documents, but it also records intermediate changes, making it difficult to identify the actual changes between a reference and final version of a document.)</w:t>
      </w:r>
    </w:p>
    <w:p w:rsidR="008A71EB" w:rsidRPr="008E274F" w:rsidRDefault="008A71EB" w:rsidP="00B97253"/>
    <w:sectPr w:rsidR="008A71EB" w:rsidRPr="008E274F" w:rsidSect="001C16A8">
      <w:headerReference w:type="first" r:id="rId9"/>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A24" w:rsidRDefault="00D42A24">
      <w:r>
        <w:separator/>
      </w:r>
    </w:p>
    <w:p w:rsidR="00D42A24" w:rsidRDefault="00D42A24"/>
  </w:endnote>
  <w:endnote w:type="continuationSeparator" w:id="0">
    <w:p w:rsidR="00D42A24" w:rsidRDefault="00D42A24">
      <w:r>
        <w:continuationSeparator/>
      </w:r>
    </w:p>
    <w:p w:rsidR="00D42A24" w:rsidRDefault="00D42A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roman"/>
    <w:notTrueType/>
    <w:pitch w:val="default"/>
    <w:sig w:usb0="00000001"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A24" w:rsidRDefault="00D42A24">
      <w:r>
        <w:separator/>
      </w:r>
    </w:p>
    <w:p w:rsidR="00D42A24" w:rsidRDefault="00D42A24"/>
  </w:footnote>
  <w:footnote w:type="continuationSeparator" w:id="0">
    <w:p w:rsidR="00D42A24" w:rsidRDefault="00D42A24">
      <w:r>
        <w:continuationSeparator/>
      </w:r>
    </w:p>
    <w:p w:rsidR="00D42A24" w:rsidRDefault="00D42A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540B47C"/>
    <w:lvl w:ilvl="0">
      <w:start w:val="1"/>
      <w:numFmt w:val="decimal"/>
      <w:lvlText w:val="%1."/>
      <w:lvlJc w:val="left"/>
      <w:pPr>
        <w:tabs>
          <w:tab w:val="num" w:pos="1492"/>
        </w:tabs>
        <w:ind w:left="1492" w:hanging="360"/>
      </w:pPr>
    </w:lvl>
  </w:abstractNum>
  <w:abstractNum w:abstractNumId="1">
    <w:nsid w:val="FFFFFF7D"/>
    <w:multiLevelType w:val="singleLevel"/>
    <w:tmpl w:val="96D4C1EC"/>
    <w:lvl w:ilvl="0">
      <w:start w:val="1"/>
      <w:numFmt w:val="decimal"/>
      <w:lvlText w:val="%1."/>
      <w:lvlJc w:val="left"/>
      <w:pPr>
        <w:tabs>
          <w:tab w:val="num" w:pos="1209"/>
        </w:tabs>
        <w:ind w:left="1209" w:hanging="360"/>
      </w:pPr>
    </w:lvl>
  </w:abstractNum>
  <w:abstractNum w:abstractNumId="2">
    <w:nsid w:val="FFFFFF7E"/>
    <w:multiLevelType w:val="singleLevel"/>
    <w:tmpl w:val="F81E48F0"/>
    <w:lvl w:ilvl="0">
      <w:start w:val="1"/>
      <w:numFmt w:val="decimal"/>
      <w:lvlText w:val="%1."/>
      <w:lvlJc w:val="left"/>
      <w:pPr>
        <w:tabs>
          <w:tab w:val="num" w:pos="926"/>
        </w:tabs>
        <w:ind w:left="926" w:hanging="360"/>
      </w:pPr>
    </w:lvl>
  </w:abstractNum>
  <w:abstractNum w:abstractNumId="3">
    <w:nsid w:val="FFFFFF7F"/>
    <w:multiLevelType w:val="singleLevel"/>
    <w:tmpl w:val="D9AEA8A8"/>
    <w:lvl w:ilvl="0">
      <w:start w:val="1"/>
      <w:numFmt w:val="decimal"/>
      <w:lvlText w:val="%1."/>
      <w:lvlJc w:val="left"/>
      <w:pPr>
        <w:tabs>
          <w:tab w:val="num" w:pos="643"/>
        </w:tabs>
        <w:ind w:left="643" w:hanging="360"/>
      </w:pPr>
    </w:lvl>
  </w:abstractNum>
  <w:abstractNum w:abstractNumId="4">
    <w:nsid w:val="FFFFFF80"/>
    <w:multiLevelType w:val="singleLevel"/>
    <w:tmpl w:val="487C55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E327F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54AB78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E6E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C09DD0"/>
    <w:lvl w:ilvl="0">
      <w:start w:val="1"/>
      <w:numFmt w:val="decimal"/>
      <w:lvlText w:val="%1."/>
      <w:lvlJc w:val="left"/>
      <w:pPr>
        <w:tabs>
          <w:tab w:val="num" w:pos="360"/>
        </w:tabs>
        <w:ind w:left="360" w:hanging="360"/>
      </w:pPr>
    </w:lvl>
  </w:abstractNum>
  <w:abstractNum w:abstractNumId="9">
    <w:nsid w:val="FFFFFF89"/>
    <w:multiLevelType w:val="singleLevel"/>
    <w:tmpl w:val="72B065D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num>
  <w:num w:numId="34">
    <w:abstractNumId w:val="13"/>
  </w:num>
  <w:num w:numId="35">
    <w:abstractNumId w:val="25"/>
  </w:num>
  <w:num w:numId="36">
    <w:abstractNumId w:val="26"/>
  </w:num>
  <w:num w:numId="37">
    <w:abstractNumId w:val="34"/>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24"/>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0008"/>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8C5"/>
    <w:rsid w:val="0038012C"/>
    <w:rsid w:val="003823FD"/>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E92"/>
    <w:rsid w:val="00A74081"/>
    <w:rsid w:val="00A83967"/>
    <w:rsid w:val="00AB564C"/>
    <w:rsid w:val="00AB7157"/>
    <w:rsid w:val="00AC551F"/>
    <w:rsid w:val="00AD3B62"/>
    <w:rsid w:val="00AD49F1"/>
    <w:rsid w:val="00AE5EDA"/>
    <w:rsid w:val="00B0249F"/>
    <w:rsid w:val="00B04592"/>
    <w:rsid w:val="00B06CE2"/>
    <w:rsid w:val="00B070C6"/>
    <w:rsid w:val="00B2276F"/>
    <w:rsid w:val="00B360C9"/>
    <w:rsid w:val="00B408BC"/>
    <w:rsid w:val="00B42F03"/>
    <w:rsid w:val="00B44DB6"/>
    <w:rsid w:val="00B469A6"/>
    <w:rsid w:val="00B521E7"/>
    <w:rsid w:val="00B524CF"/>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17B7"/>
    <w:rsid w:val="00CB6DF9"/>
    <w:rsid w:val="00CC23C9"/>
    <w:rsid w:val="00CD47BE"/>
    <w:rsid w:val="00D01387"/>
    <w:rsid w:val="00D02FA8"/>
    <w:rsid w:val="00D17948"/>
    <w:rsid w:val="00D22E8A"/>
    <w:rsid w:val="00D35ABB"/>
    <w:rsid w:val="00D37E35"/>
    <w:rsid w:val="00D42A24"/>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1757"/>
    <w:rsid w:val="00EE6F0B"/>
    <w:rsid w:val="00EF7DF7"/>
    <w:rsid w:val="00F11C19"/>
    <w:rsid w:val="00F345D8"/>
    <w:rsid w:val="00F35F35"/>
    <w:rsid w:val="00F448DD"/>
    <w:rsid w:val="00F617E1"/>
    <w:rsid w:val="00F62267"/>
    <w:rsid w:val="00FC2F19"/>
    <w:rsid w:val="00FC3318"/>
    <w:rsid w:val="00FD4CC6"/>
    <w:rsid w:val="00FE66AB"/>
    <w:rsid w:val="00FF3261"/>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_ISS_Report_template.dotx</Template>
  <TotalTime>2</TotalTime>
  <Pages>3</Pages>
  <Words>705</Words>
  <Characters>4023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Title in Document Properties - Title of Paper</vt:lpstr>
    </vt:vector>
  </TitlesOfParts>
  <Company>wmo</Company>
  <LinksUpToDate>false</LinksUpToDate>
  <CharactersWithSpaces>4719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in Document Properties - Title of Paper</dc:title>
  <dc:subject>Subject  in Document Properties - Expert Team Name</dc:subject>
  <dc:creator>Steve Foreman</dc:creator>
  <cp:lastModifiedBy>Steve Foreman</cp:lastModifiedBy>
  <cp:revision>3</cp:revision>
  <cp:lastPrinted>2012-03-15T15:21:00Z</cp:lastPrinted>
  <dcterms:created xsi:type="dcterms:W3CDTF">2014-07-07T08:52:00Z</dcterms:created>
  <dcterms:modified xsi:type="dcterms:W3CDTF">2014-07-07T08:53:00Z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Document number in Doc Properties - XX.XX(Dxx)</vt:lpwstr>
  </property>
  <property fmtid="{D5CDD505-2E9C-101B-9397-08002B2CF9AE}" pid="3" name="Destination">
    <vt:lpwstr>Destination in document properties - Location of meeting</vt:lpwstr>
  </property>
  <property fmtid="{D5CDD505-2E9C-101B-9397-08002B2CF9AE}" pid="4" name="Recorded date">
    <vt:lpwstr>Recorded data in document properties - date of meeting</vt:lpwstr>
  </property>
  <property fmtid="{D5CDD505-2E9C-101B-9397-08002B2CF9AE}" pid="5" name="Purpose">
    <vt:lpwstr>Purpose in document properties - Meeting abbreviation</vt:lpwstr>
  </property>
  <property fmtid="{D5CDD505-2E9C-101B-9397-08002B2CF9AE}" pid="6" name="Client">
    <vt:lpwstr>Client in document properties - Name of Expert Team</vt:lpwstr>
  </property>
</Properties>
</file>