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1E0" w:firstRow="1" w:lastRow="1" w:firstColumn="1" w:lastColumn="1" w:noHBand="0" w:noVBand="0"/>
      </w:tblPr>
      <w:tblGrid>
        <w:gridCol w:w="5508"/>
        <w:gridCol w:w="416"/>
        <w:gridCol w:w="4984"/>
      </w:tblGrid>
      <w:tr w:rsidR="00E60030" w:rsidRPr="00A15C36" w:rsidTr="00A15C36">
        <w:tc>
          <w:tcPr>
            <w:tcW w:w="5508" w:type="dxa"/>
            <w:shd w:val="clear" w:color="auto" w:fill="auto"/>
          </w:tcPr>
          <w:p w:rsidR="00E60030" w:rsidRPr="00A15C36" w:rsidRDefault="00E60030" w:rsidP="00E60030">
            <w:pPr>
              <w:pStyle w:val="Heading1"/>
              <w:rPr>
                <w:rFonts w:cs="Arial"/>
              </w:rPr>
            </w:pPr>
            <w:r w:rsidRPr="00A15C36">
              <w:rPr>
                <w:rFonts w:cs="Arial"/>
              </w:rPr>
              <w:t>WORLD METEOROLOGICAL ORGANIZATION</w:t>
            </w:r>
          </w:p>
          <w:p w:rsidR="00E60030" w:rsidRPr="00A15C36" w:rsidRDefault="00E60030" w:rsidP="00A15C36">
            <w:pPr>
              <w:spacing w:after="0" w:line="240" w:lineRule="auto"/>
              <w:jc w:val="center"/>
              <w:rPr>
                <w:rFonts w:ascii="Arial" w:hAnsi="Arial" w:cs="Arial"/>
                <w:lang w:val="en-CA"/>
              </w:rPr>
            </w:pPr>
          </w:p>
          <w:p w:rsidR="00E60030" w:rsidRPr="00A15C36" w:rsidRDefault="00E60030" w:rsidP="00A15C36">
            <w:pPr>
              <w:pStyle w:val="BodyText3"/>
              <w:spacing w:after="0" w:line="240" w:lineRule="auto"/>
              <w:jc w:val="center"/>
              <w:rPr>
                <w:rFonts w:ascii="Arial" w:hAnsi="Arial" w:cs="Arial"/>
                <w:sz w:val="22"/>
                <w:szCs w:val="22"/>
              </w:rPr>
            </w:pPr>
            <w:r w:rsidRPr="00A15C36">
              <w:rPr>
                <w:rFonts w:ascii="Arial" w:hAnsi="Arial" w:cs="Arial"/>
                <w:sz w:val="22"/>
                <w:szCs w:val="22"/>
              </w:rPr>
              <w:t>COMMISSION FOR BASIC SYSTEMS</w:t>
            </w:r>
            <w:r w:rsidRPr="00A15C36">
              <w:rPr>
                <w:rFonts w:ascii="Arial" w:hAnsi="Arial" w:cs="Arial"/>
                <w:sz w:val="22"/>
                <w:szCs w:val="22"/>
              </w:rPr>
              <w:br/>
              <w:t>OPAG</w:t>
            </w:r>
            <w:r w:rsidR="00BA4451" w:rsidRPr="00A15C36">
              <w:rPr>
                <w:rFonts w:ascii="Arial" w:hAnsi="Arial" w:cs="Arial"/>
                <w:sz w:val="22"/>
                <w:szCs w:val="22"/>
              </w:rPr>
              <w:t>s</w:t>
            </w:r>
            <w:r w:rsidRPr="00A15C36">
              <w:rPr>
                <w:rFonts w:ascii="Arial" w:hAnsi="Arial" w:cs="Arial"/>
                <w:sz w:val="22"/>
                <w:szCs w:val="22"/>
              </w:rPr>
              <w:t xml:space="preserve"> on DPFS</w:t>
            </w:r>
            <w:r w:rsidR="00BA4451" w:rsidRPr="00A15C36">
              <w:rPr>
                <w:rFonts w:ascii="Arial" w:hAnsi="Arial" w:cs="Arial"/>
                <w:sz w:val="22"/>
                <w:szCs w:val="22"/>
              </w:rPr>
              <w:t xml:space="preserve"> and PWS</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Severe Weather Forecasting Disaster Risk Reduction Demonstration Project</w:t>
            </w: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SWFDdP – South Pacific Project</w:t>
            </w: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Meeting of the Regional Subproject</w:t>
            </w: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Management Team</w:t>
            </w:r>
          </w:p>
          <w:p w:rsidR="00E60030" w:rsidRPr="00A15C36" w:rsidRDefault="00E60030" w:rsidP="00A15C36">
            <w:pPr>
              <w:tabs>
                <w:tab w:val="left" w:pos="425"/>
                <w:tab w:val="left" w:pos="2552"/>
                <w:tab w:val="left" w:pos="3969"/>
                <w:tab w:val="left" w:pos="5954"/>
              </w:tabs>
              <w:spacing w:after="0" w:line="240" w:lineRule="auto"/>
              <w:jc w:val="center"/>
              <w:rPr>
                <w:rFonts w:ascii="Arial" w:hAnsi="Arial" w:cs="Arial"/>
                <w:smallCaps/>
              </w:rPr>
            </w:pPr>
          </w:p>
          <w:p w:rsidR="00E60030" w:rsidRPr="00A15C36" w:rsidRDefault="00BA4451" w:rsidP="00A15C36">
            <w:pPr>
              <w:tabs>
                <w:tab w:val="left" w:pos="425"/>
                <w:tab w:val="left" w:pos="2552"/>
                <w:tab w:val="left" w:pos="3969"/>
                <w:tab w:val="left" w:pos="5954"/>
              </w:tabs>
              <w:spacing w:after="0" w:line="240" w:lineRule="auto"/>
              <w:jc w:val="center"/>
              <w:rPr>
                <w:rFonts w:ascii="Arial" w:hAnsi="Arial" w:cs="Arial"/>
              </w:rPr>
            </w:pPr>
            <w:r w:rsidRPr="00A15C36">
              <w:rPr>
                <w:rFonts w:ascii="Arial" w:hAnsi="Arial" w:cs="Arial"/>
              </w:rPr>
              <w:t>Honiara, Solomon Islands, 25-27 August 2016</w:t>
            </w:r>
          </w:p>
          <w:p w:rsidR="00E60030" w:rsidRPr="00A15C36" w:rsidRDefault="00E60030" w:rsidP="00A15C36">
            <w:pPr>
              <w:spacing w:after="0" w:line="240" w:lineRule="auto"/>
              <w:jc w:val="both"/>
              <w:rPr>
                <w:rFonts w:ascii="Arial" w:hAnsi="Arial" w:cs="Arial"/>
              </w:rPr>
            </w:pPr>
          </w:p>
        </w:tc>
        <w:tc>
          <w:tcPr>
            <w:tcW w:w="416" w:type="dxa"/>
            <w:shd w:val="clear" w:color="auto" w:fill="auto"/>
          </w:tcPr>
          <w:p w:rsidR="00E60030" w:rsidRPr="00A15C36" w:rsidRDefault="00E60030" w:rsidP="00A15C36">
            <w:pPr>
              <w:spacing w:after="0" w:line="240" w:lineRule="auto"/>
              <w:jc w:val="both"/>
              <w:rPr>
                <w:rFonts w:ascii="Arial" w:hAnsi="Arial" w:cs="Arial"/>
                <w:lang w:val="en-CA"/>
              </w:rPr>
            </w:pPr>
          </w:p>
        </w:tc>
        <w:tc>
          <w:tcPr>
            <w:tcW w:w="4984" w:type="dxa"/>
            <w:shd w:val="clear" w:color="auto" w:fill="auto"/>
          </w:tcPr>
          <w:p w:rsidR="00E60030" w:rsidRPr="00A15C36" w:rsidRDefault="00BA4451" w:rsidP="00A15C36">
            <w:pPr>
              <w:spacing w:after="0" w:line="240" w:lineRule="auto"/>
              <w:rPr>
                <w:rFonts w:ascii="Arial" w:hAnsi="Arial" w:cs="Arial"/>
                <w:lang w:val="en-CA"/>
              </w:rPr>
            </w:pPr>
            <w:r w:rsidRPr="00A15C36">
              <w:rPr>
                <w:rFonts w:ascii="Arial" w:hAnsi="Arial" w:cs="Arial"/>
                <w:lang w:val="en-CA"/>
              </w:rPr>
              <w:t>DPFS-PWS/</w:t>
            </w:r>
            <w:r w:rsidR="00C335A4">
              <w:rPr>
                <w:rFonts w:ascii="Arial" w:hAnsi="Arial" w:cs="Arial"/>
                <w:lang w:val="en-CA"/>
              </w:rPr>
              <w:t>RAV-SWFDDP-RSMT/Doc. 3</w:t>
            </w:r>
            <w:r w:rsidR="00E60030" w:rsidRPr="00A15C36">
              <w:rPr>
                <w:rFonts w:ascii="Arial" w:hAnsi="Arial" w:cs="Arial"/>
                <w:lang w:val="en-CA"/>
              </w:rPr>
              <w:t>.1</w:t>
            </w:r>
            <w:r w:rsidR="00405424" w:rsidRPr="00A15C36">
              <w:rPr>
                <w:rFonts w:ascii="Arial" w:hAnsi="Arial" w:cs="Arial"/>
                <w:lang w:val="en-CA"/>
              </w:rPr>
              <w:t>(</w:t>
            </w:r>
            <w:r w:rsidR="00C335A4">
              <w:rPr>
                <w:rFonts w:ascii="Arial" w:hAnsi="Arial" w:cs="Arial"/>
                <w:lang w:val="en-CA"/>
              </w:rPr>
              <w:t>1</w:t>
            </w:r>
            <w:r w:rsidR="00405424" w:rsidRPr="00A15C36">
              <w:rPr>
                <w:rFonts w:ascii="Arial" w:hAnsi="Arial" w:cs="Arial"/>
                <w:lang w:val="en-CA"/>
              </w:rPr>
              <w:t>)</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w:t>
            </w:r>
            <w:r w:rsidR="004A5F96">
              <w:rPr>
                <w:rFonts w:ascii="Arial" w:hAnsi="Arial" w:cs="Arial"/>
                <w:lang w:val="en-CA"/>
              </w:rPr>
              <w:t>19.VIII</w:t>
            </w:r>
            <w:r w:rsidRPr="00A15C36">
              <w:rPr>
                <w:rFonts w:ascii="Arial" w:hAnsi="Arial" w:cs="Arial"/>
                <w:lang w:val="en-CA"/>
              </w:rPr>
              <w:t>.201</w:t>
            </w:r>
            <w:r w:rsidR="00BA4451" w:rsidRPr="00A15C36">
              <w:rPr>
                <w:rFonts w:ascii="Arial" w:hAnsi="Arial" w:cs="Arial"/>
                <w:lang w:val="en-CA"/>
              </w:rPr>
              <w:t>6</w:t>
            </w:r>
            <w:r w:rsidRPr="00A15C36">
              <w:rPr>
                <w:rFonts w:ascii="Arial" w:hAnsi="Arial" w:cs="Arial"/>
                <w:lang w:val="en-CA"/>
              </w:rPr>
              <w:t>)</w:t>
            </w:r>
            <w:bookmarkStart w:id="0" w:name="_GoBack"/>
            <w:bookmarkEnd w:id="0"/>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_______</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Agenda item</w:t>
            </w:r>
            <w:r w:rsidR="00FB18C3">
              <w:rPr>
                <w:rFonts w:ascii="Arial" w:hAnsi="Arial" w:cs="Arial"/>
                <w:lang w:val="en-CA"/>
              </w:rPr>
              <w:t>s</w:t>
            </w:r>
            <w:r w:rsidRPr="00A15C36">
              <w:rPr>
                <w:rFonts w:ascii="Arial" w:hAnsi="Arial" w:cs="Arial"/>
                <w:lang w:val="en-CA"/>
              </w:rPr>
              <w:t xml:space="preserve"> : </w:t>
            </w:r>
            <w:r w:rsidR="00C335A4">
              <w:rPr>
                <w:rFonts w:ascii="Arial" w:hAnsi="Arial" w:cs="Arial"/>
                <w:lang w:val="en-CA"/>
              </w:rPr>
              <w:t>3.1</w:t>
            </w:r>
            <w:r w:rsidR="0074637E">
              <w:rPr>
                <w:rFonts w:ascii="Arial" w:hAnsi="Arial" w:cs="Arial"/>
                <w:lang w:val="en-CA"/>
              </w:rPr>
              <w:t xml:space="preserve"> and 3.2</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ENGLISH ONLY</w:t>
            </w:r>
          </w:p>
        </w:tc>
      </w:tr>
    </w:tbl>
    <w:p w:rsidR="00E60030" w:rsidRDefault="00E60030" w:rsidP="005A48FA">
      <w:pPr>
        <w:jc w:val="both"/>
        <w:rPr>
          <w:rFonts w:ascii="Arial" w:hAnsi="Arial" w:cs="Arial"/>
          <w:lang w:val="en-CA"/>
        </w:rPr>
      </w:pPr>
    </w:p>
    <w:p w:rsidR="00E60030" w:rsidRDefault="00C335A4" w:rsidP="00E60030">
      <w:pPr>
        <w:jc w:val="center"/>
        <w:rPr>
          <w:rFonts w:ascii="Arial" w:hAnsi="Arial" w:cs="Arial"/>
          <w:b/>
          <w:lang w:val="en-CA"/>
        </w:rPr>
      </w:pPr>
      <w:r>
        <w:rPr>
          <w:rFonts w:ascii="Arial" w:hAnsi="Arial" w:cs="Arial"/>
          <w:b/>
          <w:lang w:val="en-CA"/>
        </w:rPr>
        <w:t>SUMMARY FROM THE PROGRESS REPORTS</w:t>
      </w:r>
    </w:p>
    <w:p w:rsidR="00E60030" w:rsidRPr="0074637E" w:rsidRDefault="00E60030" w:rsidP="008163D7">
      <w:pPr>
        <w:spacing w:after="0" w:line="240" w:lineRule="auto"/>
        <w:jc w:val="center"/>
        <w:rPr>
          <w:rFonts w:ascii="Arial" w:hAnsi="Arial" w:cs="Arial"/>
          <w:b/>
          <w:lang w:val="en-CA"/>
        </w:rPr>
      </w:pPr>
    </w:p>
    <w:p w:rsidR="00405424" w:rsidRPr="0074637E" w:rsidRDefault="00BA1ED8" w:rsidP="008163D7">
      <w:pPr>
        <w:pStyle w:val="ListParagraph"/>
        <w:numPr>
          <w:ilvl w:val="0"/>
          <w:numId w:val="7"/>
        </w:numPr>
        <w:spacing w:after="0" w:line="240" w:lineRule="auto"/>
        <w:ind w:left="720"/>
        <w:rPr>
          <w:rFonts w:ascii="Arial" w:hAnsi="Arial" w:cs="Arial"/>
          <w:b/>
        </w:rPr>
      </w:pPr>
      <w:r>
        <w:rPr>
          <w:rFonts w:ascii="Arial" w:hAnsi="Arial" w:cs="Arial"/>
          <w:b/>
        </w:rPr>
        <w:t>OVERVIEW</w:t>
      </w:r>
    </w:p>
    <w:p w:rsidR="00405424" w:rsidRPr="0074637E" w:rsidRDefault="00405424" w:rsidP="008163D7">
      <w:pPr>
        <w:spacing w:after="0" w:line="240" w:lineRule="auto"/>
        <w:rPr>
          <w:rFonts w:ascii="Arial" w:eastAsia="SimSun" w:hAnsi="Arial" w:cs="Arial"/>
          <w:lang w:eastAsia="zh-CN"/>
        </w:rPr>
      </w:pPr>
    </w:p>
    <w:p w:rsidR="00986C21" w:rsidRDefault="00C335A4" w:rsidP="008163D7">
      <w:pPr>
        <w:pStyle w:val="ListParagraph"/>
        <w:spacing w:after="0" w:line="240" w:lineRule="auto"/>
        <w:ind w:left="360"/>
        <w:jc w:val="both"/>
        <w:rPr>
          <w:rFonts w:ascii="Arial" w:hAnsi="Arial" w:cs="Arial"/>
        </w:rPr>
      </w:pPr>
      <w:r w:rsidRPr="0074637E">
        <w:rPr>
          <w:rFonts w:ascii="Arial" w:hAnsi="Arial" w:cs="Arial"/>
        </w:rPr>
        <w:t>The RSMT</w:t>
      </w:r>
      <w:r w:rsidR="00F002C5">
        <w:rPr>
          <w:rFonts w:ascii="Arial" w:hAnsi="Arial" w:cs="Arial"/>
        </w:rPr>
        <w:t xml:space="preserve"> will review and discuss</w:t>
      </w:r>
      <w:r w:rsidRPr="0074637E">
        <w:rPr>
          <w:rFonts w:ascii="Arial" w:hAnsi="Arial" w:cs="Arial"/>
        </w:rPr>
        <w:t xml:space="preserve"> the Progress Reports of the SWFDDP, spanning the period from 1 October 2013 to 30 September 2015 (Progress Reports No. 8, 9, 10 and 11). Progress Report No. 12 (1 October 2015 to 31 March 2016) </w:t>
      </w:r>
      <w:r w:rsidR="00F002C5">
        <w:rPr>
          <w:rFonts w:ascii="Arial" w:hAnsi="Arial" w:cs="Arial"/>
        </w:rPr>
        <w:t>remains in a draft state and will</w:t>
      </w:r>
      <w:r w:rsidRPr="0074637E">
        <w:rPr>
          <w:rFonts w:ascii="Arial" w:hAnsi="Arial" w:cs="Arial"/>
        </w:rPr>
        <w:t xml:space="preserve"> not</w:t>
      </w:r>
      <w:r w:rsidR="00F002C5">
        <w:rPr>
          <w:rFonts w:ascii="Arial" w:hAnsi="Arial" w:cs="Arial"/>
        </w:rPr>
        <w:t xml:space="preserve"> be</w:t>
      </w:r>
      <w:r w:rsidRPr="0074637E">
        <w:rPr>
          <w:rFonts w:ascii="Arial" w:hAnsi="Arial" w:cs="Arial"/>
        </w:rPr>
        <w:t xml:space="preserve"> incl</w:t>
      </w:r>
      <w:r w:rsidR="00404F34" w:rsidRPr="0074637E">
        <w:rPr>
          <w:rFonts w:ascii="Arial" w:hAnsi="Arial" w:cs="Arial"/>
        </w:rPr>
        <w:t>uded in the review.</w:t>
      </w:r>
    </w:p>
    <w:p w:rsidR="00276571" w:rsidRDefault="00276571" w:rsidP="008163D7">
      <w:pPr>
        <w:pStyle w:val="ListParagraph"/>
        <w:spacing w:after="0" w:line="240" w:lineRule="auto"/>
        <w:ind w:left="360"/>
        <w:jc w:val="both"/>
        <w:rPr>
          <w:rFonts w:ascii="Arial" w:hAnsi="Arial" w:cs="Arial"/>
        </w:rPr>
      </w:pPr>
    </w:p>
    <w:p w:rsidR="00276571" w:rsidRDefault="00276571" w:rsidP="008163D7">
      <w:pPr>
        <w:pStyle w:val="ListParagraph"/>
        <w:spacing w:after="0" w:line="240" w:lineRule="auto"/>
        <w:ind w:left="360"/>
        <w:jc w:val="both"/>
        <w:rPr>
          <w:rFonts w:ascii="Arial" w:hAnsi="Arial" w:cs="Arial"/>
        </w:rPr>
      </w:pPr>
      <w:r>
        <w:rPr>
          <w:rFonts w:ascii="Arial" w:hAnsi="Arial" w:cs="Arial"/>
        </w:rPr>
        <w:t>The five main goals of the SWFDDP are:</w:t>
      </w:r>
    </w:p>
    <w:p w:rsidR="00276571" w:rsidRDefault="00276571" w:rsidP="008163D7">
      <w:pPr>
        <w:pStyle w:val="ListParagraph"/>
        <w:spacing w:after="0" w:line="240" w:lineRule="auto"/>
        <w:ind w:left="360"/>
        <w:jc w:val="both"/>
        <w:rPr>
          <w:rFonts w:ascii="Arial" w:hAnsi="Arial" w:cs="Arial"/>
        </w:rPr>
      </w:pPr>
    </w:p>
    <w:p w:rsidR="00276571" w:rsidRPr="00276571" w:rsidRDefault="00276571" w:rsidP="00276571">
      <w:pPr>
        <w:pStyle w:val="ListParagraph"/>
        <w:numPr>
          <w:ilvl w:val="0"/>
          <w:numId w:val="14"/>
        </w:numPr>
        <w:rPr>
          <w:rFonts w:ascii="Arial" w:hAnsi="Arial" w:cs="Arial"/>
        </w:rPr>
      </w:pPr>
      <w:r>
        <w:rPr>
          <w:rFonts w:ascii="Arial" w:hAnsi="Arial" w:cs="Arial"/>
        </w:rPr>
        <w:t>t</w:t>
      </w:r>
      <w:r w:rsidRPr="00276571">
        <w:rPr>
          <w:rFonts w:ascii="Arial" w:hAnsi="Arial" w:cs="Arial"/>
        </w:rPr>
        <w:t>o improve the ability of NMHSs to forecast severe weather events</w:t>
      </w:r>
      <w:r>
        <w:rPr>
          <w:rFonts w:ascii="Arial" w:hAnsi="Arial" w:cs="Arial"/>
        </w:rPr>
        <w:t>;</w:t>
      </w:r>
    </w:p>
    <w:p w:rsidR="00276571" w:rsidRPr="00276571" w:rsidRDefault="00276571" w:rsidP="00276571">
      <w:pPr>
        <w:pStyle w:val="ListParagraph"/>
        <w:numPr>
          <w:ilvl w:val="0"/>
          <w:numId w:val="14"/>
        </w:numPr>
        <w:rPr>
          <w:rFonts w:ascii="Arial" w:hAnsi="Arial" w:cs="Arial"/>
        </w:rPr>
      </w:pPr>
      <w:r>
        <w:rPr>
          <w:rFonts w:ascii="Arial" w:hAnsi="Arial" w:cs="Arial"/>
        </w:rPr>
        <w:t>t</w:t>
      </w:r>
      <w:r w:rsidRPr="00276571">
        <w:rPr>
          <w:rFonts w:ascii="Arial" w:hAnsi="Arial" w:cs="Arial"/>
        </w:rPr>
        <w:t>o improve the lead-time of alerting these events</w:t>
      </w:r>
      <w:r>
        <w:rPr>
          <w:rFonts w:ascii="Arial" w:hAnsi="Arial" w:cs="Arial"/>
        </w:rPr>
        <w:t>;</w:t>
      </w:r>
    </w:p>
    <w:p w:rsidR="00276571" w:rsidRPr="00276571" w:rsidRDefault="00276571" w:rsidP="00276571">
      <w:pPr>
        <w:pStyle w:val="ListParagraph"/>
        <w:numPr>
          <w:ilvl w:val="0"/>
          <w:numId w:val="14"/>
        </w:numPr>
        <w:rPr>
          <w:rFonts w:ascii="Arial" w:hAnsi="Arial" w:cs="Arial"/>
        </w:rPr>
      </w:pPr>
      <w:r>
        <w:rPr>
          <w:rFonts w:ascii="Arial" w:hAnsi="Arial" w:cs="Arial"/>
        </w:rPr>
        <w:t>t</w:t>
      </w:r>
      <w:r w:rsidRPr="00276571">
        <w:rPr>
          <w:rFonts w:ascii="Arial" w:hAnsi="Arial" w:cs="Arial"/>
        </w:rPr>
        <w:t>o improve the interaction of NMHSs with Disaster Management and Civil Protection Authorities (DMCPAs) before, during and after severe weather events</w:t>
      </w:r>
    </w:p>
    <w:p w:rsidR="00276571" w:rsidRPr="00276571" w:rsidRDefault="00276571" w:rsidP="00276571">
      <w:pPr>
        <w:pStyle w:val="ListParagraph"/>
        <w:numPr>
          <w:ilvl w:val="0"/>
          <w:numId w:val="14"/>
        </w:numPr>
        <w:rPr>
          <w:rFonts w:ascii="Arial" w:hAnsi="Arial" w:cs="Arial"/>
        </w:rPr>
      </w:pPr>
      <w:r>
        <w:rPr>
          <w:rFonts w:ascii="Arial" w:hAnsi="Arial" w:cs="Arial"/>
        </w:rPr>
        <w:t>t</w:t>
      </w:r>
      <w:r w:rsidRPr="00276571">
        <w:rPr>
          <w:rFonts w:ascii="Arial" w:hAnsi="Arial" w:cs="Arial"/>
        </w:rPr>
        <w:t>o identify gaps and areas for improvements</w:t>
      </w:r>
      <w:r>
        <w:rPr>
          <w:rFonts w:ascii="Arial" w:hAnsi="Arial" w:cs="Arial"/>
        </w:rPr>
        <w:t>; and</w:t>
      </w:r>
    </w:p>
    <w:p w:rsidR="00276571" w:rsidRPr="00276571" w:rsidRDefault="00276571" w:rsidP="00276571">
      <w:pPr>
        <w:pStyle w:val="ListParagraph"/>
        <w:numPr>
          <w:ilvl w:val="0"/>
          <w:numId w:val="14"/>
        </w:numPr>
        <w:rPr>
          <w:rFonts w:ascii="Arial" w:hAnsi="Arial" w:cs="Arial"/>
        </w:rPr>
      </w:pPr>
      <w:proofErr w:type="gramStart"/>
      <w:r>
        <w:rPr>
          <w:rFonts w:ascii="Arial" w:hAnsi="Arial" w:cs="Arial"/>
        </w:rPr>
        <w:t>t</w:t>
      </w:r>
      <w:r w:rsidRPr="00276571">
        <w:rPr>
          <w:rFonts w:ascii="Arial" w:hAnsi="Arial" w:cs="Arial"/>
        </w:rPr>
        <w:t>o</w:t>
      </w:r>
      <w:proofErr w:type="gramEnd"/>
      <w:r w:rsidRPr="00276571">
        <w:rPr>
          <w:rFonts w:ascii="Arial" w:hAnsi="Arial" w:cs="Arial"/>
        </w:rPr>
        <w:t xml:space="preserve"> improve the skill of products from Global </w:t>
      </w:r>
      <w:proofErr w:type="spellStart"/>
      <w:r w:rsidRPr="00276571">
        <w:rPr>
          <w:rFonts w:ascii="Arial" w:hAnsi="Arial" w:cs="Arial"/>
        </w:rPr>
        <w:t>Centres</w:t>
      </w:r>
      <w:proofErr w:type="spellEnd"/>
      <w:r w:rsidRPr="00276571">
        <w:rPr>
          <w:rFonts w:ascii="Arial" w:hAnsi="Arial" w:cs="Arial"/>
        </w:rPr>
        <w:t xml:space="preserve"> and RSMCs through feedback from NMHSs</w:t>
      </w:r>
      <w:r>
        <w:rPr>
          <w:rFonts w:ascii="Arial" w:hAnsi="Arial" w:cs="Arial"/>
        </w:rPr>
        <w:t>.</w:t>
      </w:r>
    </w:p>
    <w:p w:rsidR="00E92F67" w:rsidRPr="0074637E" w:rsidRDefault="00E92F67" w:rsidP="008163D7">
      <w:pPr>
        <w:pStyle w:val="ListParagraph"/>
        <w:spacing w:after="0" w:line="240" w:lineRule="auto"/>
        <w:ind w:left="360"/>
        <w:jc w:val="both"/>
        <w:rPr>
          <w:rFonts w:ascii="Arial" w:hAnsi="Arial" w:cs="Arial"/>
        </w:rPr>
      </w:pPr>
    </w:p>
    <w:p w:rsidR="00E92F67" w:rsidRPr="0074637E" w:rsidRDefault="00E92F67" w:rsidP="00E92F67">
      <w:pPr>
        <w:pStyle w:val="ListParagraph"/>
        <w:spacing w:after="0" w:line="240" w:lineRule="auto"/>
        <w:ind w:left="360"/>
        <w:jc w:val="both"/>
        <w:rPr>
          <w:rFonts w:ascii="Arial" w:hAnsi="Arial" w:cs="Arial"/>
        </w:rPr>
      </w:pPr>
      <w:r w:rsidRPr="0074637E">
        <w:rPr>
          <w:rFonts w:ascii="Arial" w:hAnsi="Arial" w:cs="Arial"/>
        </w:rPr>
        <w:t xml:space="preserve">The previous </w:t>
      </w:r>
      <w:r w:rsidR="00D574E9" w:rsidRPr="0074637E">
        <w:rPr>
          <w:rFonts w:ascii="Arial" w:hAnsi="Arial" w:cs="Arial"/>
        </w:rPr>
        <w:t xml:space="preserve">meeting of the </w:t>
      </w:r>
      <w:r w:rsidRPr="0074637E">
        <w:rPr>
          <w:rFonts w:ascii="Arial" w:hAnsi="Arial" w:cs="Arial"/>
        </w:rPr>
        <w:t>RSMT (</w:t>
      </w:r>
      <w:proofErr w:type="spellStart"/>
      <w:r w:rsidRPr="0074637E">
        <w:rPr>
          <w:rFonts w:ascii="Arial" w:hAnsi="Arial" w:cs="Arial"/>
        </w:rPr>
        <w:t>Nadi</w:t>
      </w:r>
      <w:proofErr w:type="spellEnd"/>
      <w:r w:rsidRPr="0074637E">
        <w:rPr>
          <w:rFonts w:ascii="Arial" w:hAnsi="Arial" w:cs="Arial"/>
        </w:rPr>
        <w:t>, Fiji, 26 – 29 Aug</w:t>
      </w:r>
      <w:r w:rsidR="0026500C">
        <w:rPr>
          <w:rFonts w:ascii="Arial" w:hAnsi="Arial" w:cs="Arial"/>
        </w:rPr>
        <w:t>ust 2013) noted there were</w:t>
      </w:r>
      <w:r w:rsidRPr="0074637E">
        <w:rPr>
          <w:rFonts w:ascii="Arial" w:hAnsi="Arial" w:cs="Arial"/>
        </w:rPr>
        <w:t xml:space="preserve"> no hard criteria for the transition of the Project from Demonstration to the subsequent Phase IV, known as the</w:t>
      </w:r>
      <w:r w:rsidR="0074637E" w:rsidRPr="0074637E">
        <w:rPr>
          <w:rFonts w:ascii="Arial" w:hAnsi="Arial" w:cs="Arial"/>
        </w:rPr>
        <w:t xml:space="preserve"> “operational” or</w:t>
      </w:r>
      <w:r w:rsidRPr="0074637E">
        <w:rPr>
          <w:rFonts w:ascii="Arial" w:hAnsi="Arial" w:cs="Arial"/>
        </w:rPr>
        <w:t xml:space="preserve"> “continuing development phase”. The RSMT in </w:t>
      </w:r>
      <w:proofErr w:type="spellStart"/>
      <w:r w:rsidRPr="0074637E">
        <w:rPr>
          <w:rFonts w:ascii="Arial" w:hAnsi="Arial" w:cs="Arial"/>
        </w:rPr>
        <w:t>Nadi</w:t>
      </w:r>
      <w:proofErr w:type="spellEnd"/>
      <w:r w:rsidRPr="0074637E">
        <w:rPr>
          <w:rFonts w:ascii="Arial" w:hAnsi="Arial" w:cs="Arial"/>
        </w:rPr>
        <w:t xml:space="preserve"> (Aug 2013) agreed to the following set of criteria to be implemented by each participating NMHS:</w:t>
      </w:r>
    </w:p>
    <w:p w:rsidR="00E92F67" w:rsidRPr="0074637E" w:rsidRDefault="00E92F67" w:rsidP="00E92F67">
      <w:pPr>
        <w:pStyle w:val="ListParagraph"/>
        <w:spacing w:after="0" w:line="240" w:lineRule="auto"/>
        <w:ind w:left="360"/>
        <w:jc w:val="both"/>
        <w:rPr>
          <w:rFonts w:ascii="Arial" w:hAnsi="Arial" w:cs="Arial"/>
        </w:rPr>
      </w:pPr>
    </w:p>
    <w:p w:rsidR="00E92F67" w:rsidRPr="0074637E" w:rsidRDefault="00E92F67" w:rsidP="00E92F67">
      <w:pPr>
        <w:pStyle w:val="ListParagraph"/>
        <w:numPr>
          <w:ilvl w:val="0"/>
          <w:numId w:val="12"/>
        </w:numPr>
        <w:spacing w:after="0" w:line="240" w:lineRule="auto"/>
        <w:jc w:val="both"/>
        <w:rPr>
          <w:rFonts w:ascii="Arial" w:hAnsi="Arial" w:cs="Arial"/>
        </w:rPr>
      </w:pPr>
      <w:r w:rsidRPr="0074637E">
        <w:rPr>
          <w:rFonts w:ascii="Arial" w:hAnsi="Arial" w:cs="Arial"/>
        </w:rPr>
        <w:t>an appropriate non</w:t>
      </w:r>
      <w:r w:rsidR="0074637E">
        <w:rPr>
          <w:rFonts w:ascii="Arial" w:hAnsi="Arial" w:cs="Arial"/>
        </w:rPr>
        <w:t>-</w:t>
      </w:r>
      <w:r w:rsidRPr="0074637E">
        <w:rPr>
          <w:rFonts w:ascii="Arial" w:hAnsi="Arial" w:cs="Arial"/>
        </w:rPr>
        <w:t>TC warning system</w:t>
      </w:r>
      <w:r w:rsidR="0074637E">
        <w:rPr>
          <w:rFonts w:ascii="Arial" w:hAnsi="Arial" w:cs="Arial"/>
        </w:rPr>
        <w:t xml:space="preserve"> is implemented and </w:t>
      </w:r>
      <w:r w:rsidRPr="0074637E">
        <w:rPr>
          <w:rFonts w:ascii="Arial" w:hAnsi="Arial" w:cs="Arial"/>
        </w:rPr>
        <w:t>operating smoothly</w:t>
      </w:r>
      <w:r w:rsidR="0074637E">
        <w:rPr>
          <w:rFonts w:ascii="Arial" w:hAnsi="Arial" w:cs="Arial"/>
        </w:rPr>
        <w:t>;</w:t>
      </w:r>
    </w:p>
    <w:p w:rsidR="00D574E9" w:rsidRPr="0074637E" w:rsidRDefault="00E92F67" w:rsidP="00D574E9">
      <w:pPr>
        <w:pStyle w:val="ListParagraph"/>
        <w:numPr>
          <w:ilvl w:val="0"/>
          <w:numId w:val="12"/>
        </w:numPr>
        <w:spacing w:after="0" w:line="240" w:lineRule="auto"/>
        <w:jc w:val="both"/>
        <w:rPr>
          <w:rFonts w:ascii="Arial" w:hAnsi="Arial" w:cs="Arial"/>
        </w:rPr>
      </w:pPr>
      <w:r w:rsidRPr="0074637E">
        <w:rPr>
          <w:rFonts w:ascii="Arial" w:hAnsi="Arial" w:cs="Arial"/>
        </w:rPr>
        <w:t>severe weather and wave forecasts &amp; warnings are verified using the spreadsheet provided</w:t>
      </w:r>
      <w:r w:rsidR="0074637E">
        <w:rPr>
          <w:rFonts w:ascii="Arial" w:hAnsi="Arial" w:cs="Arial"/>
        </w:rPr>
        <w:t>;</w:t>
      </w:r>
    </w:p>
    <w:p w:rsidR="00D574E9" w:rsidRPr="0074637E" w:rsidRDefault="00E92F67" w:rsidP="00D574E9">
      <w:pPr>
        <w:pStyle w:val="ListParagraph"/>
        <w:numPr>
          <w:ilvl w:val="0"/>
          <w:numId w:val="12"/>
        </w:numPr>
        <w:spacing w:after="0" w:line="240" w:lineRule="auto"/>
        <w:jc w:val="both"/>
        <w:rPr>
          <w:rFonts w:ascii="Arial" w:hAnsi="Arial" w:cs="Arial"/>
        </w:rPr>
      </w:pPr>
      <w:r w:rsidRPr="0074637E">
        <w:rPr>
          <w:rFonts w:ascii="Arial" w:hAnsi="Arial" w:cs="Arial"/>
        </w:rPr>
        <w:t>all participating countries produce at least one case study per year</w:t>
      </w:r>
      <w:r w:rsidR="0074637E">
        <w:rPr>
          <w:rFonts w:ascii="Arial" w:hAnsi="Arial" w:cs="Arial"/>
        </w:rPr>
        <w:t>;</w:t>
      </w:r>
    </w:p>
    <w:p w:rsidR="00D574E9" w:rsidRPr="0074637E" w:rsidRDefault="00E92F67" w:rsidP="00D574E9">
      <w:pPr>
        <w:pStyle w:val="ListParagraph"/>
        <w:numPr>
          <w:ilvl w:val="0"/>
          <w:numId w:val="12"/>
        </w:numPr>
        <w:spacing w:after="0" w:line="240" w:lineRule="auto"/>
        <w:jc w:val="both"/>
        <w:rPr>
          <w:rFonts w:ascii="Arial" w:hAnsi="Arial" w:cs="Arial"/>
        </w:rPr>
      </w:pPr>
      <w:r w:rsidRPr="0074637E">
        <w:rPr>
          <w:rFonts w:ascii="Arial" w:hAnsi="Arial" w:cs="Arial"/>
        </w:rPr>
        <w:t>all participating countries to complete all SWFDDP progress reports in full before the deadlines</w:t>
      </w:r>
      <w:r w:rsidR="00D574E9" w:rsidRPr="0074637E">
        <w:rPr>
          <w:rFonts w:ascii="Arial" w:hAnsi="Arial" w:cs="Arial"/>
        </w:rPr>
        <w:t xml:space="preserve"> </w:t>
      </w:r>
      <w:r w:rsidRPr="0074637E">
        <w:rPr>
          <w:rFonts w:ascii="Arial" w:hAnsi="Arial" w:cs="Arial"/>
        </w:rPr>
        <w:t>prescribed (six monthly)</w:t>
      </w:r>
      <w:r w:rsidR="0074637E">
        <w:rPr>
          <w:rFonts w:ascii="Arial" w:hAnsi="Arial" w:cs="Arial"/>
        </w:rPr>
        <w:t>; and</w:t>
      </w:r>
    </w:p>
    <w:p w:rsidR="00E92F67" w:rsidRPr="0074637E" w:rsidRDefault="00E92F67" w:rsidP="00D574E9">
      <w:pPr>
        <w:pStyle w:val="ListParagraph"/>
        <w:numPr>
          <w:ilvl w:val="0"/>
          <w:numId w:val="12"/>
        </w:numPr>
        <w:spacing w:after="0" w:line="240" w:lineRule="auto"/>
        <w:jc w:val="both"/>
        <w:rPr>
          <w:rFonts w:ascii="Arial" w:hAnsi="Arial" w:cs="Arial"/>
        </w:rPr>
      </w:pPr>
      <w:r w:rsidRPr="0074637E">
        <w:rPr>
          <w:rFonts w:ascii="Arial" w:hAnsi="Arial" w:cs="Arial"/>
        </w:rPr>
        <w:t>demonstrate on a continual basis that the relationships between NMHSs and Disaster</w:t>
      </w:r>
    </w:p>
    <w:p w:rsidR="00E92F67" w:rsidRPr="0074637E" w:rsidRDefault="00E92F67" w:rsidP="00D574E9">
      <w:pPr>
        <w:pStyle w:val="ListParagraph"/>
        <w:spacing w:after="0" w:line="240" w:lineRule="auto"/>
        <w:ind w:left="1440"/>
        <w:jc w:val="both"/>
        <w:rPr>
          <w:rFonts w:ascii="Arial" w:hAnsi="Arial" w:cs="Arial"/>
        </w:rPr>
      </w:pPr>
      <w:r w:rsidRPr="0074637E">
        <w:rPr>
          <w:rFonts w:ascii="Arial" w:hAnsi="Arial" w:cs="Arial"/>
        </w:rPr>
        <w:t>Management and Civil Protection Authorities (DMCPAs), the media and the public are strong</w:t>
      </w:r>
      <w:r w:rsidR="00D574E9" w:rsidRPr="0074637E">
        <w:rPr>
          <w:rFonts w:ascii="Arial" w:hAnsi="Arial" w:cs="Arial"/>
        </w:rPr>
        <w:t xml:space="preserve"> </w:t>
      </w:r>
      <w:r w:rsidRPr="0074637E">
        <w:rPr>
          <w:rFonts w:ascii="Arial" w:hAnsi="Arial" w:cs="Arial"/>
        </w:rPr>
        <w:t>and healthy, with regular communications before, during and after severe weather events</w:t>
      </w:r>
      <w:r w:rsidR="00F002C5">
        <w:rPr>
          <w:rFonts w:ascii="Arial" w:hAnsi="Arial" w:cs="Arial"/>
        </w:rPr>
        <w:t>.</w:t>
      </w:r>
    </w:p>
    <w:p w:rsidR="00986C21" w:rsidRPr="0074637E" w:rsidRDefault="00986C21" w:rsidP="00404F34">
      <w:pPr>
        <w:spacing w:after="0" w:line="240" w:lineRule="auto"/>
        <w:jc w:val="both"/>
        <w:rPr>
          <w:rFonts w:ascii="Arial" w:hAnsi="Arial" w:cs="Arial"/>
        </w:rPr>
      </w:pPr>
    </w:p>
    <w:p w:rsidR="00276571" w:rsidRPr="0075278D" w:rsidRDefault="00C335A4" w:rsidP="0075278D">
      <w:pPr>
        <w:pStyle w:val="ListParagraph"/>
        <w:spacing w:after="0" w:line="240" w:lineRule="auto"/>
        <w:ind w:left="360"/>
        <w:jc w:val="both"/>
        <w:rPr>
          <w:rFonts w:ascii="Arial" w:hAnsi="Arial" w:cs="Arial"/>
        </w:rPr>
      </w:pPr>
      <w:r w:rsidRPr="0074637E">
        <w:rPr>
          <w:rFonts w:ascii="Arial" w:hAnsi="Arial" w:cs="Arial"/>
        </w:rPr>
        <w:lastRenderedPageBreak/>
        <w:t>The RS</w:t>
      </w:r>
      <w:r w:rsidR="00986C21" w:rsidRPr="0074637E">
        <w:rPr>
          <w:rFonts w:ascii="Arial" w:hAnsi="Arial" w:cs="Arial"/>
        </w:rPr>
        <w:t>MT</w:t>
      </w:r>
      <w:r w:rsidR="00F002C5">
        <w:rPr>
          <w:rFonts w:ascii="Arial" w:hAnsi="Arial" w:cs="Arial"/>
        </w:rPr>
        <w:t xml:space="preserve"> will discuss and identify</w:t>
      </w:r>
      <w:r w:rsidR="00986C21" w:rsidRPr="0074637E">
        <w:rPr>
          <w:rFonts w:ascii="Arial" w:hAnsi="Arial" w:cs="Arial"/>
        </w:rPr>
        <w:t xml:space="preserve"> </w:t>
      </w:r>
      <w:r w:rsidRPr="0074637E">
        <w:rPr>
          <w:rFonts w:ascii="Arial" w:hAnsi="Arial" w:cs="Arial"/>
        </w:rPr>
        <w:t xml:space="preserve">strengths and weaknesses in the progress made by the participating NMHSs in relation to the </w:t>
      </w:r>
      <w:r w:rsidR="00986C21" w:rsidRPr="0074637E">
        <w:rPr>
          <w:rFonts w:ascii="Arial" w:hAnsi="Arial" w:cs="Arial"/>
        </w:rPr>
        <w:t>criteria</w:t>
      </w:r>
      <w:r w:rsidR="005E0CB6">
        <w:rPr>
          <w:rFonts w:ascii="Arial" w:hAnsi="Arial" w:cs="Arial"/>
        </w:rPr>
        <w:t>, as well as the five main goals of the SWFDDP</w:t>
      </w:r>
      <w:r w:rsidR="00986C21" w:rsidRPr="0074637E">
        <w:rPr>
          <w:rFonts w:ascii="Arial" w:hAnsi="Arial" w:cs="Arial"/>
        </w:rPr>
        <w:t>.</w:t>
      </w:r>
    </w:p>
    <w:p w:rsidR="00276571" w:rsidRPr="00C335A4" w:rsidRDefault="005E0CB6" w:rsidP="008163D7">
      <w:pPr>
        <w:pStyle w:val="ListParagraph"/>
        <w:spacing w:after="0" w:line="240" w:lineRule="auto"/>
        <w:ind w:left="360"/>
        <w:jc w:val="both"/>
        <w:rPr>
          <w:rFonts w:ascii="Arial" w:hAnsi="Arial" w:cs="Arial"/>
          <w:b/>
          <w:color w:val="FF0000"/>
        </w:rPr>
      </w:pPr>
      <w:r>
        <w:rPr>
          <w:rFonts w:ascii="Arial" w:hAnsi="Arial" w:cs="Arial"/>
          <w:color w:val="FF0000"/>
        </w:rPr>
        <w:t xml:space="preserve"> </w:t>
      </w:r>
    </w:p>
    <w:p w:rsidR="00664DBF" w:rsidRPr="00C335A4" w:rsidRDefault="00664DBF" w:rsidP="008163D7">
      <w:pPr>
        <w:pStyle w:val="BodyText"/>
        <w:rPr>
          <w:rFonts w:ascii="Arial" w:hAnsi="Arial"/>
          <w:color w:val="FF0000"/>
        </w:rPr>
      </w:pPr>
    </w:p>
    <w:p w:rsidR="00664DBF" w:rsidRPr="00C335A4" w:rsidRDefault="00664DBF" w:rsidP="008163D7">
      <w:pPr>
        <w:spacing w:after="0" w:line="240" w:lineRule="auto"/>
        <w:rPr>
          <w:rFonts w:ascii="Arial" w:eastAsia="SimSun" w:hAnsi="Arial" w:cs="Arial"/>
          <w:b/>
          <w:color w:val="FF0000"/>
          <w:lang w:eastAsia="zh-CN"/>
        </w:rPr>
      </w:pPr>
    </w:p>
    <w:p w:rsidR="004649D2" w:rsidRPr="00FB18C3" w:rsidRDefault="00BA4451" w:rsidP="007B5205">
      <w:pPr>
        <w:pStyle w:val="ListParagraph"/>
        <w:numPr>
          <w:ilvl w:val="0"/>
          <w:numId w:val="7"/>
        </w:numPr>
        <w:spacing w:after="0" w:line="240" w:lineRule="auto"/>
        <w:ind w:left="538" w:hanging="357"/>
        <w:rPr>
          <w:rFonts w:ascii="Arial" w:eastAsia="SimSun" w:hAnsi="Arial" w:cs="Arial"/>
          <w:b/>
          <w:lang w:eastAsia="zh-CN"/>
        </w:rPr>
      </w:pPr>
      <w:r w:rsidRPr="00FB18C3">
        <w:rPr>
          <w:rFonts w:ascii="Arial" w:eastAsia="SimSun" w:hAnsi="Arial" w:cs="Arial"/>
          <w:b/>
          <w:lang w:eastAsia="zh-CN"/>
        </w:rPr>
        <w:t>SWFDDP achievements and gaps against the criteria for SWFDDP progressing to phase 4</w:t>
      </w:r>
    </w:p>
    <w:p w:rsidR="00405424" w:rsidRPr="00C335A4" w:rsidRDefault="00405424" w:rsidP="008163D7">
      <w:pPr>
        <w:spacing w:after="0" w:line="240" w:lineRule="auto"/>
        <w:contextualSpacing/>
        <w:rPr>
          <w:rFonts w:ascii="Arial" w:eastAsia="SimSun" w:hAnsi="Arial" w:cs="Arial"/>
          <w:bCs/>
          <w:color w:val="FF0000"/>
          <w:lang w:eastAsia="zh-CN"/>
        </w:rPr>
      </w:pPr>
    </w:p>
    <w:p w:rsidR="00583C40" w:rsidRDefault="00583C40" w:rsidP="008163D7">
      <w:pPr>
        <w:pStyle w:val="ListParagraph"/>
        <w:spacing w:after="0" w:line="240" w:lineRule="auto"/>
        <w:ind w:left="360"/>
        <w:jc w:val="both"/>
        <w:rPr>
          <w:rFonts w:ascii="Arial" w:hAnsi="Arial" w:cs="Arial"/>
        </w:rPr>
      </w:pPr>
    </w:p>
    <w:p w:rsidR="00583C40" w:rsidRPr="00B475C9" w:rsidRDefault="00446FF7" w:rsidP="008163D7">
      <w:pPr>
        <w:pStyle w:val="ListParagraph"/>
        <w:spacing w:after="0" w:line="240" w:lineRule="auto"/>
        <w:ind w:left="360"/>
        <w:jc w:val="both"/>
        <w:rPr>
          <w:rFonts w:ascii="Arial" w:hAnsi="Arial" w:cs="Arial"/>
          <w:b/>
        </w:rPr>
      </w:pPr>
      <w:r>
        <w:rPr>
          <w:rFonts w:ascii="Arial" w:hAnsi="Arial" w:cs="Arial"/>
          <w:b/>
        </w:rPr>
        <w:t>2</w:t>
      </w:r>
      <w:r w:rsidR="00583C40" w:rsidRPr="00B475C9">
        <w:rPr>
          <w:rFonts w:ascii="Arial" w:hAnsi="Arial" w:cs="Arial"/>
          <w:b/>
        </w:rPr>
        <w:t>.1 Appropriate non-TC warning system is implemented and operating smoothly</w:t>
      </w:r>
    </w:p>
    <w:p w:rsidR="00B475C9" w:rsidRDefault="00B475C9" w:rsidP="008163D7">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This first criterion requires NMHSs to demonstrate that their non-TC warning system is functioning smoothly. One aspect of quality management is to</w:t>
      </w:r>
      <w:r w:rsidR="0026500C">
        <w:rPr>
          <w:rFonts w:ascii="Arial" w:hAnsi="Arial" w:cs="Arial"/>
        </w:rPr>
        <w:t>:</w:t>
      </w:r>
      <w:r w:rsidRPr="009C70E3">
        <w:rPr>
          <w:rFonts w:ascii="Arial" w:hAnsi="Arial" w:cs="Arial"/>
        </w:rPr>
        <w:t xml:space="preserve"> ‘say what you do and do what you say’.</w:t>
      </w:r>
      <w:r w:rsidR="00F002C5">
        <w:rPr>
          <w:rFonts w:ascii="Arial" w:hAnsi="Arial" w:cs="Arial"/>
        </w:rPr>
        <w:t xml:space="preserve"> With this in mind, i</w:t>
      </w:r>
      <w:r w:rsidRPr="009C70E3">
        <w:rPr>
          <w:rFonts w:ascii="Arial" w:hAnsi="Arial" w:cs="Arial"/>
        </w:rPr>
        <w:t>t was deemed beneficial if each NMHS describe</w:t>
      </w:r>
      <w:r w:rsidR="00F002C5">
        <w:rPr>
          <w:rFonts w:ascii="Arial" w:hAnsi="Arial" w:cs="Arial"/>
        </w:rPr>
        <w:t>d</w:t>
      </w:r>
      <w:r w:rsidRPr="009C70E3">
        <w:rPr>
          <w:rFonts w:ascii="Arial" w:hAnsi="Arial" w:cs="Arial"/>
        </w:rPr>
        <w:t xml:space="preserve"> their non-TC warning system and a few of them did this.  NMHSs should also provide evidence of their warning program by forwarding the alerts, warnings or advisories to RSMC Wellington. The second aspect of this criterion is to show that the system is working smoothly. What is required here is evidence of the interactions with their DMCPAs. In a smoothly functioning system the DMCPA should acknowledge receipt and respond to warnings. Evidence of that response is required.</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F002C5" w:rsidP="009C70E3">
      <w:pPr>
        <w:pStyle w:val="ListParagraph"/>
        <w:spacing w:after="0" w:line="240" w:lineRule="auto"/>
        <w:ind w:left="360"/>
        <w:jc w:val="both"/>
        <w:rPr>
          <w:rFonts w:ascii="Arial" w:hAnsi="Arial" w:cs="Arial"/>
        </w:rPr>
      </w:pPr>
      <w:r>
        <w:rPr>
          <w:rFonts w:ascii="Arial" w:hAnsi="Arial" w:cs="Arial"/>
        </w:rPr>
        <w:t>I</w:t>
      </w:r>
      <w:r w:rsidR="009C70E3" w:rsidRPr="009C70E3">
        <w:rPr>
          <w:rFonts w:ascii="Arial" w:hAnsi="Arial" w:cs="Arial"/>
        </w:rPr>
        <w:t>n summary, the first aspect of this criterion is to inform RSMC Wellington of all non-TC warnings; the second aspect requires the NMHS to provide evidence of the interactions with the DMCPA. These aspects were achieved to varying degrees.</w:t>
      </w:r>
    </w:p>
    <w:p w:rsidR="009C70E3" w:rsidRPr="009C70E3" w:rsidRDefault="009C70E3" w:rsidP="009C70E3">
      <w:pPr>
        <w:pStyle w:val="ListParagraph"/>
        <w:spacing w:after="0" w:line="240" w:lineRule="auto"/>
        <w:ind w:left="360"/>
        <w:jc w:val="both"/>
        <w:rPr>
          <w:rFonts w:ascii="Arial" w:hAnsi="Arial" w:cs="Arial"/>
        </w:rPr>
      </w:pPr>
    </w:p>
    <w:p w:rsidR="009C70E3" w:rsidRDefault="009C70E3" w:rsidP="008163D7">
      <w:pPr>
        <w:pStyle w:val="ListParagraph"/>
        <w:spacing w:after="0" w:line="240" w:lineRule="auto"/>
        <w:ind w:left="360"/>
        <w:jc w:val="both"/>
        <w:rPr>
          <w:rFonts w:ascii="Arial" w:hAnsi="Arial" w:cs="Arial"/>
        </w:rPr>
      </w:pPr>
      <w:r w:rsidRPr="009C70E3">
        <w:rPr>
          <w:rFonts w:ascii="Arial" w:hAnsi="Arial" w:cs="Arial"/>
        </w:rPr>
        <w:t>Fiji issues warnings for: Niue; Kiribati; Cook Islands; and Tuvalu, so all were considered compliant when NMHS Fiji forwar</w:t>
      </w:r>
      <w:r w:rsidR="0026500C">
        <w:rPr>
          <w:rFonts w:ascii="Arial" w:hAnsi="Arial" w:cs="Arial"/>
        </w:rPr>
        <w:t>ded warnings to RSMC Wellington (see Figures 1 and 2).</w:t>
      </w:r>
    </w:p>
    <w:p w:rsidR="002D7E34" w:rsidRDefault="002D7E34" w:rsidP="0026500C">
      <w:pPr>
        <w:spacing w:after="0" w:line="240" w:lineRule="auto"/>
        <w:jc w:val="both"/>
        <w:rPr>
          <w:rFonts w:ascii="Arial" w:hAnsi="Arial" w:cs="Arial"/>
        </w:rPr>
      </w:pPr>
    </w:p>
    <w:p w:rsidR="0026500C" w:rsidRPr="0026500C" w:rsidRDefault="0026500C" w:rsidP="0026500C">
      <w:pPr>
        <w:spacing w:after="0" w:line="240" w:lineRule="auto"/>
        <w:jc w:val="both"/>
        <w:rPr>
          <w:rFonts w:ascii="Arial" w:hAnsi="Arial" w:cs="Arial"/>
        </w:rPr>
      </w:pPr>
    </w:p>
    <w:p w:rsidR="00B475C9" w:rsidRDefault="00EA6135" w:rsidP="008163D7">
      <w:pPr>
        <w:pStyle w:val="ListParagraph"/>
        <w:spacing w:after="0" w:line="240" w:lineRule="auto"/>
        <w:ind w:left="360"/>
        <w:jc w:val="both"/>
        <w:rPr>
          <w:rFonts w:ascii="Arial" w:hAnsi="Arial" w:cs="Arial"/>
        </w:rPr>
      </w:pPr>
      <w:r>
        <w:rPr>
          <w:noProof/>
          <w:lang w:val="en-NZ" w:eastAsia="en-NZ"/>
        </w:rPr>
        <w:drawing>
          <wp:inline distT="0" distB="0" distL="0" distR="0" wp14:anchorId="17606A00" wp14:editId="728AE0B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02C9" w:rsidRPr="0042287A" w:rsidRDefault="00F002C5" w:rsidP="0042287A">
      <w:pPr>
        <w:pStyle w:val="ListParagraph"/>
        <w:spacing w:after="0" w:line="240" w:lineRule="auto"/>
        <w:ind w:left="360"/>
        <w:jc w:val="both"/>
        <w:rPr>
          <w:rFonts w:ascii="Arial" w:hAnsi="Arial" w:cs="Arial"/>
          <w:i/>
          <w:color w:val="0070C0"/>
        </w:rPr>
      </w:pPr>
      <w:r>
        <w:rPr>
          <w:rFonts w:ascii="Arial" w:hAnsi="Arial" w:cs="Arial"/>
          <w:i/>
          <w:color w:val="0070C0"/>
        </w:rPr>
        <w:t>Figure 1</w:t>
      </w:r>
      <w:r w:rsidR="00A6291B" w:rsidRPr="00AB275A">
        <w:rPr>
          <w:rFonts w:ascii="Arial" w:hAnsi="Arial" w:cs="Arial"/>
          <w:i/>
          <w:color w:val="0070C0"/>
        </w:rPr>
        <w:t>: Summary of compliance from participating NMHSs with regard ‘</w:t>
      </w:r>
      <w:r w:rsidR="00F64CC3" w:rsidRPr="00AB275A">
        <w:rPr>
          <w:rFonts w:ascii="Arial" w:hAnsi="Arial" w:cs="Arial"/>
          <w:i/>
          <w:color w:val="0070C0"/>
        </w:rPr>
        <w:t xml:space="preserve">All NMHSs include RSMC Wellington on the distribution list for all alerts, warnings and advisories’ </w:t>
      </w:r>
      <w:r w:rsidR="00A6291B" w:rsidRPr="00AB275A">
        <w:rPr>
          <w:rFonts w:ascii="Arial" w:hAnsi="Arial" w:cs="Arial"/>
          <w:i/>
          <w:color w:val="0070C0"/>
        </w:rPr>
        <w:t>for Progress Reports No. 8 to 11.</w:t>
      </w:r>
    </w:p>
    <w:p w:rsidR="00F07EC4" w:rsidRDefault="00EA6135" w:rsidP="008163D7">
      <w:pPr>
        <w:pStyle w:val="ListParagraph"/>
        <w:spacing w:after="0" w:line="240" w:lineRule="auto"/>
        <w:ind w:left="360"/>
        <w:jc w:val="both"/>
        <w:rPr>
          <w:rFonts w:ascii="Arial" w:hAnsi="Arial" w:cs="Arial"/>
        </w:rPr>
      </w:pPr>
      <w:r>
        <w:rPr>
          <w:noProof/>
          <w:lang w:val="en-NZ" w:eastAsia="en-NZ"/>
        </w:rPr>
        <w:lastRenderedPageBreak/>
        <w:drawing>
          <wp:inline distT="0" distB="0" distL="0" distR="0" wp14:anchorId="2E1DC0E9" wp14:editId="7B0FCFDC">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75C9" w:rsidRPr="007B5205" w:rsidRDefault="00F002C5" w:rsidP="007B5205">
      <w:pPr>
        <w:pStyle w:val="ListParagraph"/>
        <w:spacing w:after="0" w:line="240" w:lineRule="auto"/>
        <w:ind w:left="360"/>
        <w:jc w:val="both"/>
        <w:rPr>
          <w:rFonts w:ascii="Arial" w:hAnsi="Arial" w:cs="Arial"/>
          <w:i/>
          <w:color w:val="0070C0"/>
        </w:rPr>
      </w:pPr>
      <w:r>
        <w:rPr>
          <w:rFonts w:ascii="Arial" w:hAnsi="Arial" w:cs="Arial"/>
          <w:i/>
          <w:color w:val="0070C0"/>
        </w:rPr>
        <w:t>Figure 2</w:t>
      </w:r>
      <w:r w:rsidR="00F64CC3" w:rsidRPr="00AB275A">
        <w:rPr>
          <w:rFonts w:ascii="Arial" w:hAnsi="Arial" w:cs="Arial"/>
          <w:i/>
          <w:color w:val="0070C0"/>
        </w:rPr>
        <w:t>: Summary of compliance from participating NMHSs with regard ‘All NMHSs in collaboration with DMCPAs provide feedback on the performance of the warning system in the country’s progress reports’ f</w:t>
      </w:r>
      <w:r w:rsidR="007B5205">
        <w:rPr>
          <w:rFonts w:ascii="Arial" w:hAnsi="Arial" w:cs="Arial"/>
          <w:i/>
          <w:color w:val="0070C0"/>
        </w:rPr>
        <w:t>or Progress Reports No. 8 to 11.</w:t>
      </w:r>
    </w:p>
    <w:p w:rsidR="00B475C9" w:rsidRDefault="00B475C9" w:rsidP="008163D7">
      <w:pPr>
        <w:pStyle w:val="ListParagraph"/>
        <w:spacing w:after="0" w:line="240" w:lineRule="auto"/>
        <w:ind w:left="360"/>
        <w:jc w:val="both"/>
        <w:rPr>
          <w:rFonts w:ascii="Arial" w:hAnsi="Arial" w:cs="Arial"/>
        </w:rPr>
      </w:pPr>
    </w:p>
    <w:p w:rsidR="00583C40" w:rsidRPr="00B475C9" w:rsidRDefault="00446FF7" w:rsidP="007870E2">
      <w:pPr>
        <w:pStyle w:val="ListParagraph"/>
        <w:pageBreakBefore/>
        <w:spacing w:after="0" w:line="240" w:lineRule="auto"/>
        <w:ind w:left="357"/>
        <w:jc w:val="both"/>
        <w:rPr>
          <w:rFonts w:ascii="Arial" w:hAnsi="Arial" w:cs="Arial"/>
          <w:b/>
        </w:rPr>
      </w:pPr>
      <w:r>
        <w:rPr>
          <w:rFonts w:ascii="Arial" w:hAnsi="Arial" w:cs="Arial"/>
          <w:b/>
        </w:rPr>
        <w:lastRenderedPageBreak/>
        <w:t>2</w:t>
      </w:r>
      <w:r w:rsidR="00583C40" w:rsidRPr="00B475C9">
        <w:rPr>
          <w:rFonts w:ascii="Arial" w:hAnsi="Arial" w:cs="Arial"/>
          <w:b/>
        </w:rPr>
        <w:t xml:space="preserve">.2 </w:t>
      </w:r>
      <w:r w:rsidR="00B475C9" w:rsidRPr="00B475C9">
        <w:rPr>
          <w:rFonts w:ascii="Arial" w:hAnsi="Arial" w:cs="Arial"/>
          <w:b/>
        </w:rPr>
        <w:t>Severe weather and wave forecasts &amp; warnings are verified</w:t>
      </w:r>
    </w:p>
    <w:p w:rsidR="00B475C9" w:rsidRDefault="00B475C9" w:rsidP="008163D7">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In reporting prior to Progress Report No. 8 the NMHSs were required to fill out an events table as part of Annex I. In the </w:t>
      </w:r>
      <w:r w:rsidR="00B63E4E">
        <w:rPr>
          <w:rFonts w:ascii="Arial" w:hAnsi="Arial" w:cs="Arial"/>
        </w:rPr>
        <w:t>Regional Subproject Implementation Plan (</w:t>
      </w:r>
      <w:r w:rsidRPr="009C70E3">
        <w:rPr>
          <w:rFonts w:ascii="Arial" w:hAnsi="Arial" w:cs="Arial"/>
        </w:rPr>
        <w:t>RSIP</w:t>
      </w:r>
      <w:r w:rsidR="00B63E4E">
        <w:rPr>
          <w:rFonts w:ascii="Arial" w:hAnsi="Arial" w:cs="Arial"/>
        </w:rPr>
        <w:t>)</w:t>
      </w:r>
      <w:r w:rsidRPr="009C70E3">
        <w:rPr>
          <w:rFonts w:ascii="Arial" w:hAnsi="Arial" w:cs="Arial"/>
        </w:rPr>
        <w:t xml:space="preserve">, this was changed to a separate verification spreadsheet that allowed the NMHSs to verify their forecasts and confirm what </w:t>
      </w:r>
      <w:r w:rsidR="00F002C5">
        <w:rPr>
          <w:rFonts w:ascii="Arial" w:hAnsi="Arial" w:cs="Arial"/>
        </w:rPr>
        <w:t>South Pacific Guidance (</w:t>
      </w:r>
      <w:r w:rsidRPr="009C70E3">
        <w:rPr>
          <w:rFonts w:ascii="Arial" w:hAnsi="Arial" w:cs="Arial"/>
        </w:rPr>
        <w:t>SPG</w:t>
      </w:r>
      <w:r w:rsidR="00F002C5">
        <w:rPr>
          <w:rFonts w:ascii="Arial" w:hAnsi="Arial" w:cs="Arial"/>
        </w:rPr>
        <w:t>)</w:t>
      </w:r>
      <w:r w:rsidRPr="009C70E3">
        <w:rPr>
          <w:rFonts w:ascii="Arial" w:hAnsi="Arial" w:cs="Arial"/>
        </w:rPr>
        <w:t xml:space="preserve"> charts were issued one to four days in advance.</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The four partially compliant NMHSs for </w:t>
      </w:r>
      <w:r w:rsidR="00F002C5">
        <w:rPr>
          <w:rFonts w:ascii="Arial" w:hAnsi="Arial" w:cs="Arial"/>
        </w:rPr>
        <w:t xml:space="preserve">Progress Report </w:t>
      </w:r>
      <w:r w:rsidRPr="009C70E3">
        <w:rPr>
          <w:rFonts w:ascii="Arial" w:hAnsi="Arial" w:cs="Arial"/>
        </w:rPr>
        <w:t xml:space="preserve">No. 8 </w:t>
      </w:r>
      <w:r w:rsidR="00F002C5">
        <w:rPr>
          <w:rFonts w:ascii="Arial" w:hAnsi="Arial" w:cs="Arial"/>
        </w:rPr>
        <w:t xml:space="preserve">(Figure 3) </w:t>
      </w:r>
      <w:r w:rsidRPr="009C70E3">
        <w:rPr>
          <w:rFonts w:ascii="Arial" w:hAnsi="Arial" w:cs="Arial"/>
        </w:rPr>
        <w:t xml:space="preserve">was a result of omission of correct negatives in the verification spreadsheet. This was rectified somewhat for </w:t>
      </w:r>
      <w:r w:rsidR="00F002C5">
        <w:rPr>
          <w:rFonts w:ascii="Arial" w:hAnsi="Arial" w:cs="Arial"/>
        </w:rPr>
        <w:t xml:space="preserve">Progress Report </w:t>
      </w:r>
      <w:r w:rsidRPr="009C70E3">
        <w:rPr>
          <w:rFonts w:ascii="Arial" w:hAnsi="Arial" w:cs="Arial"/>
        </w:rPr>
        <w:t xml:space="preserve">No. 9, where Solomon Islands, Tonga and Niue were fully compliant, and all but one NMHS submitted their verifications. </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At times the verification spreadsheet has been filled out on a m</w:t>
      </w:r>
      <w:r w:rsidR="00F002C5">
        <w:rPr>
          <w:rFonts w:ascii="Arial" w:hAnsi="Arial" w:cs="Arial"/>
        </w:rPr>
        <w:t>onthly basis. For ease, this would</w:t>
      </w:r>
      <w:r w:rsidRPr="009C70E3">
        <w:rPr>
          <w:rFonts w:ascii="Arial" w:hAnsi="Arial" w:cs="Arial"/>
        </w:rPr>
        <w:t xml:space="preserve"> be better done </w:t>
      </w:r>
      <w:r w:rsidR="00F002C5">
        <w:rPr>
          <w:rFonts w:ascii="Arial" w:hAnsi="Arial" w:cs="Arial"/>
        </w:rPr>
        <w:t>as one spreadsheet to cover</w:t>
      </w:r>
      <w:r w:rsidRPr="009C70E3">
        <w:rPr>
          <w:rFonts w:ascii="Arial" w:hAnsi="Arial" w:cs="Arial"/>
        </w:rPr>
        <w:t xml:space="preserve"> the 6-monthly reporting timeframe.  </w:t>
      </w:r>
    </w:p>
    <w:p w:rsidR="009C70E3" w:rsidRPr="009C70E3" w:rsidRDefault="009C70E3" w:rsidP="009C70E3">
      <w:pPr>
        <w:pStyle w:val="ListParagraph"/>
        <w:spacing w:after="0" w:line="240" w:lineRule="auto"/>
        <w:ind w:left="360"/>
        <w:jc w:val="both"/>
        <w:rPr>
          <w:rFonts w:ascii="Arial" w:hAnsi="Arial" w:cs="Arial"/>
        </w:rPr>
      </w:pPr>
    </w:p>
    <w:p w:rsidR="009C70E3" w:rsidRDefault="009C70E3" w:rsidP="009C70E3">
      <w:pPr>
        <w:pStyle w:val="ListParagraph"/>
        <w:spacing w:after="0" w:line="240" w:lineRule="auto"/>
        <w:ind w:left="360"/>
        <w:jc w:val="both"/>
        <w:rPr>
          <w:rFonts w:ascii="Arial" w:hAnsi="Arial" w:cs="Arial"/>
        </w:rPr>
      </w:pPr>
      <w:r w:rsidRPr="009C70E3">
        <w:rPr>
          <w:rFonts w:ascii="Arial" w:hAnsi="Arial" w:cs="Arial"/>
        </w:rPr>
        <w:t>Overall, each participating NMHS submitted at least one verification spreadsheet over the four Progress Reports.</w:t>
      </w:r>
    </w:p>
    <w:p w:rsidR="009C70E3" w:rsidRDefault="009C70E3" w:rsidP="009C70E3">
      <w:pPr>
        <w:pStyle w:val="ListParagraph"/>
        <w:spacing w:after="0" w:line="240" w:lineRule="auto"/>
        <w:ind w:left="360"/>
        <w:jc w:val="both"/>
        <w:rPr>
          <w:rFonts w:ascii="Arial" w:hAnsi="Arial" w:cs="Arial"/>
        </w:rPr>
      </w:pPr>
    </w:p>
    <w:p w:rsidR="00B475C9" w:rsidRDefault="00EA6135" w:rsidP="008163D7">
      <w:pPr>
        <w:pStyle w:val="ListParagraph"/>
        <w:spacing w:after="0" w:line="240" w:lineRule="auto"/>
        <w:ind w:left="360"/>
        <w:jc w:val="both"/>
        <w:rPr>
          <w:rFonts w:ascii="Arial" w:hAnsi="Arial" w:cs="Arial"/>
        </w:rPr>
      </w:pPr>
      <w:r>
        <w:rPr>
          <w:noProof/>
          <w:lang w:val="en-NZ" w:eastAsia="en-NZ"/>
        </w:rPr>
        <w:drawing>
          <wp:inline distT="0" distB="0" distL="0" distR="0" wp14:anchorId="52933363" wp14:editId="22D54753">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4CC3" w:rsidRPr="00AB275A" w:rsidRDefault="006F1258" w:rsidP="00F64CC3">
      <w:pPr>
        <w:pStyle w:val="ListParagraph"/>
        <w:spacing w:after="0" w:line="240" w:lineRule="auto"/>
        <w:ind w:left="360"/>
        <w:jc w:val="both"/>
        <w:rPr>
          <w:rFonts w:ascii="Arial" w:hAnsi="Arial" w:cs="Arial"/>
          <w:i/>
          <w:color w:val="0070C0"/>
        </w:rPr>
      </w:pPr>
      <w:r>
        <w:rPr>
          <w:rFonts w:ascii="Arial" w:hAnsi="Arial" w:cs="Arial"/>
          <w:i/>
          <w:color w:val="0070C0"/>
        </w:rPr>
        <w:t>Figure 3</w:t>
      </w:r>
      <w:r w:rsidR="00F64CC3" w:rsidRPr="00AB275A">
        <w:rPr>
          <w:rFonts w:ascii="Arial" w:hAnsi="Arial" w:cs="Arial"/>
          <w:i/>
          <w:color w:val="0070C0"/>
        </w:rPr>
        <w:t>: Summary of compliance from participating NMHSs with regard ‘All NMHSs submit verifications to RSMC Wellington with each progress report’ for Progress Reports No. 8 to 11.</w:t>
      </w:r>
    </w:p>
    <w:p w:rsidR="007602C9" w:rsidRDefault="007602C9" w:rsidP="00F64CC3">
      <w:pPr>
        <w:pStyle w:val="ListParagraph"/>
        <w:spacing w:after="0" w:line="240" w:lineRule="auto"/>
        <w:ind w:left="360"/>
        <w:jc w:val="both"/>
        <w:rPr>
          <w:rFonts w:ascii="Arial" w:hAnsi="Arial" w:cs="Arial"/>
        </w:rPr>
      </w:pPr>
    </w:p>
    <w:p w:rsidR="00B475C9" w:rsidRDefault="00B475C9" w:rsidP="008163D7">
      <w:pPr>
        <w:pStyle w:val="ListParagraph"/>
        <w:spacing w:after="0" w:line="240" w:lineRule="auto"/>
        <w:ind w:left="360"/>
        <w:jc w:val="both"/>
        <w:rPr>
          <w:rFonts w:ascii="Arial" w:hAnsi="Arial" w:cs="Arial"/>
        </w:rPr>
      </w:pPr>
    </w:p>
    <w:p w:rsidR="00B475C9" w:rsidRDefault="00B475C9" w:rsidP="008163D7">
      <w:pPr>
        <w:pStyle w:val="ListParagraph"/>
        <w:spacing w:after="0" w:line="240" w:lineRule="auto"/>
        <w:ind w:left="360"/>
        <w:jc w:val="both"/>
        <w:rPr>
          <w:rFonts w:ascii="Arial" w:hAnsi="Arial" w:cs="Arial"/>
        </w:rPr>
      </w:pPr>
    </w:p>
    <w:p w:rsidR="00B475C9" w:rsidRPr="00B475C9" w:rsidRDefault="00446FF7" w:rsidP="007B5205">
      <w:pPr>
        <w:pStyle w:val="ListParagraph"/>
        <w:pageBreakBefore/>
        <w:spacing w:after="0" w:line="240" w:lineRule="auto"/>
        <w:ind w:left="357"/>
        <w:jc w:val="both"/>
        <w:rPr>
          <w:rFonts w:ascii="Arial" w:hAnsi="Arial" w:cs="Arial"/>
          <w:b/>
        </w:rPr>
      </w:pPr>
      <w:r>
        <w:rPr>
          <w:rFonts w:ascii="Arial" w:hAnsi="Arial" w:cs="Arial"/>
          <w:b/>
        </w:rPr>
        <w:lastRenderedPageBreak/>
        <w:t>2</w:t>
      </w:r>
      <w:r w:rsidR="00B475C9" w:rsidRPr="00B475C9">
        <w:rPr>
          <w:rFonts w:ascii="Arial" w:hAnsi="Arial" w:cs="Arial"/>
          <w:b/>
        </w:rPr>
        <w:t>.3</w:t>
      </w:r>
      <w:r w:rsidR="00B475C9" w:rsidRPr="00B475C9">
        <w:rPr>
          <w:b/>
        </w:rPr>
        <w:t xml:space="preserve"> </w:t>
      </w:r>
      <w:r w:rsidR="00B475C9" w:rsidRPr="00B475C9">
        <w:rPr>
          <w:rFonts w:ascii="Arial" w:hAnsi="Arial" w:cs="Arial"/>
          <w:b/>
        </w:rPr>
        <w:t>All participating countries produce at least one case study per year</w:t>
      </w:r>
    </w:p>
    <w:p w:rsidR="00B475C9" w:rsidRDefault="00B475C9" w:rsidP="008163D7">
      <w:pPr>
        <w:pStyle w:val="ListParagraph"/>
        <w:spacing w:after="0" w:line="240" w:lineRule="auto"/>
        <w:ind w:left="360"/>
        <w:jc w:val="both"/>
        <w:rPr>
          <w:rFonts w:ascii="Arial" w:hAnsi="Arial" w:cs="Arial"/>
        </w:rPr>
      </w:pPr>
    </w:p>
    <w:p w:rsid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All participating countries are required to submit at least one case study per year. After the previous RSMT in </w:t>
      </w:r>
      <w:proofErr w:type="spellStart"/>
      <w:r w:rsidRPr="009C70E3">
        <w:rPr>
          <w:rFonts w:ascii="Arial" w:hAnsi="Arial" w:cs="Arial"/>
        </w:rPr>
        <w:t>Nadi</w:t>
      </w:r>
      <w:proofErr w:type="spellEnd"/>
      <w:r w:rsidRPr="009C70E3">
        <w:rPr>
          <w:rFonts w:ascii="Arial" w:hAnsi="Arial" w:cs="Arial"/>
        </w:rPr>
        <w:t>, August 2013, a case study guide and template were distributed to the participants. Over this evaluation period, four countries have produced and submitted seven case studies (Kiribati x 4; Samoa x 1; Solomon Islands x 1; and Tonga x 1), and none have been submitted since April 2015</w:t>
      </w:r>
      <w:r w:rsidR="006F1258">
        <w:rPr>
          <w:rFonts w:ascii="Arial" w:hAnsi="Arial" w:cs="Arial"/>
        </w:rPr>
        <w:t xml:space="preserve"> (see Figure 4)</w:t>
      </w:r>
      <w:r w:rsidRPr="009C70E3">
        <w:rPr>
          <w:rFonts w:ascii="Arial" w:hAnsi="Arial" w:cs="Arial"/>
        </w:rPr>
        <w:t>.</w:t>
      </w:r>
      <w:r w:rsidR="006A62F9">
        <w:rPr>
          <w:rFonts w:ascii="Arial" w:hAnsi="Arial" w:cs="Arial"/>
        </w:rPr>
        <w:t xml:space="preserve"> The case studies submitted were:</w:t>
      </w:r>
    </w:p>
    <w:p w:rsidR="006A62F9" w:rsidRDefault="006A62F9" w:rsidP="009C70E3">
      <w:pPr>
        <w:pStyle w:val="ListParagraph"/>
        <w:spacing w:after="0" w:line="240" w:lineRule="auto"/>
        <w:ind w:left="360"/>
        <w:jc w:val="both"/>
        <w:rPr>
          <w:rFonts w:ascii="Arial" w:hAnsi="Arial" w:cs="Arial"/>
        </w:rPr>
      </w:pPr>
    </w:p>
    <w:p w:rsidR="006A62F9" w:rsidRPr="006A62F9" w:rsidRDefault="006A62F9" w:rsidP="006A62F9">
      <w:pPr>
        <w:pStyle w:val="ListParagraph"/>
        <w:numPr>
          <w:ilvl w:val="0"/>
          <w:numId w:val="15"/>
        </w:numPr>
        <w:rPr>
          <w:rFonts w:ascii="Arial" w:hAnsi="Arial" w:cs="Arial"/>
        </w:rPr>
      </w:pPr>
      <w:r w:rsidRPr="006A62F9">
        <w:rPr>
          <w:rFonts w:ascii="Arial" w:hAnsi="Arial" w:cs="Arial"/>
        </w:rPr>
        <w:t>Tonga – Cold Front (Oct 2013)</w:t>
      </w:r>
      <w:r>
        <w:rPr>
          <w:rFonts w:ascii="Arial" w:hAnsi="Arial" w:cs="Arial"/>
        </w:rPr>
        <w:t>;</w:t>
      </w:r>
    </w:p>
    <w:p w:rsidR="006A62F9" w:rsidRPr="006A62F9" w:rsidRDefault="006A62F9" w:rsidP="006A62F9">
      <w:pPr>
        <w:pStyle w:val="ListParagraph"/>
        <w:numPr>
          <w:ilvl w:val="0"/>
          <w:numId w:val="15"/>
        </w:numPr>
        <w:rPr>
          <w:rFonts w:ascii="Arial" w:hAnsi="Arial" w:cs="Arial"/>
        </w:rPr>
      </w:pPr>
      <w:r w:rsidRPr="006A62F9">
        <w:rPr>
          <w:rFonts w:ascii="Arial" w:hAnsi="Arial" w:cs="Arial"/>
        </w:rPr>
        <w:t>Samoa – Heavy Rain (Jan 2014);</w:t>
      </w:r>
    </w:p>
    <w:p w:rsidR="006A62F9" w:rsidRPr="006A62F9" w:rsidRDefault="006A62F9" w:rsidP="006A62F9">
      <w:pPr>
        <w:pStyle w:val="ListParagraph"/>
        <w:numPr>
          <w:ilvl w:val="0"/>
          <w:numId w:val="15"/>
        </w:numPr>
        <w:rPr>
          <w:rFonts w:ascii="Arial" w:hAnsi="Arial" w:cs="Arial"/>
        </w:rPr>
      </w:pPr>
      <w:r w:rsidRPr="006A62F9">
        <w:rPr>
          <w:rFonts w:ascii="Arial" w:hAnsi="Arial" w:cs="Arial"/>
        </w:rPr>
        <w:t>Kiribati – Large Waves (Mar 2014);</w:t>
      </w:r>
    </w:p>
    <w:p w:rsidR="006A62F9" w:rsidRPr="006A62F9" w:rsidRDefault="006A62F9" w:rsidP="006A62F9">
      <w:pPr>
        <w:pStyle w:val="ListParagraph"/>
        <w:numPr>
          <w:ilvl w:val="0"/>
          <w:numId w:val="15"/>
        </w:numPr>
        <w:rPr>
          <w:rFonts w:ascii="Arial" w:hAnsi="Arial" w:cs="Arial"/>
        </w:rPr>
      </w:pPr>
      <w:r w:rsidRPr="006A62F9">
        <w:rPr>
          <w:rFonts w:ascii="Arial" w:hAnsi="Arial" w:cs="Arial"/>
        </w:rPr>
        <w:t xml:space="preserve">Solomon Islands – TC </w:t>
      </w:r>
      <w:proofErr w:type="spellStart"/>
      <w:r w:rsidRPr="006A62F9">
        <w:rPr>
          <w:rFonts w:ascii="Arial" w:hAnsi="Arial" w:cs="Arial"/>
        </w:rPr>
        <w:t>Ita</w:t>
      </w:r>
      <w:proofErr w:type="spellEnd"/>
      <w:r w:rsidRPr="006A62F9">
        <w:rPr>
          <w:rFonts w:ascii="Arial" w:hAnsi="Arial" w:cs="Arial"/>
        </w:rPr>
        <w:t xml:space="preserve"> (Mar/Apr 2014);</w:t>
      </w:r>
    </w:p>
    <w:p w:rsidR="006A62F9" w:rsidRPr="006A62F9" w:rsidRDefault="006A62F9" w:rsidP="006A62F9">
      <w:pPr>
        <w:pStyle w:val="ListParagraph"/>
        <w:numPr>
          <w:ilvl w:val="0"/>
          <w:numId w:val="15"/>
        </w:numPr>
        <w:rPr>
          <w:rFonts w:ascii="Arial" w:hAnsi="Arial" w:cs="Arial"/>
        </w:rPr>
      </w:pPr>
      <w:r w:rsidRPr="006A62F9">
        <w:rPr>
          <w:rFonts w:ascii="Arial" w:hAnsi="Arial" w:cs="Arial"/>
        </w:rPr>
        <w:t>Kiribati – Large Waves (Jan 2015);</w:t>
      </w:r>
    </w:p>
    <w:p w:rsidR="006A62F9" w:rsidRPr="006A62F9" w:rsidRDefault="006A62F9" w:rsidP="006A62F9">
      <w:pPr>
        <w:pStyle w:val="ListParagraph"/>
        <w:numPr>
          <w:ilvl w:val="0"/>
          <w:numId w:val="15"/>
        </w:numPr>
        <w:rPr>
          <w:rFonts w:ascii="Arial" w:hAnsi="Arial" w:cs="Arial"/>
        </w:rPr>
      </w:pPr>
      <w:r w:rsidRPr="006A62F9">
        <w:rPr>
          <w:rFonts w:ascii="Arial" w:hAnsi="Arial" w:cs="Arial"/>
        </w:rPr>
        <w:t>Kiribati – Strong Winds &amp; Large Waves (Feb 2015);</w:t>
      </w:r>
      <w:r>
        <w:rPr>
          <w:rFonts w:ascii="Arial" w:hAnsi="Arial" w:cs="Arial"/>
        </w:rPr>
        <w:t xml:space="preserve"> and</w:t>
      </w:r>
    </w:p>
    <w:p w:rsidR="006A62F9" w:rsidRDefault="006A62F9" w:rsidP="006A62F9">
      <w:pPr>
        <w:pStyle w:val="ListParagraph"/>
        <w:numPr>
          <w:ilvl w:val="0"/>
          <w:numId w:val="15"/>
        </w:numPr>
        <w:spacing w:after="0" w:line="240" w:lineRule="auto"/>
        <w:jc w:val="both"/>
        <w:rPr>
          <w:rFonts w:ascii="Arial" w:hAnsi="Arial" w:cs="Arial"/>
        </w:rPr>
      </w:pPr>
      <w:r>
        <w:rPr>
          <w:rFonts w:ascii="Arial" w:hAnsi="Arial" w:cs="Arial"/>
        </w:rPr>
        <w:t xml:space="preserve">Kiribati – TS </w:t>
      </w:r>
      <w:proofErr w:type="spellStart"/>
      <w:r>
        <w:rPr>
          <w:rFonts w:ascii="Arial" w:hAnsi="Arial" w:cs="Arial"/>
        </w:rPr>
        <w:t>Bavi</w:t>
      </w:r>
      <w:proofErr w:type="spellEnd"/>
      <w:r>
        <w:rPr>
          <w:rFonts w:ascii="Arial" w:hAnsi="Arial" w:cs="Arial"/>
        </w:rPr>
        <w:t xml:space="preserve"> and TC Pam (Mar 2015).</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Samoa’s case study was for heavy rain and flooding during January 2014; resulting from a slow moving tropical depression (TD07F) that was the pre-cursor to TC Ian. This was an excellent case study and is consistent with the case study format for the SWFDP. Along with the others, these </w:t>
      </w:r>
      <w:r w:rsidR="006A62F9">
        <w:rPr>
          <w:rFonts w:ascii="Arial" w:hAnsi="Arial" w:cs="Arial"/>
        </w:rPr>
        <w:t>are in the process of being put</w:t>
      </w:r>
      <w:r w:rsidRPr="009C70E3">
        <w:rPr>
          <w:rFonts w:ascii="Arial" w:hAnsi="Arial" w:cs="Arial"/>
        </w:rPr>
        <w:t xml:space="preserve"> on </w:t>
      </w:r>
      <w:proofErr w:type="spellStart"/>
      <w:r w:rsidRPr="009C70E3">
        <w:rPr>
          <w:rFonts w:ascii="Arial" w:hAnsi="Arial" w:cs="Arial"/>
        </w:rPr>
        <w:t>MetConnect</w:t>
      </w:r>
      <w:proofErr w:type="spellEnd"/>
      <w:r w:rsidRPr="009C70E3">
        <w:rPr>
          <w:rFonts w:ascii="Arial" w:hAnsi="Arial" w:cs="Arial"/>
        </w:rPr>
        <w:t xml:space="preserve"> Pacific.</w:t>
      </w:r>
    </w:p>
    <w:p w:rsidR="009C70E3" w:rsidRPr="009C70E3" w:rsidRDefault="009C70E3" w:rsidP="009C70E3">
      <w:pPr>
        <w:pStyle w:val="ListParagraph"/>
        <w:spacing w:after="0" w:line="240" w:lineRule="auto"/>
        <w:ind w:left="360"/>
        <w:jc w:val="both"/>
        <w:rPr>
          <w:rFonts w:ascii="Arial" w:hAnsi="Arial" w:cs="Arial"/>
        </w:rPr>
      </w:pPr>
    </w:p>
    <w:p w:rsid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On one occasion there was confusion over whether case studies had replaced the Annex Hs; Annex Hs should be completed in addition </w:t>
      </w:r>
      <w:r w:rsidR="006F1258">
        <w:rPr>
          <w:rFonts w:ascii="Arial" w:hAnsi="Arial" w:cs="Arial"/>
        </w:rPr>
        <w:t xml:space="preserve">to </w:t>
      </w:r>
      <w:r w:rsidRPr="009C70E3">
        <w:rPr>
          <w:rFonts w:ascii="Arial" w:hAnsi="Arial" w:cs="Arial"/>
        </w:rPr>
        <w:t>producing case studies.</w:t>
      </w:r>
    </w:p>
    <w:p w:rsidR="009C70E3" w:rsidRDefault="009C70E3" w:rsidP="008163D7">
      <w:pPr>
        <w:pStyle w:val="ListParagraph"/>
        <w:spacing w:after="0" w:line="240" w:lineRule="auto"/>
        <w:ind w:left="360"/>
        <w:jc w:val="both"/>
        <w:rPr>
          <w:rFonts w:ascii="Arial" w:hAnsi="Arial" w:cs="Arial"/>
        </w:rPr>
      </w:pPr>
    </w:p>
    <w:p w:rsidR="00B475C9" w:rsidRDefault="00EA6135" w:rsidP="008163D7">
      <w:pPr>
        <w:pStyle w:val="ListParagraph"/>
        <w:spacing w:after="0" w:line="240" w:lineRule="auto"/>
        <w:ind w:left="360"/>
        <w:jc w:val="both"/>
        <w:rPr>
          <w:rFonts w:ascii="Arial" w:hAnsi="Arial" w:cs="Arial"/>
        </w:rPr>
      </w:pPr>
      <w:r>
        <w:rPr>
          <w:noProof/>
          <w:lang w:val="en-NZ" w:eastAsia="en-NZ"/>
        </w:rPr>
        <w:drawing>
          <wp:inline distT="0" distB="0" distL="0" distR="0" wp14:anchorId="62693E2E" wp14:editId="1D7E7222">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75C9" w:rsidRPr="00AB275A" w:rsidRDefault="006F1258" w:rsidP="008163D7">
      <w:pPr>
        <w:pStyle w:val="ListParagraph"/>
        <w:spacing w:after="0" w:line="240" w:lineRule="auto"/>
        <w:ind w:left="360"/>
        <w:jc w:val="both"/>
        <w:rPr>
          <w:rFonts w:ascii="Arial" w:hAnsi="Arial" w:cs="Arial"/>
          <w:i/>
          <w:color w:val="0070C0"/>
        </w:rPr>
      </w:pPr>
      <w:r>
        <w:rPr>
          <w:rFonts w:ascii="Arial" w:hAnsi="Arial" w:cs="Arial"/>
          <w:i/>
          <w:color w:val="0070C0"/>
        </w:rPr>
        <w:t>Figure 4</w:t>
      </w:r>
      <w:r w:rsidR="00F64CC3" w:rsidRPr="00AB275A">
        <w:rPr>
          <w:rFonts w:ascii="Arial" w:hAnsi="Arial" w:cs="Arial"/>
          <w:i/>
          <w:color w:val="0070C0"/>
        </w:rPr>
        <w:t>: Summary of compliance from participating NMHSs with regard ‘All participating countries produce at least one case study per year, using the SWFDDP template or an equivalent template’ for Progress Reports No. 8 to 11.</w:t>
      </w:r>
    </w:p>
    <w:p w:rsidR="007602C9" w:rsidRDefault="007602C9" w:rsidP="008163D7">
      <w:pPr>
        <w:pStyle w:val="ListParagraph"/>
        <w:spacing w:after="0" w:line="240" w:lineRule="auto"/>
        <w:ind w:left="360"/>
        <w:jc w:val="both"/>
        <w:rPr>
          <w:rFonts w:ascii="Arial" w:hAnsi="Arial" w:cs="Arial"/>
        </w:rPr>
      </w:pPr>
    </w:p>
    <w:p w:rsidR="00E931B4" w:rsidRDefault="00E931B4" w:rsidP="008163D7">
      <w:pPr>
        <w:pStyle w:val="ListParagraph"/>
        <w:spacing w:after="0" w:line="240" w:lineRule="auto"/>
        <w:ind w:left="360"/>
        <w:jc w:val="both"/>
        <w:rPr>
          <w:rFonts w:ascii="Arial" w:hAnsi="Arial" w:cs="Arial"/>
        </w:rPr>
      </w:pPr>
    </w:p>
    <w:p w:rsidR="00B475C9" w:rsidRDefault="00B475C9" w:rsidP="008163D7">
      <w:pPr>
        <w:pStyle w:val="ListParagraph"/>
        <w:spacing w:after="0" w:line="240" w:lineRule="auto"/>
        <w:ind w:left="360"/>
        <w:jc w:val="both"/>
        <w:rPr>
          <w:rFonts w:ascii="Arial" w:hAnsi="Arial" w:cs="Arial"/>
        </w:rPr>
      </w:pPr>
    </w:p>
    <w:p w:rsidR="00B475C9" w:rsidRPr="00B475C9" w:rsidRDefault="00446FF7" w:rsidP="007870E2">
      <w:pPr>
        <w:pStyle w:val="ListParagraph"/>
        <w:pageBreakBefore/>
        <w:spacing w:after="0" w:line="240" w:lineRule="auto"/>
        <w:ind w:left="357"/>
        <w:jc w:val="both"/>
        <w:rPr>
          <w:rFonts w:ascii="Arial" w:hAnsi="Arial" w:cs="Arial"/>
          <w:b/>
        </w:rPr>
      </w:pPr>
      <w:r>
        <w:rPr>
          <w:rFonts w:ascii="Arial" w:hAnsi="Arial" w:cs="Arial"/>
          <w:b/>
        </w:rPr>
        <w:lastRenderedPageBreak/>
        <w:t>2</w:t>
      </w:r>
      <w:r w:rsidR="00B475C9" w:rsidRPr="00B475C9">
        <w:rPr>
          <w:rFonts w:ascii="Arial" w:hAnsi="Arial" w:cs="Arial"/>
          <w:b/>
        </w:rPr>
        <w:t>.4 All participating countries to complete all SWFDDP progress reports in full before the deadlines prescribed (six monthly</w:t>
      </w:r>
      <w:r w:rsidR="00E8781A">
        <w:rPr>
          <w:rFonts w:ascii="Arial" w:hAnsi="Arial" w:cs="Arial"/>
          <w:b/>
        </w:rPr>
        <w:t>;</w:t>
      </w:r>
      <w:r w:rsidR="00432165">
        <w:rPr>
          <w:rFonts w:ascii="Arial" w:hAnsi="Arial" w:cs="Arial"/>
          <w:b/>
        </w:rPr>
        <w:t xml:space="preserve"> in April and October</w:t>
      </w:r>
      <w:r w:rsidR="00B475C9" w:rsidRPr="00B475C9">
        <w:rPr>
          <w:rFonts w:ascii="Arial" w:hAnsi="Arial" w:cs="Arial"/>
          <w:b/>
        </w:rPr>
        <w:t>)</w:t>
      </w:r>
      <w:r w:rsidR="00037639">
        <w:rPr>
          <w:rFonts w:ascii="Arial" w:hAnsi="Arial" w:cs="Arial"/>
          <w:b/>
        </w:rPr>
        <w:t xml:space="preserve"> </w:t>
      </w:r>
    </w:p>
    <w:p w:rsidR="00B475C9" w:rsidRDefault="00B475C9" w:rsidP="008163D7">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Strict deadlines have been assigned for the submitting of the 6-monthly progress reports. At times this has been difficult to achieve due to recent severe weather within a country. For example, Progress Report No. 8 was late from the Solomon Islands, but this was unders</w:t>
      </w:r>
      <w:r w:rsidR="006F1258">
        <w:rPr>
          <w:rFonts w:ascii="Arial" w:hAnsi="Arial" w:cs="Arial"/>
        </w:rPr>
        <w:t>tandable giving the deadline (</w:t>
      </w:r>
      <w:r w:rsidRPr="009C70E3">
        <w:rPr>
          <w:rFonts w:ascii="Arial" w:hAnsi="Arial" w:cs="Arial"/>
        </w:rPr>
        <w:t>15 April 2014</w:t>
      </w:r>
      <w:r w:rsidR="006F1258">
        <w:rPr>
          <w:rFonts w:ascii="Arial" w:hAnsi="Arial" w:cs="Arial"/>
        </w:rPr>
        <w:t>)</w:t>
      </w:r>
      <w:r w:rsidRPr="009C70E3">
        <w:rPr>
          <w:rFonts w:ascii="Arial" w:hAnsi="Arial" w:cs="Arial"/>
        </w:rPr>
        <w:t xml:space="preserve"> was a few weeks after the heavy rain, land slips and flooding caused by the precursor depression to TC </w:t>
      </w:r>
      <w:proofErr w:type="spellStart"/>
      <w:r w:rsidRPr="009C70E3">
        <w:rPr>
          <w:rFonts w:ascii="Arial" w:hAnsi="Arial" w:cs="Arial"/>
        </w:rPr>
        <w:t>Ita</w:t>
      </w:r>
      <w:proofErr w:type="spellEnd"/>
      <w:r w:rsidRPr="009C70E3">
        <w:rPr>
          <w:rFonts w:ascii="Arial" w:hAnsi="Arial" w:cs="Arial"/>
        </w:rPr>
        <w:t xml:space="preserve">. </w:t>
      </w:r>
    </w:p>
    <w:p w:rsidR="009C70E3" w:rsidRPr="009C70E3" w:rsidRDefault="009C70E3" w:rsidP="009C70E3">
      <w:pPr>
        <w:pStyle w:val="ListParagraph"/>
        <w:spacing w:after="0" w:line="240" w:lineRule="auto"/>
        <w:ind w:left="360"/>
        <w:jc w:val="both"/>
        <w:rPr>
          <w:rFonts w:ascii="Arial" w:hAnsi="Arial" w:cs="Arial"/>
        </w:rPr>
      </w:pPr>
    </w:p>
    <w:p w:rsid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Progress Report No. 11 only saw the Solomon Islands, Kiribati and Niue submitting their reports on time </w:t>
      </w:r>
      <w:r w:rsidR="006F1258">
        <w:rPr>
          <w:rFonts w:ascii="Arial" w:hAnsi="Arial" w:cs="Arial"/>
        </w:rPr>
        <w:t xml:space="preserve">(see Figure 5) </w:t>
      </w:r>
      <w:r w:rsidRPr="009C70E3">
        <w:rPr>
          <w:rFonts w:ascii="Arial" w:hAnsi="Arial" w:cs="Arial"/>
        </w:rPr>
        <w:t>[further note: only Kiribati submitted their Progress Report No. 12 on time].</w:t>
      </w:r>
    </w:p>
    <w:p w:rsidR="009C70E3" w:rsidRDefault="009C70E3" w:rsidP="008163D7">
      <w:pPr>
        <w:pStyle w:val="ListParagraph"/>
        <w:spacing w:after="0" w:line="240" w:lineRule="auto"/>
        <w:ind w:left="360"/>
        <w:jc w:val="both"/>
        <w:rPr>
          <w:rFonts w:ascii="Arial" w:hAnsi="Arial" w:cs="Arial"/>
        </w:rPr>
      </w:pPr>
    </w:p>
    <w:p w:rsidR="00B475C9" w:rsidRDefault="00EA6135" w:rsidP="008163D7">
      <w:pPr>
        <w:pStyle w:val="ListParagraph"/>
        <w:spacing w:after="0" w:line="240" w:lineRule="auto"/>
        <w:ind w:left="360"/>
        <w:jc w:val="both"/>
        <w:rPr>
          <w:rFonts w:ascii="Arial" w:hAnsi="Arial" w:cs="Arial"/>
        </w:rPr>
      </w:pPr>
      <w:r>
        <w:rPr>
          <w:noProof/>
          <w:lang w:val="en-NZ" w:eastAsia="en-NZ"/>
        </w:rPr>
        <w:drawing>
          <wp:inline distT="0" distB="0" distL="0" distR="0" wp14:anchorId="4D603791" wp14:editId="6E2FC5B2">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75C9" w:rsidRPr="00AB275A" w:rsidRDefault="006F1258" w:rsidP="008163D7">
      <w:pPr>
        <w:pStyle w:val="ListParagraph"/>
        <w:spacing w:after="0" w:line="240" w:lineRule="auto"/>
        <w:ind w:left="360"/>
        <w:jc w:val="both"/>
        <w:rPr>
          <w:rFonts w:ascii="Arial" w:hAnsi="Arial" w:cs="Arial"/>
          <w:i/>
          <w:color w:val="0070C0"/>
        </w:rPr>
      </w:pPr>
      <w:r>
        <w:rPr>
          <w:rFonts w:ascii="Arial" w:hAnsi="Arial" w:cs="Arial"/>
          <w:i/>
          <w:color w:val="0070C0"/>
        </w:rPr>
        <w:t>Figure 5</w:t>
      </w:r>
      <w:r w:rsidR="00F64CC3" w:rsidRPr="00AB275A">
        <w:rPr>
          <w:rFonts w:ascii="Arial" w:hAnsi="Arial" w:cs="Arial"/>
          <w:i/>
          <w:color w:val="0070C0"/>
        </w:rPr>
        <w:t>: Summary of compliance from participating NMHSs with regard ‘All participating NMHSs to complete all SWFDDP progress reports in full before the deadlines prescribed’ for Progress Reports No. 8 to 11.</w:t>
      </w:r>
    </w:p>
    <w:p w:rsidR="007602C9" w:rsidRDefault="007602C9" w:rsidP="008163D7">
      <w:pPr>
        <w:pStyle w:val="ListParagraph"/>
        <w:spacing w:after="0" w:line="240" w:lineRule="auto"/>
        <w:ind w:left="360"/>
        <w:jc w:val="both"/>
        <w:rPr>
          <w:rFonts w:ascii="Arial" w:hAnsi="Arial" w:cs="Arial"/>
        </w:rPr>
      </w:pPr>
    </w:p>
    <w:p w:rsidR="007602C9" w:rsidRPr="00195B44" w:rsidRDefault="007602C9" w:rsidP="00195B44">
      <w:pPr>
        <w:spacing w:after="0" w:line="240" w:lineRule="auto"/>
        <w:jc w:val="both"/>
        <w:rPr>
          <w:rFonts w:ascii="Arial" w:hAnsi="Arial" w:cs="Arial"/>
        </w:rPr>
      </w:pPr>
    </w:p>
    <w:p w:rsidR="00B475C9" w:rsidRDefault="00B475C9" w:rsidP="008163D7">
      <w:pPr>
        <w:pStyle w:val="ListParagraph"/>
        <w:spacing w:after="0" w:line="240" w:lineRule="auto"/>
        <w:ind w:left="360"/>
        <w:jc w:val="both"/>
        <w:rPr>
          <w:rFonts w:ascii="Arial" w:hAnsi="Arial" w:cs="Arial"/>
        </w:rPr>
      </w:pPr>
    </w:p>
    <w:p w:rsidR="00B475C9" w:rsidRPr="00B475C9" w:rsidRDefault="00446FF7" w:rsidP="00B475C9">
      <w:pPr>
        <w:pStyle w:val="ListParagraph"/>
        <w:spacing w:after="0" w:line="240" w:lineRule="auto"/>
        <w:ind w:left="360"/>
        <w:jc w:val="both"/>
        <w:rPr>
          <w:rFonts w:ascii="Arial" w:hAnsi="Arial" w:cs="Arial"/>
          <w:b/>
        </w:rPr>
      </w:pPr>
      <w:r>
        <w:rPr>
          <w:rFonts w:ascii="Arial" w:hAnsi="Arial" w:cs="Arial"/>
          <w:b/>
        </w:rPr>
        <w:t>2</w:t>
      </w:r>
      <w:r w:rsidR="00B475C9" w:rsidRPr="00B475C9">
        <w:rPr>
          <w:rFonts w:ascii="Arial" w:hAnsi="Arial" w:cs="Arial"/>
          <w:b/>
        </w:rPr>
        <w:t>.5</w:t>
      </w:r>
      <w:r w:rsidR="00B475C9" w:rsidRPr="00B475C9">
        <w:rPr>
          <w:b/>
        </w:rPr>
        <w:t xml:space="preserve"> D</w:t>
      </w:r>
      <w:r w:rsidR="00B475C9" w:rsidRPr="00B475C9">
        <w:rPr>
          <w:rFonts w:ascii="Arial" w:hAnsi="Arial" w:cs="Arial"/>
          <w:b/>
        </w:rPr>
        <w:t>emonstrate on a continual basis that the relationships between NMHSs and Disaster</w:t>
      </w:r>
    </w:p>
    <w:p w:rsidR="00B475C9" w:rsidRPr="00B475C9" w:rsidRDefault="00B475C9" w:rsidP="00B475C9">
      <w:pPr>
        <w:pStyle w:val="ListParagraph"/>
        <w:spacing w:after="0" w:line="240" w:lineRule="auto"/>
        <w:ind w:left="360"/>
        <w:jc w:val="both"/>
        <w:rPr>
          <w:rFonts w:ascii="Arial" w:hAnsi="Arial" w:cs="Arial"/>
          <w:b/>
        </w:rPr>
      </w:pPr>
      <w:r w:rsidRPr="00B475C9">
        <w:rPr>
          <w:rFonts w:ascii="Arial" w:hAnsi="Arial" w:cs="Arial"/>
          <w:b/>
        </w:rPr>
        <w:t>Management and Civil Protection Authorities (DMCPAs), the media and the public are strong and healthy, with regular communications before, during and after severe weather events</w:t>
      </w:r>
    </w:p>
    <w:p w:rsidR="00B475C9" w:rsidRDefault="00B475C9" w:rsidP="008163D7">
      <w:pPr>
        <w:pStyle w:val="ListParagraph"/>
        <w:spacing w:after="0" w:line="240" w:lineRule="auto"/>
        <w:ind w:left="360"/>
        <w:jc w:val="both"/>
        <w:rPr>
          <w:rFonts w:ascii="Arial" w:hAnsi="Arial" w:cs="Arial"/>
          <w:color w:val="FF0000"/>
        </w:rPr>
      </w:pPr>
    </w:p>
    <w:p w:rsidR="009C70E3" w:rsidRPr="009C70E3" w:rsidRDefault="006F1258" w:rsidP="009C70E3">
      <w:pPr>
        <w:pStyle w:val="ListParagraph"/>
        <w:spacing w:after="0" w:line="240" w:lineRule="auto"/>
        <w:ind w:left="360"/>
        <w:jc w:val="both"/>
        <w:rPr>
          <w:rFonts w:ascii="Arial" w:hAnsi="Arial" w:cs="Arial"/>
        </w:rPr>
      </w:pPr>
      <w:r>
        <w:rPr>
          <w:rFonts w:ascii="Arial" w:hAnsi="Arial" w:cs="Arial"/>
        </w:rPr>
        <w:t>NMHSs were</w:t>
      </w:r>
      <w:r w:rsidR="009C70E3" w:rsidRPr="009C70E3">
        <w:rPr>
          <w:rFonts w:ascii="Arial" w:hAnsi="Arial" w:cs="Arial"/>
        </w:rPr>
        <w:t xml:space="preserve"> encouraged to provide evidence of their interactions with DMCPAs, the media and the public. This may be emails, newspaper clippings, telephone conversations, relevant workshops, disaster reports or other evidence. If multiple events take place over the reporting period, then as much evidence as possible should be submitted; on occasion, one event would be covered, but not the other two, or three, or more.</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Of note: Tonga provided a copy of the National Emergency Operations Management procedures which clearly indicates the relationship of the meteorological office with the DMCPA. Tonga also provided a screen shot of an email from the local Red Cross to a number of Tongan leaders regarding TD07F, the precursor to TC Ian; this was evidence of strong communication with the public.</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lastRenderedPageBreak/>
        <w:t>On several occasions, strong inter</w:t>
      </w:r>
      <w:r w:rsidR="006F1258">
        <w:rPr>
          <w:rFonts w:ascii="Arial" w:hAnsi="Arial" w:cs="Arial"/>
        </w:rPr>
        <w:t>actions were claimed between</w:t>
      </w:r>
      <w:r w:rsidRPr="009C70E3">
        <w:rPr>
          <w:rFonts w:ascii="Arial" w:hAnsi="Arial" w:cs="Arial"/>
        </w:rPr>
        <w:t xml:space="preserve"> meteorological office</w:t>
      </w:r>
      <w:r w:rsidR="006F1258">
        <w:rPr>
          <w:rFonts w:ascii="Arial" w:hAnsi="Arial" w:cs="Arial"/>
        </w:rPr>
        <w:t>s</w:t>
      </w:r>
      <w:r w:rsidRPr="009C70E3">
        <w:rPr>
          <w:rFonts w:ascii="Arial" w:hAnsi="Arial" w:cs="Arial"/>
        </w:rPr>
        <w:t xml:space="preserve"> and their respective disaster management office</w:t>
      </w:r>
      <w:r w:rsidR="006F1258">
        <w:rPr>
          <w:rFonts w:ascii="Arial" w:hAnsi="Arial" w:cs="Arial"/>
        </w:rPr>
        <w:t>s</w:t>
      </w:r>
      <w:r w:rsidRPr="009C70E3">
        <w:rPr>
          <w:rFonts w:ascii="Arial" w:hAnsi="Arial" w:cs="Arial"/>
        </w:rPr>
        <w:t>, but no evidence was presented.</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Lack of evidence was evident for Progress Report No. 11</w:t>
      </w:r>
      <w:r w:rsidR="006F1258">
        <w:rPr>
          <w:rFonts w:ascii="Arial" w:hAnsi="Arial" w:cs="Arial"/>
        </w:rPr>
        <w:t xml:space="preserve"> (see Figures 6, 7 and 8)</w:t>
      </w:r>
      <w:r w:rsidRPr="009C70E3">
        <w:rPr>
          <w:rFonts w:ascii="Arial" w:hAnsi="Arial" w:cs="Arial"/>
        </w:rPr>
        <w:t>.</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Discussions at the previous RSMT in </w:t>
      </w:r>
      <w:proofErr w:type="spellStart"/>
      <w:r w:rsidRPr="009C70E3">
        <w:rPr>
          <w:rFonts w:ascii="Arial" w:hAnsi="Arial" w:cs="Arial"/>
        </w:rPr>
        <w:t>Nadi</w:t>
      </w:r>
      <w:proofErr w:type="spellEnd"/>
      <w:r w:rsidRPr="009C70E3">
        <w:rPr>
          <w:rFonts w:ascii="Arial" w:hAnsi="Arial" w:cs="Arial"/>
        </w:rPr>
        <w:t xml:space="preserve"> (August 2013) suggested the interactions between NMHSs with DMCPAs, the media and the public were strong, but, in general, Progress Reports No. 8 – 11 provided a lack of evidence to support these interactions.</w:t>
      </w:r>
    </w:p>
    <w:p w:rsidR="009C70E3" w:rsidRPr="009C70E3" w:rsidRDefault="009C70E3" w:rsidP="009C70E3">
      <w:pPr>
        <w:pStyle w:val="ListParagraph"/>
        <w:spacing w:after="0" w:line="240" w:lineRule="auto"/>
        <w:ind w:left="360"/>
        <w:jc w:val="both"/>
        <w:rPr>
          <w:rFonts w:ascii="Arial" w:hAnsi="Arial" w:cs="Arial"/>
        </w:rPr>
      </w:pPr>
    </w:p>
    <w:p w:rsidR="009C70E3" w:rsidRPr="009C70E3" w:rsidRDefault="009C70E3" w:rsidP="009C70E3">
      <w:pPr>
        <w:pStyle w:val="ListParagraph"/>
        <w:spacing w:after="0" w:line="240" w:lineRule="auto"/>
        <w:ind w:left="360"/>
        <w:jc w:val="both"/>
        <w:rPr>
          <w:rFonts w:ascii="Arial" w:hAnsi="Arial" w:cs="Arial"/>
        </w:rPr>
      </w:pPr>
      <w:r w:rsidRPr="009C70E3">
        <w:rPr>
          <w:rFonts w:ascii="Arial" w:hAnsi="Arial" w:cs="Arial"/>
        </w:rPr>
        <w:t xml:space="preserve">Not </w:t>
      </w:r>
      <w:r w:rsidR="006F1258">
        <w:rPr>
          <w:rFonts w:ascii="Arial" w:hAnsi="Arial" w:cs="Arial"/>
        </w:rPr>
        <w:t>part of</w:t>
      </w:r>
      <w:r w:rsidRPr="009C70E3">
        <w:rPr>
          <w:rFonts w:ascii="Arial" w:hAnsi="Arial" w:cs="Arial"/>
        </w:rPr>
        <w:t xml:space="preserve"> the SWFDDP, but of note, was the FINPAC funded media </w:t>
      </w:r>
      <w:r w:rsidR="006A11E8">
        <w:rPr>
          <w:rFonts w:ascii="Arial" w:hAnsi="Arial" w:cs="Arial"/>
        </w:rPr>
        <w:t xml:space="preserve">in-country </w:t>
      </w:r>
      <w:r w:rsidRPr="009C70E3">
        <w:rPr>
          <w:rFonts w:ascii="Arial" w:hAnsi="Arial" w:cs="Arial"/>
        </w:rPr>
        <w:t xml:space="preserve">training provided </w:t>
      </w:r>
      <w:r w:rsidR="006A11E8">
        <w:rPr>
          <w:rFonts w:ascii="Arial" w:hAnsi="Arial" w:cs="Arial"/>
        </w:rPr>
        <w:t xml:space="preserve">to 14 different Pacific island countries </w:t>
      </w:r>
      <w:r w:rsidRPr="009C70E3">
        <w:rPr>
          <w:rFonts w:ascii="Arial" w:hAnsi="Arial" w:cs="Arial"/>
        </w:rPr>
        <w:t>during 2015 entitled, ‘The Role of the National Meteorological Services and the Media in Providing Correct, Timely and Meaningful Weather and Climate Information to the Community and all Users’. The three day training brought together members of the community, NGOs, NMHSs and other government ministries, with members of the media to help forge a way forward to ensure the meteorological information shared is</w:t>
      </w:r>
      <w:r w:rsidR="006A11E8">
        <w:rPr>
          <w:rFonts w:ascii="Arial" w:hAnsi="Arial" w:cs="Arial"/>
        </w:rPr>
        <w:t xml:space="preserve"> understood by all communities. </w:t>
      </w:r>
      <w:r w:rsidRPr="009C70E3">
        <w:rPr>
          <w:rFonts w:ascii="Arial" w:hAnsi="Arial" w:cs="Arial"/>
        </w:rPr>
        <w:t>(FINPAC is the Finland-Pacific project on ‘reduced vulnerability of Pacific Island communities’ livelihoods to the effects of climate change’ that is being implemented by the Secretariat of the Pacific Regional Environment Programme (SPREP) and funded by the Government of Finland).</w:t>
      </w:r>
    </w:p>
    <w:p w:rsidR="009C70E3" w:rsidRPr="00C335A4" w:rsidRDefault="009C70E3" w:rsidP="008163D7">
      <w:pPr>
        <w:pStyle w:val="ListParagraph"/>
        <w:spacing w:after="0" w:line="240" w:lineRule="auto"/>
        <w:ind w:left="360"/>
        <w:jc w:val="both"/>
        <w:rPr>
          <w:rFonts w:ascii="Arial" w:hAnsi="Arial" w:cs="Arial"/>
          <w:color w:val="FF0000"/>
        </w:rPr>
      </w:pPr>
    </w:p>
    <w:p w:rsidR="00664DBF" w:rsidRDefault="00EA6135" w:rsidP="008163D7">
      <w:pPr>
        <w:spacing w:after="0" w:line="240" w:lineRule="auto"/>
        <w:contextualSpacing/>
        <w:rPr>
          <w:rFonts w:ascii="Arial" w:eastAsia="SimSun" w:hAnsi="Arial" w:cs="Arial"/>
          <w:bCs/>
          <w:color w:val="FF0000"/>
          <w:lang w:eastAsia="zh-CN"/>
        </w:rPr>
      </w:pPr>
      <w:r>
        <w:rPr>
          <w:noProof/>
          <w:lang w:val="en-NZ" w:eastAsia="en-NZ"/>
        </w:rPr>
        <w:drawing>
          <wp:inline distT="0" distB="0" distL="0" distR="0" wp14:anchorId="2595004A" wp14:editId="7E81340A">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4CC3" w:rsidRPr="00AB275A" w:rsidRDefault="00EC1545" w:rsidP="008163D7">
      <w:pPr>
        <w:spacing w:after="0" w:line="240" w:lineRule="auto"/>
        <w:contextualSpacing/>
        <w:rPr>
          <w:rFonts w:ascii="Arial" w:eastAsia="SimSun" w:hAnsi="Arial" w:cs="Arial"/>
          <w:bCs/>
          <w:i/>
          <w:color w:val="0070C0"/>
          <w:lang w:eastAsia="zh-CN"/>
        </w:rPr>
      </w:pPr>
      <w:r>
        <w:rPr>
          <w:rFonts w:ascii="Arial" w:eastAsia="SimSun" w:hAnsi="Arial" w:cs="Arial"/>
          <w:bCs/>
          <w:i/>
          <w:color w:val="0070C0"/>
          <w:lang w:eastAsia="zh-CN"/>
        </w:rPr>
        <w:t>Figure 6</w:t>
      </w:r>
      <w:r w:rsidR="00F64CC3" w:rsidRPr="00AB275A">
        <w:rPr>
          <w:rFonts w:ascii="Arial" w:eastAsia="SimSun" w:hAnsi="Arial" w:cs="Arial"/>
          <w:bCs/>
          <w:i/>
          <w:color w:val="0070C0"/>
          <w:lang w:eastAsia="zh-CN"/>
        </w:rPr>
        <w:t xml:space="preserve">: Summary of compliance from participating NMHSs with regard ‘Demonstrate on a continuing basis that the relationships between NMHSs and other </w:t>
      </w:r>
      <w:r w:rsidR="00F64CC3" w:rsidRPr="00AB275A">
        <w:rPr>
          <w:rFonts w:ascii="Arial" w:eastAsia="SimSun" w:hAnsi="Arial" w:cs="Arial"/>
          <w:b/>
          <w:bCs/>
          <w:i/>
          <w:color w:val="0070C0"/>
          <w:lang w:eastAsia="zh-CN"/>
        </w:rPr>
        <w:t>DM</w:t>
      </w:r>
      <w:r w:rsidR="00001714" w:rsidRPr="00AB275A">
        <w:rPr>
          <w:rFonts w:ascii="Arial" w:eastAsia="SimSun" w:hAnsi="Arial" w:cs="Arial"/>
          <w:b/>
          <w:bCs/>
          <w:i/>
          <w:color w:val="0070C0"/>
          <w:lang w:eastAsia="zh-CN"/>
        </w:rPr>
        <w:t>CPAs</w:t>
      </w:r>
      <w:r w:rsidR="00001714" w:rsidRPr="00AB275A">
        <w:rPr>
          <w:rFonts w:ascii="Arial" w:eastAsia="SimSun" w:hAnsi="Arial" w:cs="Arial"/>
          <w:bCs/>
          <w:i/>
          <w:color w:val="0070C0"/>
          <w:lang w:eastAsia="zh-CN"/>
        </w:rPr>
        <w:t xml:space="preserve"> </w:t>
      </w:r>
      <w:r w:rsidR="00F64CC3" w:rsidRPr="00AB275A">
        <w:rPr>
          <w:rFonts w:ascii="Arial" w:eastAsia="SimSun" w:hAnsi="Arial" w:cs="Arial"/>
          <w:bCs/>
          <w:i/>
          <w:color w:val="0070C0"/>
          <w:lang w:eastAsia="zh-CN"/>
        </w:rPr>
        <w:t>are strong and healthy, with regular communications before, during and after severe weather events’ for Progress Reports No. 8 to 11.</w:t>
      </w:r>
    </w:p>
    <w:p w:rsidR="00F64CC3" w:rsidRDefault="00F64CC3" w:rsidP="008163D7">
      <w:pPr>
        <w:spacing w:after="0" w:line="240" w:lineRule="auto"/>
        <w:contextualSpacing/>
        <w:rPr>
          <w:rFonts w:ascii="Arial" w:eastAsia="SimSun" w:hAnsi="Arial" w:cs="Arial"/>
          <w:bCs/>
          <w:color w:val="FF0000"/>
          <w:lang w:eastAsia="zh-CN"/>
        </w:rPr>
      </w:pPr>
    </w:p>
    <w:p w:rsidR="00F64CC3" w:rsidRDefault="00F64CC3" w:rsidP="008163D7">
      <w:pPr>
        <w:spacing w:after="0" w:line="240" w:lineRule="auto"/>
        <w:contextualSpacing/>
        <w:rPr>
          <w:rFonts w:ascii="Arial" w:eastAsia="SimSun" w:hAnsi="Arial" w:cs="Arial"/>
          <w:bCs/>
          <w:color w:val="FF0000"/>
          <w:lang w:eastAsia="zh-CN"/>
        </w:rPr>
      </w:pPr>
    </w:p>
    <w:p w:rsidR="00F07EC4" w:rsidRDefault="00F07EC4" w:rsidP="008163D7">
      <w:pPr>
        <w:spacing w:after="0" w:line="240" w:lineRule="auto"/>
        <w:contextualSpacing/>
        <w:rPr>
          <w:rFonts w:ascii="Arial" w:eastAsia="SimSun" w:hAnsi="Arial" w:cs="Arial"/>
          <w:bCs/>
          <w:color w:val="FF0000"/>
          <w:lang w:eastAsia="zh-CN"/>
        </w:rPr>
      </w:pPr>
    </w:p>
    <w:p w:rsidR="00F07EC4" w:rsidRDefault="00EA6135" w:rsidP="008163D7">
      <w:pPr>
        <w:spacing w:after="0" w:line="240" w:lineRule="auto"/>
        <w:contextualSpacing/>
        <w:rPr>
          <w:rFonts w:ascii="Arial" w:eastAsia="SimSun" w:hAnsi="Arial" w:cs="Arial"/>
          <w:bCs/>
          <w:color w:val="FF0000"/>
          <w:lang w:eastAsia="zh-CN"/>
        </w:rPr>
      </w:pPr>
      <w:r>
        <w:rPr>
          <w:noProof/>
          <w:lang w:val="en-NZ" w:eastAsia="en-NZ"/>
        </w:rPr>
        <w:lastRenderedPageBreak/>
        <w:drawing>
          <wp:inline distT="0" distB="0" distL="0" distR="0" wp14:anchorId="06A85A93" wp14:editId="478A769C">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4CC3" w:rsidRPr="00AB275A" w:rsidRDefault="00EC1545" w:rsidP="008163D7">
      <w:pPr>
        <w:spacing w:after="0" w:line="240" w:lineRule="auto"/>
        <w:contextualSpacing/>
        <w:rPr>
          <w:rFonts w:ascii="Arial" w:eastAsia="SimSun" w:hAnsi="Arial" w:cs="Arial"/>
          <w:bCs/>
          <w:i/>
          <w:color w:val="0070C0"/>
          <w:lang w:eastAsia="zh-CN"/>
        </w:rPr>
      </w:pPr>
      <w:r>
        <w:rPr>
          <w:rFonts w:ascii="Arial" w:eastAsia="SimSun" w:hAnsi="Arial" w:cs="Arial"/>
          <w:bCs/>
          <w:i/>
          <w:color w:val="0070C0"/>
          <w:lang w:eastAsia="zh-CN"/>
        </w:rPr>
        <w:t>Figure 7</w:t>
      </w:r>
      <w:r w:rsidR="00F64CC3" w:rsidRPr="00AB275A">
        <w:rPr>
          <w:rFonts w:ascii="Arial" w:eastAsia="SimSun" w:hAnsi="Arial" w:cs="Arial"/>
          <w:bCs/>
          <w:i/>
          <w:color w:val="0070C0"/>
          <w:lang w:eastAsia="zh-CN"/>
        </w:rPr>
        <w:t xml:space="preserve">: Summary of compliance from participating NMHSs with regard ‘Demonstrate on a continuing basis that the relationships between NMHSs and the </w:t>
      </w:r>
      <w:r w:rsidR="00F64CC3" w:rsidRPr="00AB275A">
        <w:rPr>
          <w:rFonts w:ascii="Arial" w:eastAsia="SimSun" w:hAnsi="Arial" w:cs="Arial"/>
          <w:b/>
          <w:bCs/>
          <w:i/>
          <w:color w:val="0070C0"/>
          <w:lang w:eastAsia="zh-CN"/>
        </w:rPr>
        <w:t>media</w:t>
      </w:r>
      <w:r w:rsidR="00F64CC3" w:rsidRPr="00AB275A">
        <w:rPr>
          <w:rFonts w:ascii="Arial" w:eastAsia="SimSun" w:hAnsi="Arial" w:cs="Arial"/>
          <w:bCs/>
          <w:i/>
          <w:color w:val="0070C0"/>
          <w:lang w:eastAsia="zh-CN"/>
        </w:rPr>
        <w:t xml:space="preserve"> are strong and healthy, with regular communications before, during and after severe weather events’ for Progress Reports No. 8 to 11.</w:t>
      </w:r>
    </w:p>
    <w:p w:rsidR="00F64CC3" w:rsidRDefault="00F64CC3" w:rsidP="008163D7">
      <w:pPr>
        <w:spacing w:after="0" w:line="240" w:lineRule="auto"/>
        <w:contextualSpacing/>
        <w:rPr>
          <w:rFonts w:ascii="Arial" w:eastAsia="SimSun" w:hAnsi="Arial" w:cs="Arial"/>
          <w:bCs/>
          <w:color w:val="FF0000"/>
          <w:lang w:eastAsia="zh-CN"/>
        </w:rPr>
      </w:pPr>
    </w:p>
    <w:p w:rsidR="00F64CC3" w:rsidRDefault="00F64CC3" w:rsidP="008163D7">
      <w:pPr>
        <w:spacing w:after="0" w:line="240" w:lineRule="auto"/>
        <w:contextualSpacing/>
        <w:rPr>
          <w:rFonts w:ascii="Arial" w:eastAsia="SimSun" w:hAnsi="Arial" w:cs="Arial"/>
          <w:bCs/>
          <w:color w:val="FF0000"/>
          <w:lang w:eastAsia="zh-CN"/>
        </w:rPr>
      </w:pPr>
    </w:p>
    <w:p w:rsidR="00F64CC3" w:rsidRDefault="00F64CC3" w:rsidP="008163D7">
      <w:pPr>
        <w:spacing w:after="0" w:line="240" w:lineRule="auto"/>
        <w:contextualSpacing/>
        <w:rPr>
          <w:rFonts w:ascii="Arial" w:eastAsia="SimSun" w:hAnsi="Arial" w:cs="Arial"/>
          <w:bCs/>
          <w:color w:val="FF0000"/>
          <w:lang w:eastAsia="zh-CN"/>
        </w:rPr>
      </w:pPr>
    </w:p>
    <w:p w:rsidR="00F64CC3" w:rsidRDefault="00F64CC3" w:rsidP="008163D7">
      <w:pPr>
        <w:spacing w:after="0" w:line="240" w:lineRule="auto"/>
        <w:contextualSpacing/>
        <w:rPr>
          <w:rFonts w:ascii="Arial" w:eastAsia="SimSun" w:hAnsi="Arial" w:cs="Arial"/>
          <w:bCs/>
          <w:color w:val="FF0000"/>
          <w:lang w:eastAsia="zh-CN"/>
        </w:rPr>
      </w:pPr>
    </w:p>
    <w:p w:rsidR="00F07EC4" w:rsidRDefault="00F07EC4" w:rsidP="008163D7">
      <w:pPr>
        <w:spacing w:after="0" w:line="240" w:lineRule="auto"/>
        <w:contextualSpacing/>
        <w:rPr>
          <w:rFonts w:ascii="Arial" w:eastAsia="SimSun" w:hAnsi="Arial" w:cs="Arial"/>
          <w:bCs/>
          <w:color w:val="FF0000"/>
          <w:lang w:eastAsia="zh-CN"/>
        </w:rPr>
      </w:pPr>
    </w:p>
    <w:p w:rsidR="00F07EC4" w:rsidRDefault="00EA6135" w:rsidP="008163D7">
      <w:pPr>
        <w:spacing w:after="0" w:line="240" w:lineRule="auto"/>
        <w:contextualSpacing/>
        <w:rPr>
          <w:rFonts w:ascii="Arial" w:eastAsia="SimSun" w:hAnsi="Arial" w:cs="Arial"/>
          <w:bCs/>
          <w:color w:val="FF0000"/>
          <w:lang w:eastAsia="zh-CN"/>
        </w:rPr>
      </w:pPr>
      <w:r>
        <w:rPr>
          <w:noProof/>
          <w:lang w:val="en-NZ" w:eastAsia="en-NZ"/>
        </w:rPr>
        <w:drawing>
          <wp:inline distT="0" distB="0" distL="0" distR="0" wp14:anchorId="651F8ECD" wp14:editId="16F2E2B1">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75C9" w:rsidRPr="00AB275A" w:rsidRDefault="00EC1545" w:rsidP="008163D7">
      <w:pPr>
        <w:spacing w:after="0" w:line="240" w:lineRule="auto"/>
        <w:contextualSpacing/>
        <w:rPr>
          <w:rFonts w:ascii="Arial" w:eastAsia="SimSun" w:hAnsi="Arial" w:cs="Arial"/>
          <w:bCs/>
          <w:i/>
          <w:color w:val="0070C0"/>
          <w:lang w:eastAsia="zh-CN"/>
        </w:rPr>
      </w:pPr>
      <w:r>
        <w:rPr>
          <w:rFonts w:ascii="Arial" w:eastAsia="SimSun" w:hAnsi="Arial" w:cs="Arial"/>
          <w:bCs/>
          <w:i/>
          <w:color w:val="0070C0"/>
          <w:lang w:eastAsia="zh-CN"/>
        </w:rPr>
        <w:t>Figure 8</w:t>
      </w:r>
      <w:r w:rsidR="00F64CC3" w:rsidRPr="00AB275A">
        <w:rPr>
          <w:rFonts w:ascii="Arial" w:eastAsia="SimSun" w:hAnsi="Arial" w:cs="Arial"/>
          <w:bCs/>
          <w:i/>
          <w:color w:val="0070C0"/>
          <w:lang w:eastAsia="zh-CN"/>
        </w:rPr>
        <w:t xml:space="preserve">: Summary of compliance from participating NMHSs with regard ‘Demonstrate on a continuing basis that the relationships between NMHSs and the </w:t>
      </w:r>
      <w:r w:rsidR="00F64CC3" w:rsidRPr="00AB275A">
        <w:rPr>
          <w:rFonts w:ascii="Arial" w:eastAsia="SimSun" w:hAnsi="Arial" w:cs="Arial"/>
          <w:b/>
          <w:bCs/>
          <w:i/>
          <w:color w:val="0070C0"/>
          <w:lang w:eastAsia="zh-CN"/>
        </w:rPr>
        <w:t>public</w:t>
      </w:r>
      <w:r w:rsidR="00F64CC3" w:rsidRPr="00AB275A">
        <w:rPr>
          <w:rFonts w:ascii="Arial" w:eastAsia="SimSun" w:hAnsi="Arial" w:cs="Arial"/>
          <w:bCs/>
          <w:i/>
          <w:color w:val="0070C0"/>
          <w:lang w:eastAsia="zh-CN"/>
        </w:rPr>
        <w:t xml:space="preserve"> are strong and healthy, with regular communications before, during and after severe weather events’ for Progress Reports No. 8 to 11.</w:t>
      </w:r>
    </w:p>
    <w:p w:rsidR="00B475C9" w:rsidRPr="00C335A4" w:rsidRDefault="00B475C9" w:rsidP="008163D7">
      <w:pPr>
        <w:spacing w:after="0" w:line="240" w:lineRule="auto"/>
        <w:contextualSpacing/>
        <w:rPr>
          <w:rFonts w:ascii="Arial" w:eastAsia="SimSun" w:hAnsi="Arial" w:cs="Arial"/>
          <w:bCs/>
          <w:color w:val="FF0000"/>
          <w:lang w:eastAsia="zh-CN"/>
        </w:rPr>
      </w:pPr>
    </w:p>
    <w:p w:rsidR="008163D7" w:rsidRPr="00C335A4" w:rsidRDefault="008163D7" w:rsidP="008163D7">
      <w:pPr>
        <w:spacing w:after="0" w:line="240" w:lineRule="auto"/>
        <w:contextualSpacing/>
        <w:rPr>
          <w:rFonts w:ascii="Arial" w:eastAsia="SimSun" w:hAnsi="Arial" w:cs="Arial"/>
          <w:bCs/>
          <w:color w:val="FF0000"/>
          <w:lang w:eastAsia="zh-CN"/>
        </w:rPr>
      </w:pPr>
    </w:p>
    <w:p w:rsidR="00405424" w:rsidRPr="00EA6135" w:rsidRDefault="00EA6135" w:rsidP="007870E2">
      <w:pPr>
        <w:pageBreakBefore/>
        <w:numPr>
          <w:ilvl w:val="0"/>
          <w:numId w:val="7"/>
        </w:numPr>
        <w:spacing w:after="0" w:line="240" w:lineRule="auto"/>
        <w:ind w:left="714" w:hanging="357"/>
        <w:rPr>
          <w:rFonts w:ascii="Arial" w:eastAsia="SimSun" w:hAnsi="Arial" w:cs="Arial"/>
          <w:b/>
          <w:lang w:eastAsia="zh-CN"/>
        </w:rPr>
      </w:pPr>
      <w:r w:rsidRPr="00EA6135">
        <w:rPr>
          <w:rFonts w:ascii="Arial" w:eastAsia="SimSun" w:hAnsi="Arial" w:cs="Arial"/>
          <w:b/>
          <w:lang w:eastAsia="zh-CN"/>
        </w:rPr>
        <w:lastRenderedPageBreak/>
        <w:t>SUMMARY</w:t>
      </w:r>
    </w:p>
    <w:p w:rsidR="00405424" w:rsidRPr="00C335A4" w:rsidRDefault="00405424" w:rsidP="008163D7">
      <w:pPr>
        <w:spacing w:after="0" w:line="240" w:lineRule="auto"/>
        <w:rPr>
          <w:rFonts w:ascii="Arial" w:eastAsia="SimSun" w:hAnsi="Arial" w:cs="Arial"/>
          <w:color w:val="FF0000"/>
          <w:lang w:eastAsia="zh-CN"/>
        </w:rPr>
      </w:pPr>
    </w:p>
    <w:p w:rsidR="008163D7" w:rsidRPr="00EA6135" w:rsidRDefault="00EA6135" w:rsidP="008163D7">
      <w:pPr>
        <w:pStyle w:val="ListParagraph"/>
        <w:spacing w:after="0" w:line="240" w:lineRule="auto"/>
        <w:ind w:left="360"/>
        <w:jc w:val="both"/>
        <w:rPr>
          <w:rFonts w:ascii="Arial" w:hAnsi="Arial" w:cs="Arial"/>
        </w:rPr>
      </w:pPr>
      <w:r>
        <w:rPr>
          <w:rFonts w:ascii="Arial" w:hAnsi="Arial" w:cs="Arial"/>
        </w:rPr>
        <w:t>Figure 9</w:t>
      </w:r>
      <w:r w:rsidRPr="00EA6135">
        <w:rPr>
          <w:rFonts w:ascii="Arial" w:hAnsi="Arial" w:cs="Arial"/>
        </w:rPr>
        <w:t xml:space="preserve"> illustrate</w:t>
      </w:r>
      <w:r>
        <w:rPr>
          <w:rFonts w:ascii="Arial" w:hAnsi="Arial" w:cs="Arial"/>
        </w:rPr>
        <w:t>s</w:t>
      </w:r>
      <w:r w:rsidRPr="00EA6135">
        <w:rPr>
          <w:rFonts w:ascii="Arial" w:hAnsi="Arial" w:cs="Arial"/>
        </w:rPr>
        <w:t xml:space="preserve"> the number of fully compliant NMHSs for each of the criteria set at the previous RSMT in August 2013, and for each Progress Report 8 – 11.</w:t>
      </w:r>
      <w:r w:rsidR="00AA6018">
        <w:rPr>
          <w:rFonts w:ascii="Arial" w:hAnsi="Arial" w:cs="Arial"/>
        </w:rPr>
        <w:t xml:space="preserve"> This figure illustrates the decrease in compliance from Progress Report 10 to Progress Report 11.</w:t>
      </w:r>
    </w:p>
    <w:p w:rsidR="008163D7" w:rsidRPr="00C335A4" w:rsidRDefault="008163D7" w:rsidP="008163D7">
      <w:pPr>
        <w:spacing w:after="0" w:line="240" w:lineRule="auto"/>
        <w:rPr>
          <w:rFonts w:ascii="Arial" w:eastAsia="SimSun" w:hAnsi="Arial" w:cs="Arial"/>
          <w:color w:val="FF0000"/>
          <w:lang w:eastAsia="zh-CN"/>
        </w:rPr>
      </w:pPr>
    </w:p>
    <w:p w:rsidR="008163D7" w:rsidRDefault="00EA6135" w:rsidP="00FB18C3">
      <w:pPr>
        <w:spacing w:after="0" w:line="240" w:lineRule="auto"/>
        <w:rPr>
          <w:rFonts w:ascii="Arial" w:hAnsi="Arial" w:cs="Arial"/>
          <w:b/>
        </w:rPr>
      </w:pPr>
      <w:r>
        <w:rPr>
          <w:noProof/>
          <w:lang w:val="en-NZ" w:eastAsia="en-NZ"/>
        </w:rPr>
        <w:drawing>
          <wp:inline distT="0" distB="0" distL="0" distR="0" wp14:anchorId="60243DC0" wp14:editId="6C2A430B">
            <wp:extent cx="5543550" cy="43148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135" w:rsidRPr="00AB275A" w:rsidRDefault="00EA6135" w:rsidP="00EA6135">
      <w:pPr>
        <w:spacing w:after="0" w:line="240" w:lineRule="auto"/>
        <w:contextualSpacing/>
        <w:rPr>
          <w:rFonts w:ascii="Arial" w:eastAsia="SimSun" w:hAnsi="Arial" w:cs="Arial"/>
          <w:bCs/>
          <w:i/>
          <w:color w:val="0070C0"/>
          <w:lang w:eastAsia="zh-CN"/>
        </w:rPr>
      </w:pPr>
      <w:r>
        <w:rPr>
          <w:rFonts w:ascii="Arial" w:eastAsia="SimSun" w:hAnsi="Arial" w:cs="Arial"/>
          <w:bCs/>
          <w:i/>
          <w:color w:val="0070C0"/>
          <w:lang w:eastAsia="zh-CN"/>
        </w:rPr>
        <w:t>Figure 9</w:t>
      </w:r>
      <w:r w:rsidRPr="00AB275A">
        <w:rPr>
          <w:rFonts w:ascii="Arial" w:eastAsia="SimSun" w:hAnsi="Arial" w:cs="Arial"/>
          <w:bCs/>
          <w:i/>
          <w:color w:val="0070C0"/>
          <w:lang w:eastAsia="zh-CN"/>
        </w:rPr>
        <w:t xml:space="preserve">: Summary of </w:t>
      </w:r>
      <w:r w:rsidR="00AA6018">
        <w:rPr>
          <w:rFonts w:ascii="Arial" w:eastAsia="SimSun" w:hAnsi="Arial" w:cs="Arial"/>
          <w:bCs/>
          <w:i/>
          <w:color w:val="0070C0"/>
          <w:lang w:eastAsia="zh-CN"/>
        </w:rPr>
        <w:t xml:space="preserve">full </w:t>
      </w:r>
      <w:r w:rsidRPr="00AB275A">
        <w:rPr>
          <w:rFonts w:ascii="Arial" w:eastAsia="SimSun" w:hAnsi="Arial" w:cs="Arial"/>
          <w:bCs/>
          <w:i/>
          <w:color w:val="0070C0"/>
          <w:lang w:eastAsia="zh-CN"/>
        </w:rPr>
        <w:t xml:space="preserve">compliance from participating NMHSs with regard </w:t>
      </w:r>
      <w:r w:rsidR="00D92240">
        <w:rPr>
          <w:rFonts w:ascii="Arial" w:eastAsia="SimSun" w:hAnsi="Arial" w:cs="Arial"/>
          <w:bCs/>
          <w:i/>
          <w:color w:val="0070C0"/>
          <w:lang w:eastAsia="zh-CN"/>
        </w:rPr>
        <w:t xml:space="preserve">all criteria set at </w:t>
      </w:r>
      <w:r w:rsidR="00AA6018">
        <w:rPr>
          <w:rFonts w:ascii="Arial" w:eastAsia="SimSun" w:hAnsi="Arial" w:cs="Arial"/>
          <w:bCs/>
          <w:i/>
          <w:color w:val="0070C0"/>
          <w:lang w:eastAsia="zh-CN"/>
        </w:rPr>
        <w:t xml:space="preserve">the previous meeting of the </w:t>
      </w:r>
      <w:r w:rsidR="00D92240">
        <w:rPr>
          <w:rFonts w:ascii="Arial" w:eastAsia="SimSun" w:hAnsi="Arial" w:cs="Arial"/>
          <w:bCs/>
          <w:i/>
          <w:color w:val="0070C0"/>
          <w:lang w:eastAsia="zh-CN"/>
        </w:rPr>
        <w:t>RSMT (</w:t>
      </w:r>
      <w:proofErr w:type="spellStart"/>
      <w:r w:rsidR="00D92240">
        <w:rPr>
          <w:rFonts w:ascii="Arial" w:eastAsia="SimSun" w:hAnsi="Arial" w:cs="Arial"/>
          <w:bCs/>
          <w:i/>
          <w:color w:val="0070C0"/>
          <w:lang w:eastAsia="zh-CN"/>
        </w:rPr>
        <w:t>Nadi</w:t>
      </w:r>
      <w:proofErr w:type="spellEnd"/>
      <w:r w:rsidR="00D92240">
        <w:rPr>
          <w:rFonts w:ascii="Arial" w:eastAsia="SimSun" w:hAnsi="Arial" w:cs="Arial"/>
          <w:bCs/>
          <w:i/>
          <w:color w:val="0070C0"/>
          <w:lang w:eastAsia="zh-CN"/>
        </w:rPr>
        <w:t>, August 2013)</w:t>
      </w:r>
      <w:r w:rsidR="00AA6018">
        <w:rPr>
          <w:rFonts w:ascii="Arial" w:eastAsia="SimSun" w:hAnsi="Arial" w:cs="Arial"/>
          <w:bCs/>
          <w:i/>
          <w:color w:val="0070C0"/>
          <w:lang w:eastAsia="zh-CN"/>
        </w:rPr>
        <w:t>,</w:t>
      </w:r>
      <w:r w:rsidR="00D92240">
        <w:rPr>
          <w:rFonts w:ascii="Arial" w:eastAsia="SimSun" w:hAnsi="Arial" w:cs="Arial"/>
          <w:bCs/>
          <w:i/>
          <w:color w:val="0070C0"/>
          <w:lang w:eastAsia="zh-CN"/>
        </w:rPr>
        <w:t xml:space="preserve"> for Progress Reports 8 to 11.</w:t>
      </w:r>
    </w:p>
    <w:p w:rsidR="00EA6135" w:rsidRDefault="00EA6135" w:rsidP="00FB18C3">
      <w:pPr>
        <w:spacing w:after="0" w:line="240" w:lineRule="auto"/>
        <w:rPr>
          <w:rFonts w:ascii="Arial" w:hAnsi="Arial" w:cs="Arial"/>
          <w:b/>
        </w:rPr>
      </w:pPr>
    </w:p>
    <w:p w:rsidR="006354D6" w:rsidRDefault="006354D6" w:rsidP="00FB18C3">
      <w:pPr>
        <w:spacing w:after="0" w:line="240" w:lineRule="auto"/>
        <w:rPr>
          <w:rFonts w:ascii="Arial" w:hAnsi="Arial" w:cs="Arial"/>
          <w:b/>
        </w:rPr>
      </w:pPr>
    </w:p>
    <w:p w:rsidR="006354D6" w:rsidRPr="00FB18C3" w:rsidRDefault="006354D6" w:rsidP="00FB18C3">
      <w:pPr>
        <w:spacing w:after="0" w:line="240" w:lineRule="auto"/>
        <w:rPr>
          <w:rFonts w:ascii="Arial" w:hAnsi="Arial" w:cs="Arial"/>
          <w:b/>
        </w:rPr>
      </w:pPr>
      <w:r>
        <w:rPr>
          <w:rFonts w:ascii="Arial" w:hAnsi="Arial" w:cs="Arial"/>
          <w:b/>
        </w:rPr>
        <w:t>[END]</w:t>
      </w:r>
    </w:p>
    <w:sectPr w:rsidR="006354D6" w:rsidRPr="00FB18C3" w:rsidSect="00E6003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9B"/>
    <w:multiLevelType w:val="hybridMultilevel"/>
    <w:tmpl w:val="FA66D0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B197977"/>
    <w:multiLevelType w:val="multilevel"/>
    <w:tmpl w:val="1F705FB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5"/>
      <w:numFmt w:val="bullet"/>
      <w:lvlText w:val=""/>
      <w:lvlJc w:val="left"/>
      <w:pPr>
        <w:tabs>
          <w:tab w:val="num" w:pos="1080"/>
        </w:tabs>
        <w:ind w:left="1440" w:hanging="360"/>
      </w:pPr>
      <w:rPr>
        <w:rFonts w:ascii="Symbol" w:eastAsia="MS Mincho" w:hAnsi="Symbol" w:hint="default"/>
        <w:color w:val="auto"/>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1C036DC"/>
    <w:multiLevelType w:val="hybridMultilevel"/>
    <w:tmpl w:val="CD6098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2D4032C"/>
    <w:multiLevelType w:val="hybridMultilevel"/>
    <w:tmpl w:val="AEE28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D12184"/>
    <w:multiLevelType w:val="hybridMultilevel"/>
    <w:tmpl w:val="E6307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17FAC"/>
    <w:multiLevelType w:val="multilevel"/>
    <w:tmpl w:val="71E859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DDE7E8C"/>
    <w:multiLevelType w:val="multilevel"/>
    <w:tmpl w:val="46A460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52A4D70"/>
    <w:multiLevelType w:val="hybridMultilevel"/>
    <w:tmpl w:val="EF2851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CDE3F9B"/>
    <w:multiLevelType w:val="hybridMultilevel"/>
    <w:tmpl w:val="A6188F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4CF92998"/>
    <w:multiLevelType w:val="hybridMultilevel"/>
    <w:tmpl w:val="D7F6AF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4E1260D8"/>
    <w:multiLevelType w:val="multilevel"/>
    <w:tmpl w:val="1B9C869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63DB0A44"/>
    <w:multiLevelType w:val="multilevel"/>
    <w:tmpl w:val="1B9C869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34501EA"/>
    <w:multiLevelType w:val="hybridMultilevel"/>
    <w:tmpl w:val="D29C5B4E"/>
    <w:lvl w:ilvl="0" w:tplc="0409000F">
      <w:start w:val="1"/>
      <w:numFmt w:val="decimal"/>
      <w:lvlText w:val="%1."/>
      <w:lvlJc w:val="left"/>
      <w:pPr>
        <w:ind w:left="540" w:hanging="360"/>
      </w:pPr>
      <w:rPr>
        <w:rFonts w:cs="Times New Roman" w:hint="default"/>
      </w:rPr>
    </w:lvl>
    <w:lvl w:ilvl="1" w:tplc="1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580DBB"/>
    <w:multiLevelType w:val="hybridMultilevel"/>
    <w:tmpl w:val="FD343B2C"/>
    <w:lvl w:ilvl="0" w:tplc="F4AC04D4">
      <w:start w:val="1"/>
      <w:numFmt w:val="bullet"/>
      <w:lvlText w:val=""/>
      <w:lvlJc w:val="left"/>
      <w:pPr>
        <w:tabs>
          <w:tab w:val="num" w:pos="2160"/>
        </w:tabs>
        <w:ind w:left="1944" w:hanging="1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0"/>
  </w:num>
  <w:num w:numId="5">
    <w:abstractNumId w:val="5"/>
  </w:num>
  <w:num w:numId="6">
    <w:abstractNumId w:val="13"/>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
  </w:num>
  <w:num w:numId="12">
    <w:abstractNumId w:val="7"/>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B4"/>
    <w:rsid w:val="00001714"/>
    <w:rsid w:val="00037639"/>
    <w:rsid w:val="0006154F"/>
    <w:rsid w:val="00066ADD"/>
    <w:rsid w:val="00081690"/>
    <w:rsid w:val="000B519C"/>
    <w:rsid w:val="000F30FF"/>
    <w:rsid w:val="000F4DE2"/>
    <w:rsid w:val="00141110"/>
    <w:rsid w:val="00144897"/>
    <w:rsid w:val="00195B44"/>
    <w:rsid w:val="00223FCF"/>
    <w:rsid w:val="00224534"/>
    <w:rsid w:val="002445A8"/>
    <w:rsid w:val="002578A7"/>
    <w:rsid w:val="0026500C"/>
    <w:rsid w:val="00276571"/>
    <w:rsid w:val="00295400"/>
    <w:rsid w:val="002D5A51"/>
    <w:rsid w:val="002D7E34"/>
    <w:rsid w:val="002F5BAE"/>
    <w:rsid w:val="003005A9"/>
    <w:rsid w:val="00300B25"/>
    <w:rsid w:val="00301691"/>
    <w:rsid w:val="00313618"/>
    <w:rsid w:val="003260DC"/>
    <w:rsid w:val="00343F27"/>
    <w:rsid w:val="00367A43"/>
    <w:rsid w:val="003940C4"/>
    <w:rsid w:val="003C1849"/>
    <w:rsid w:val="003C4A0C"/>
    <w:rsid w:val="003D18D2"/>
    <w:rsid w:val="003E3FBE"/>
    <w:rsid w:val="00404F34"/>
    <w:rsid w:val="00405424"/>
    <w:rsid w:val="0042287A"/>
    <w:rsid w:val="00432165"/>
    <w:rsid w:val="00446FF7"/>
    <w:rsid w:val="004649D2"/>
    <w:rsid w:val="00490A70"/>
    <w:rsid w:val="004A5F96"/>
    <w:rsid w:val="004D093E"/>
    <w:rsid w:val="005771C8"/>
    <w:rsid w:val="00583C40"/>
    <w:rsid w:val="005A48FA"/>
    <w:rsid w:val="005B3A6F"/>
    <w:rsid w:val="005D444A"/>
    <w:rsid w:val="005E0CB6"/>
    <w:rsid w:val="005F7B7A"/>
    <w:rsid w:val="006354D6"/>
    <w:rsid w:val="00664DBF"/>
    <w:rsid w:val="00673798"/>
    <w:rsid w:val="006A11E8"/>
    <w:rsid w:val="006A3F94"/>
    <w:rsid w:val="006A62F9"/>
    <w:rsid w:val="006F1258"/>
    <w:rsid w:val="007170A6"/>
    <w:rsid w:val="007309BA"/>
    <w:rsid w:val="0074637E"/>
    <w:rsid w:val="0075278D"/>
    <w:rsid w:val="007602C9"/>
    <w:rsid w:val="00767EC7"/>
    <w:rsid w:val="00781025"/>
    <w:rsid w:val="007870E2"/>
    <w:rsid w:val="00791466"/>
    <w:rsid w:val="007B5205"/>
    <w:rsid w:val="007C409D"/>
    <w:rsid w:val="00803C8E"/>
    <w:rsid w:val="00803F74"/>
    <w:rsid w:val="008163D7"/>
    <w:rsid w:val="0087558D"/>
    <w:rsid w:val="008874DF"/>
    <w:rsid w:val="0089275F"/>
    <w:rsid w:val="0089678B"/>
    <w:rsid w:val="008C3E8B"/>
    <w:rsid w:val="009269B4"/>
    <w:rsid w:val="00983E4E"/>
    <w:rsid w:val="00986C21"/>
    <w:rsid w:val="009C70E3"/>
    <w:rsid w:val="009D03E8"/>
    <w:rsid w:val="009D3FCD"/>
    <w:rsid w:val="009D7D3F"/>
    <w:rsid w:val="009E49A6"/>
    <w:rsid w:val="00A0019F"/>
    <w:rsid w:val="00A15C36"/>
    <w:rsid w:val="00A35E20"/>
    <w:rsid w:val="00A6291B"/>
    <w:rsid w:val="00A67378"/>
    <w:rsid w:val="00A8770C"/>
    <w:rsid w:val="00A92F0A"/>
    <w:rsid w:val="00A9434E"/>
    <w:rsid w:val="00AA25D6"/>
    <w:rsid w:val="00AA6018"/>
    <w:rsid w:val="00AB275A"/>
    <w:rsid w:val="00AC0219"/>
    <w:rsid w:val="00B33FF4"/>
    <w:rsid w:val="00B40B19"/>
    <w:rsid w:val="00B475C9"/>
    <w:rsid w:val="00B63E4E"/>
    <w:rsid w:val="00B771FF"/>
    <w:rsid w:val="00B9556D"/>
    <w:rsid w:val="00BA1ED8"/>
    <w:rsid w:val="00BA4451"/>
    <w:rsid w:val="00C05E99"/>
    <w:rsid w:val="00C335A4"/>
    <w:rsid w:val="00C66FB4"/>
    <w:rsid w:val="00C76C7B"/>
    <w:rsid w:val="00C957EF"/>
    <w:rsid w:val="00CA6100"/>
    <w:rsid w:val="00CC48BA"/>
    <w:rsid w:val="00CC4FD5"/>
    <w:rsid w:val="00CE3775"/>
    <w:rsid w:val="00D40757"/>
    <w:rsid w:val="00D469BA"/>
    <w:rsid w:val="00D574E9"/>
    <w:rsid w:val="00D70181"/>
    <w:rsid w:val="00D92240"/>
    <w:rsid w:val="00DD070A"/>
    <w:rsid w:val="00E11B65"/>
    <w:rsid w:val="00E11D9E"/>
    <w:rsid w:val="00E36BF6"/>
    <w:rsid w:val="00E60030"/>
    <w:rsid w:val="00E62C75"/>
    <w:rsid w:val="00E66725"/>
    <w:rsid w:val="00E8781A"/>
    <w:rsid w:val="00E92F67"/>
    <w:rsid w:val="00E931B4"/>
    <w:rsid w:val="00EA20E1"/>
    <w:rsid w:val="00EA48B5"/>
    <w:rsid w:val="00EA6135"/>
    <w:rsid w:val="00EC1545"/>
    <w:rsid w:val="00EC7DB4"/>
    <w:rsid w:val="00EF7EAA"/>
    <w:rsid w:val="00F002C5"/>
    <w:rsid w:val="00F07EC4"/>
    <w:rsid w:val="00F506D8"/>
    <w:rsid w:val="00F52445"/>
    <w:rsid w:val="00F569A4"/>
    <w:rsid w:val="00F64CC3"/>
    <w:rsid w:val="00F73172"/>
    <w:rsid w:val="00F91303"/>
    <w:rsid w:val="00F93E97"/>
    <w:rsid w:val="00FB18C3"/>
    <w:rsid w:val="00FD3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A70"/>
    <w:pPr>
      <w:spacing w:after="200" w:line="276" w:lineRule="auto"/>
    </w:pPr>
    <w:rPr>
      <w:rFonts w:eastAsia="Times New Roman"/>
      <w:sz w:val="22"/>
      <w:szCs w:val="22"/>
      <w:lang w:eastAsia="en-US"/>
    </w:rPr>
  </w:style>
  <w:style w:type="paragraph" w:styleId="Heading1">
    <w:name w:val="heading 1"/>
    <w:basedOn w:val="Normal"/>
    <w:next w:val="Normal"/>
    <w:qFormat/>
    <w:locked/>
    <w:rsid w:val="00E60030"/>
    <w:pPr>
      <w:keepNext/>
      <w:tabs>
        <w:tab w:val="left" w:pos="1134"/>
      </w:tabs>
      <w:spacing w:after="0" w:line="240" w:lineRule="auto"/>
      <w:jc w:val="center"/>
      <w:outlineLvl w:val="0"/>
    </w:pPr>
    <w:rPr>
      <w:rFonts w:ascii="Arial" w:eastAsia="SimSun" w:hAnsi="Arial"/>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4FD5"/>
    <w:pPr>
      <w:ind w:left="720"/>
      <w:contextualSpacing/>
    </w:pPr>
  </w:style>
  <w:style w:type="paragraph" w:styleId="BalloonText">
    <w:name w:val="Balloon Text"/>
    <w:basedOn w:val="Normal"/>
    <w:link w:val="BalloonTextChar"/>
    <w:semiHidden/>
    <w:rsid w:val="003C1849"/>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1849"/>
    <w:rPr>
      <w:rFonts w:ascii="Tahoma" w:hAnsi="Tahoma" w:cs="Tahoma"/>
      <w:sz w:val="16"/>
      <w:szCs w:val="16"/>
    </w:rPr>
  </w:style>
  <w:style w:type="paragraph" w:customStyle="1" w:styleId="Char1CharCharCarCar">
    <w:name w:val="Char1 Char Char Car Car"/>
    <w:basedOn w:val="Normal"/>
    <w:rsid w:val="00AA25D6"/>
    <w:pPr>
      <w:spacing w:after="0" w:line="240" w:lineRule="auto"/>
    </w:pPr>
    <w:rPr>
      <w:rFonts w:ascii="Times New Roman" w:hAnsi="Times New Roman"/>
      <w:sz w:val="24"/>
      <w:szCs w:val="24"/>
      <w:lang w:val="pl-PL" w:eastAsia="pl-PL"/>
    </w:rPr>
  </w:style>
  <w:style w:type="paragraph" w:styleId="BodyText">
    <w:name w:val="Body Text"/>
    <w:basedOn w:val="Normal"/>
    <w:link w:val="BodyTextChar"/>
    <w:rsid w:val="00AA25D6"/>
    <w:pPr>
      <w:spacing w:after="0" w:line="240" w:lineRule="auto"/>
      <w:jc w:val="both"/>
    </w:pPr>
    <w:rPr>
      <w:rFonts w:ascii="Times New Roman" w:hAnsi="Times New Roman" w:cs="Arial"/>
      <w:lang w:val="en-GB"/>
    </w:rPr>
  </w:style>
  <w:style w:type="character" w:customStyle="1" w:styleId="BodyTextChar">
    <w:name w:val="Body Text Char"/>
    <w:link w:val="BodyText"/>
    <w:semiHidden/>
    <w:locked/>
    <w:rsid w:val="00343F27"/>
    <w:rPr>
      <w:rFonts w:cs="Times New Roman"/>
      <w:lang w:val="x-none" w:eastAsia="en-US"/>
    </w:rPr>
  </w:style>
  <w:style w:type="character" w:styleId="Hyperlink">
    <w:name w:val="Hyperlink"/>
    <w:rsid w:val="00AA25D6"/>
    <w:rPr>
      <w:rFonts w:cs="Times New Roman"/>
      <w:color w:val="0000FF"/>
      <w:u w:val="single"/>
    </w:rPr>
  </w:style>
  <w:style w:type="table" w:styleId="TableGrid">
    <w:name w:val="Table Grid"/>
    <w:basedOn w:val="TableNormal"/>
    <w:locked/>
    <w:rsid w:val="00E600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60030"/>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A70"/>
    <w:pPr>
      <w:spacing w:after="200" w:line="276" w:lineRule="auto"/>
    </w:pPr>
    <w:rPr>
      <w:rFonts w:eastAsia="Times New Roman"/>
      <w:sz w:val="22"/>
      <w:szCs w:val="22"/>
      <w:lang w:eastAsia="en-US"/>
    </w:rPr>
  </w:style>
  <w:style w:type="paragraph" w:styleId="Heading1">
    <w:name w:val="heading 1"/>
    <w:basedOn w:val="Normal"/>
    <w:next w:val="Normal"/>
    <w:qFormat/>
    <w:locked/>
    <w:rsid w:val="00E60030"/>
    <w:pPr>
      <w:keepNext/>
      <w:tabs>
        <w:tab w:val="left" w:pos="1134"/>
      </w:tabs>
      <w:spacing w:after="0" w:line="240" w:lineRule="auto"/>
      <w:jc w:val="center"/>
      <w:outlineLvl w:val="0"/>
    </w:pPr>
    <w:rPr>
      <w:rFonts w:ascii="Arial" w:eastAsia="SimSun" w:hAnsi="Arial"/>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C4FD5"/>
    <w:pPr>
      <w:ind w:left="720"/>
      <w:contextualSpacing/>
    </w:pPr>
  </w:style>
  <w:style w:type="paragraph" w:styleId="BalloonText">
    <w:name w:val="Balloon Text"/>
    <w:basedOn w:val="Normal"/>
    <w:link w:val="BalloonTextChar"/>
    <w:semiHidden/>
    <w:rsid w:val="003C1849"/>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1849"/>
    <w:rPr>
      <w:rFonts w:ascii="Tahoma" w:hAnsi="Tahoma" w:cs="Tahoma"/>
      <w:sz w:val="16"/>
      <w:szCs w:val="16"/>
    </w:rPr>
  </w:style>
  <w:style w:type="paragraph" w:customStyle="1" w:styleId="Char1CharCharCarCar">
    <w:name w:val="Char1 Char Char Car Car"/>
    <w:basedOn w:val="Normal"/>
    <w:rsid w:val="00AA25D6"/>
    <w:pPr>
      <w:spacing w:after="0" w:line="240" w:lineRule="auto"/>
    </w:pPr>
    <w:rPr>
      <w:rFonts w:ascii="Times New Roman" w:hAnsi="Times New Roman"/>
      <w:sz w:val="24"/>
      <w:szCs w:val="24"/>
      <w:lang w:val="pl-PL" w:eastAsia="pl-PL"/>
    </w:rPr>
  </w:style>
  <w:style w:type="paragraph" w:styleId="BodyText">
    <w:name w:val="Body Text"/>
    <w:basedOn w:val="Normal"/>
    <w:link w:val="BodyTextChar"/>
    <w:rsid w:val="00AA25D6"/>
    <w:pPr>
      <w:spacing w:after="0" w:line="240" w:lineRule="auto"/>
      <w:jc w:val="both"/>
    </w:pPr>
    <w:rPr>
      <w:rFonts w:ascii="Times New Roman" w:hAnsi="Times New Roman" w:cs="Arial"/>
      <w:lang w:val="en-GB"/>
    </w:rPr>
  </w:style>
  <w:style w:type="character" w:customStyle="1" w:styleId="BodyTextChar">
    <w:name w:val="Body Text Char"/>
    <w:link w:val="BodyText"/>
    <w:semiHidden/>
    <w:locked/>
    <w:rsid w:val="00343F27"/>
    <w:rPr>
      <w:rFonts w:cs="Times New Roman"/>
      <w:lang w:val="x-none" w:eastAsia="en-US"/>
    </w:rPr>
  </w:style>
  <w:style w:type="character" w:styleId="Hyperlink">
    <w:name w:val="Hyperlink"/>
    <w:rsid w:val="00AA25D6"/>
    <w:rPr>
      <w:rFonts w:cs="Times New Roman"/>
      <w:color w:val="0000FF"/>
      <w:u w:val="single"/>
    </w:rPr>
  </w:style>
  <w:style w:type="table" w:styleId="TableGrid">
    <w:name w:val="Table Grid"/>
    <w:basedOn w:val="TableNormal"/>
    <w:locked/>
    <w:rsid w:val="00E600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60030"/>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036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Sheet1!$A$14</c:f>
              <c:strCache>
                <c:ptCount val="1"/>
                <c:pt idx="0">
                  <c:v>Fully Compliant</c:v>
                </c:pt>
              </c:strCache>
            </c:strRef>
          </c:tx>
          <c:spPr>
            <a:solidFill>
              <a:srgbClr val="00B050"/>
            </a:solidFill>
          </c:spPr>
          <c:invertIfNegative val="0"/>
          <c:cat>
            <c:strRef>
              <c:f>Sheet1!$B$12:$E$13</c:f>
              <c:strCache>
                <c:ptCount val="4"/>
                <c:pt idx="0">
                  <c:v>#8</c:v>
                </c:pt>
                <c:pt idx="1">
                  <c:v>#9</c:v>
                </c:pt>
                <c:pt idx="2">
                  <c:v>#10</c:v>
                </c:pt>
                <c:pt idx="3">
                  <c:v>#11</c:v>
                </c:pt>
              </c:strCache>
            </c:strRef>
          </c:cat>
          <c:val>
            <c:numRef>
              <c:f>Sheet1!$B$14:$E$14</c:f>
              <c:numCache>
                <c:formatCode>General</c:formatCode>
                <c:ptCount val="4"/>
                <c:pt idx="0">
                  <c:v>5</c:v>
                </c:pt>
                <c:pt idx="1">
                  <c:v>5</c:v>
                </c:pt>
                <c:pt idx="2">
                  <c:v>5</c:v>
                </c:pt>
                <c:pt idx="3">
                  <c:v>4</c:v>
                </c:pt>
              </c:numCache>
            </c:numRef>
          </c:val>
        </c:ser>
        <c:ser>
          <c:idx val="1"/>
          <c:order val="1"/>
          <c:tx>
            <c:strRef>
              <c:f>Sheet1!$A$15</c:f>
              <c:strCache>
                <c:ptCount val="1"/>
                <c:pt idx="0">
                  <c:v>Partially Compliant</c:v>
                </c:pt>
              </c:strCache>
            </c:strRef>
          </c:tx>
          <c:spPr>
            <a:solidFill>
              <a:srgbClr val="FFFF00"/>
            </a:solidFill>
          </c:spPr>
          <c:invertIfNegative val="0"/>
          <c:cat>
            <c:strRef>
              <c:f>Sheet1!$B$12:$E$13</c:f>
              <c:strCache>
                <c:ptCount val="4"/>
                <c:pt idx="0">
                  <c:v>#8</c:v>
                </c:pt>
                <c:pt idx="1">
                  <c:v>#9</c:v>
                </c:pt>
                <c:pt idx="2">
                  <c:v>#10</c:v>
                </c:pt>
                <c:pt idx="3">
                  <c:v>#11</c:v>
                </c:pt>
              </c:strCache>
            </c:strRef>
          </c:cat>
          <c:val>
            <c:numRef>
              <c:f>Sheet1!$B$15:$E$15</c:f>
              <c:numCache>
                <c:formatCode>General</c:formatCode>
                <c:ptCount val="4"/>
                <c:pt idx="0">
                  <c:v>1</c:v>
                </c:pt>
                <c:pt idx="1">
                  <c:v>0</c:v>
                </c:pt>
                <c:pt idx="2">
                  <c:v>0</c:v>
                </c:pt>
                <c:pt idx="3">
                  <c:v>0</c:v>
                </c:pt>
              </c:numCache>
            </c:numRef>
          </c:val>
        </c:ser>
        <c:ser>
          <c:idx val="2"/>
          <c:order val="2"/>
          <c:tx>
            <c:strRef>
              <c:f>Sheet1!$A$16</c:f>
              <c:strCache>
                <c:ptCount val="1"/>
                <c:pt idx="0">
                  <c:v>Non Compliant</c:v>
                </c:pt>
              </c:strCache>
            </c:strRef>
          </c:tx>
          <c:spPr>
            <a:solidFill>
              <a:srgbClr val="FF0000"/>
            </a:solidFill>
          </c:spPr>
          <c:invertIfNegative val="0"/>
          <c:cat>
            <c:strRef>
              <c:f>Sheet1!$B$12:$E$13</c:f>
              <c:strCache>
                <c:ptCount val="4"/>
                <c:pt idx="0">
                  <c:v>#8</c:v>
                </c:pt>
                <c:pt idx="1">
                  <c:v>#9</c:v>
                </c:pt>
                <c:pt idx="2">
                  <c:v>#10</c:v>
                </c:pt>
                <c:pt idx="3">
                  <c:v>#11</c:v>
                </c:pt>
              </c:strCache>
            </c:strRef>
          </c:cat>
          <c:val>
            <c:numRef>
              <c:f>Sheet1!$B$16:$E$16</c:f>
              <c:numCache>
                <c:formatCode>General</c:formatCode>
                <c:ptCount val="4"/>
                <c:pt idx="0">
                  <c:v>3</c:v>
                </c:pt>
                <c:pt idx="1">
                  <c:v>4</c:v>
                </c:pt>
                <c:pt idx="2">
                  <c:v>4</c:v>
                </c:pt>
                <c:pt idx="3">
                  <c:v>5</c:v>
                </c:pt>
              </c:numCache>
            </c:numRef>
          </c:val>
        </c:ser>
        <c:dLbls>
          <c:showLegendKey val="0"/>
          <c:showVal val="0"/>
          <c:showCatName val="0"/>
          <c:showSerName val="0"/>
          <c:showPercent val="0"/>
          <c:showBubbleSize val="0"/>
        </c:dLbls>
        <c:gapWidth val="150"/>
        <c:overlap val="100"/>
        <c:axId val="36639488"/>
        <c:axId val="36641408"/>
      </c:barChart>
      <c:catAx>
        <c:axId val="36639488"/>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36641408"/>
        <c:crosses val="autoZero"/>
        <c:auto val="1"/>
        <c:lblAlgn val="ctr"/>
        <c:lblOffset val="100"/>
        <c:noMultiLvlLbl val="0"/>
      </c:catAx>
      <c:valAx>
        <c:axId val="36641408"/>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36639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Sheet1!$A$20</c:f>
              <c:strCache>
                <c:ptCount val="1"/>
                <c:pt idx="0">
                  <c:v>Fully Compliant</c:v>
                </c:pt>
              </c:strCache>
            </c:strRef>
          </c:tx>
          <c:spPr>
            <a:solidFill>
              <a:srgbClr val="00B050"/>
            </a:solidFill>
          </c:spPr>
          <c:invertIfNegative val="0"/>
          <c:cat>
            <c:strRef>
              <c:f>Sheet1!$B$18:$E$19</c:f>
              <c:strCache>
                <c:ptCount val="4"/>
                <c:pt idx="0">
                  <c:v>#8</c:v>
                </c:pt>
                <c:pt idx="1">
                  <c:v>#9</c:v>
                </c:pt>
                <c:pt idx="2">
                  <c:v>#10</c:v>
                </c:pt>
                <c:pt idx="3">
                  <c:v>#11</c:v>
                </c:pt>
              </c:strCache>
            </c:strRef>
          </c:cat>
          <c:val>
            <c:numRef>
              <c:f>Sheet1!$B$20:$E$20</c:f>
              <c:numCache>
                <c:formatCode>General</c:formatCode>
                <c:ptCount val="4"/>
                <c:pt idx="0">
                  <c:v>3</c:v>
                </c:pt>
                <c:pt idx="1">
                  <c:v>3</c:v>
                </c:pt>
                <c:pt idx="2">
                  <c:v>3</c:v>
                </c:pt>
                <c:pt idx="3">
                  <c:v>2</c:v>
                </c:pt>
              </c:numCache>
            </c:numRef>
          </c:val>
        </c:ser>
        <c:ser>
          <c:idx val="1"/>
          <c:order val="1"/>
          <c:tx>
            <c:strRef>
              <c:f>Sheet1!$A$21</c:f>
              <c:strCache>
                <c:ptCount val="1"/>
                <c:pt idx="0">
                  <c:v>Partially Compliant</c:v>
                </c:pt>
              </c:strCache>
            </c:strRef>
          </c:tx>
          <c:spPr>
            <a:solidFill>
              <a:srgbClr val="FFFF00"/>
            </a:solidFill>
          </c:spPr>
          <c:invertIfNegative val="0"/>
          <c:cat>
            <c:strRef>
              <c:f>Sheet1!$B$18:$E$19</c:f>
              <c:strCache>
                <c:ptCount val="4"/>
                <c:pt idx="0">
                  <c:v>#8</c:v>
                </c:pt>
                <c:pt idx="1">
                  <c:v>#9</c:v>
                </c:pt>
                <c:pt idx="2">
                  <c:v>#10</c:v>
                </c:pt>
                <c:pt idx="3">
                  <c:v>#11</c:v>
                </c:pt>
              </c:strCache>
            </c:strRef>
          </c:cat>
          <c:val>
            <c:numRef>
              <c:f>Sheet1!$B$21:$E$21</c:f>
              <c:numCache>
                <c:formatCode>General</c:formatCode>
                <c:ptCount val="4"/>
                <c:pt idx="0">
                  <c:v>2</c:v>
                </c:pt>
                <c:pt idx="1">
                  <c:v>0</c:v>
                </c:pt>
                <c:pt idx="2">
                  <c:v>0</c:v>
                </c:pt>
                <c:pt idx="3">
                  <c:v>0</c:v>
                </c:pt>
              </c:numCache>
            </c:numRef>
          </c:val>
        </c:ser>
        <c:ser>
          <c:idx val="2"/>
          <c:order val="2"/>
          <c:tx>
            <c:strRef>
              <c:f>Sheet1!$A$22</c:f>
              <c:strCache>
                <c:ptCount val="1"/>
                <c:pt idx="0">
                  <c:v>Non Compliant</c:v>
                </c:pt>
              </c:strCache>
            </c:strRef>
          </c:tx>
          <c:spPr>
            <a:solidFill>
              <a:srgbClr val="FF0000"/>
            </a:solidFill>
          </c:spPr>
          <c:invertIfNegative val="0"/>
          <c:cat>
            <c:strRef>
              <c:f>Sheet1!$B$18:$E$19</c:f>
              <c:strCache>
                <c:ptCount val="4"/>
                <c:pt idx="0">
                  <c:v>#8</c:v>
                </c:pt>
                <c:pt idx="1">
                  <c:v>#9</c:v>
                </c:pt>
                <c:pt idx="2">
                  <c:v>#10</c:v>
                </c:pt>
                <c:pt idx="3">
                  <c:v>#11</c:v>
                </c:pt>
              </c:strCache>
            </c:strRef>
          </c:cat>
          <c:val>
            <c:numRef>
              <c:f>Sheet1!$B$22:$E$22</c:f>
              <c:numCache>
                <c:formatCode>General</c:formatCode>
                <c:ptCount val="4"/>
                <c:pt idx="0">
                  <c:v>4</c:v>
                </c:pt>
                <c:pt idx="1">
                  <c:v>6</c:v>
                </c:pt>
                <c:pt idx="2">
                  <c:v>6</c:v>
                </c:pt>
                <c:pt idx="3">
                  <c:v>7</c:v>
                </c:pt>
              </c:numCache>
            </c:numRef>
          </c:val>
        </c:ser>
        <c:dLbls>
          <c:showLegendKey val="0"/>
          <c:showVal val="0"/>
          <c:showCatName val="0"/>
          <c:showSerName val="0"/>
          <c:showPercent val="0"/>
          <c:showBubbleSize val="0"/>
        </c:dLbls>
        <c:gapWidth val="150"/>
        <c:overlap val="100"/>
        <c:axId val="100815616"/>
        <c:axId val="100817536"/>
      </c:barChart>
      <c:catAx>
        <c:axId val="100815616"/>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00817536"/>
        <c:crosses val="autoZero"/>
        <c:auto val="1"/>
        <c:lblAlgn val="ctr"/>
        <c:lblOffset val="100"/>
        <c:noMultiLvlLbl val="0"/>
      </c:catAx>
      <c:valAx>
        <c:axId val="100817536"/>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00815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Sheet1!$A$26</c:f>
              <c:strCache>
                <c:ptCount val="1"/>
                <c:pt idx="0">
                  <c:v>Fully Compliant</c:v>
                </c:pt>
              </c:strCache>
            </c:strRef>
          </c:tx>
          <c:spPr>
            <a:solidFill>
              <a:srgbClr val="00B050"/>
            </a:solidFill>
          </c:spPr>
          <c:invertIfNegative val="0"/>
          <c:cat>
            <c:strRef>
              <c:f>Sheet1!$B$24:$E$25</c:f>
              <c:strCache>
                <c:ptCount val="4"/>
                <c:pt idx="0">
                  <c:v>#8</c:v>
                </c:pt>
                <c:pt idx="1">
                  <c:v>#9</c:v>
                </c:pt>
                <c:pt idx="2">
                  <c:v>#10</c:v>
                </c:pt>
                <c:pt idx="3">
                  <c:v>#11</c:v>
                </c:pt>
              </c:strCache>
            </c:strRef>
          </c:cat>
          <c:val>
            <c:numRef>
              <c:f>Sheet1!$B$26:$E$26</c:f>
              <c:numCache>
                <c:formatCode>General</c:formatCode>
                <c:ptCount val="4"/>
                <c:pt idx="0">
                  <c:v>0</c:v>
                </c:pt>
                <c:pt idx="1">
                  <c:v>3</c:v>
                </c:pt>
                <c:pt idx="2">
                  <c:v>4</c:v>
                </c:pt>
                <c:pt idx="3">
                  <c:v>3</c:v>
                </c:pt>
              </c:numCache>
            </c:numRef>
          </c:val>
        </c:ser>
        <c:ser>
          <c:idx val="1"/>
          <c:order val="1"/>
          <c:tx>
            <c:strRef>
              <c:f>Sheet1!$A$27</c:f>
              <c:strCache>
                <c:ptCount val="1"/>
                <c:pt idx="0">
                  <c:v>Partially Compliant</c:v>
                </c:pt>
              </c:strCache>
            </c:strRef>
          </c:tx>
          <c:spPr>
            <a:solidFill>
              <a:srgbClr val="FFFF00"/>
            </a:solidFill>
          </c:spPr>
          <c:invertIfNegative val="0"/>
          <c:cat>
            <c:strRef>
              <c:f>Sheet1!$B$24:$E$25</c:f>
              <c:strCache>
                <c:ptCount val="4"/>
                <c:pt idx="0">
                  <c:v>#8</c:v>
                </c:pt>
                <c:pt idx="1">
                  <c:v>#9</c:v>
                </c:pt>
                <c:pt idx="2">
                  <c:v>#10</c:v>
                </c:pt>
                <c:pt idx="3">
                  <c:v>#11</c:v>
                </c:pt>
              </c:strCache>
            </c:strRef>
          </c:cat>
          <c:val>
            <c:numRef>
              <c:f>Sheet1!$B$27:$E$27</c:f>
              <c:numCache>
                <c:formatCode>General</c:formatCode>
                <c:ptCount val="4"/>
                <c:pt idx="0">
                  <c:v>4</c:v>
                </c:pt>
                <c:pt idx="1">
                  <c:v>5</c:v>
                </c:pt>
                <c:pt idx="2">
                  <c:v>3</c:v>
                </c:pt>
                <c:pt idx="3">
                  <c:v>1</c:v>
                </c:pt>
              </c:numCache>
            </c:numRef>
          </c:val>
        </c:ser>
        <c:ser>
          <c:idx val="2"/>
          <c:order val="2"/>
          <c:tx>
            <c:strRef>
              <c:f>Sheet1!$A$28</c:f>
              <c:strCache>
                <c:ptCount val="1"/>
                <c:pt idx="0">
                  <c:v>Non Compliant</c:v>
                </c:pt>
              </c:strCache>
            </c:strRef>
          </c:tx>
          <c:spPr>
            <a:solidFill>
              <a:srgbClr val="FF0000"/>
            </a:solidFill>
          </c:spPr>
          <c:invertIfNegative val="0"/>
          <c:cat>
            <c:strRef>
              <c:f>Sheet1!$B$24:$E$25</c:f>
              <c:strCache>
                <c:ptCount val="4"/>
                <c:pt idx="0">
                  <c:v>#8</c:v>
                </c:pt>
                <c:pt idx="1">
                  <c:v>#9</c:v>
                </c:pt>
                <c:pt idx="2">
                  <c:v>#10</c:v>
                </c:pt>
                <c:pt idx="3">
                  <c:v>#11</c:v>
                </c:pt>
              </c:strCache>
            </c:strRef>
          </c:cat>
          <c:val>
            <c:numRef>
              <c:f>Sheet1!$B$28:$E$28</c:f>
              <c:numCache>
                <c:formatCode>General</c:formatCode>
                <c:ptCount val="4"/>
                <c:pt idx="0">
                  <c:v>5</c:v>
                </c:pt>
                <c:pt idx="1">
                  <c:v>1</c:v>
                </c:pt>
                <c:pt idx="2">
                  <c:v>2</c:v>
                </c:pt>
                <c:pt idx="3">
                  <c:v>5</c:v>
                </c:pt>
              </c:numCache>
            </c:numRef>
          </c:val>
        </c:ser>
        <c:dLbls>
          <c:showLegendKey val="0"/>
          <c:showVal val="0"/>
          <c:showCatName val="0"/>
          <c:showSerName val="0"/>
          <c:showPercent val="0"/>
          <c:showBubbleSize val="0"/>
        </c:dLbls>
        <c:gapWidth val="150"/>
        <c:overlap val="100"/>
        <c:axId val="102910592"/>
        <c:axId val="102916864"/>
      </c:barChart>
      <c:catAx>
        <c:axId val="102910592"/>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02916864"/>
        <c:crosses val="autoZero"/>
        <c:auto val="1"/>
        <c:lblAlgn val="ctr"/>
        <c:lblOffset val="100"/>
        <c:noMultiLvlLbl val="0"/>
      </c:catAx>
      <c:valAx>
        <c:axId val="102916864"/>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029105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Sheet1!$A$32</c:f>
              <c:strCache>
                <c:ptCount val="1"/>
                <c:pt idx="0">
                  <c:v>Fully Compliant</c:v>
                </c:pt>
              </c:strCache>
            </c:strRef>
          </c:tx>
          <c:spPr>
            <a:solidFill>
              <a:srgbClr val="00B050"/>
            </a:solidFill>
          </c:spPr>
          <c:invertIfNegative val="0"/>
          <c:cat>
            <c:strRef>
              <c:f>Sheet1!$B$30:$E$31</c:f>
              <c:strCache>
                <c:ptCount val="4"/>
                <c:pt idx="0">
                  <c:v>#8</c:v>
                </c:pt>
                <c:pt idx="1">
                  <c:v>#9</c:v>
                </c:pt>
                <c:pt idx="2">
                  <c:v>#10</c:v>
                </c:pt>
                <c:pt idx="3">
                  <c:v>#11</c:v>
                </c:pt>
              </c:strCache>
            </c:strRef>
          </c:cat>
          <c:val>
            <c:numRef>
              <c:f>Sheet1!$B$32:$E$32</c:f>
              <c:numCache>
                <c:formatCode>General</c:formatCode>
                <c:ptCount val="4"/>
                <c:pt idx="0">
                  <c:v>1</c:v>
                </c:pt>
                <c:pt idx="1">
                  <c:v>2</c:v>
                </c:pt>
                <c:pt idx="2">
                  <c:v>3</c:v>
                </c:pt>
                <c:pt idx="3">
                  <c:v>1</c:v>
                </c:pt>
              </c:numCache>
            </c:numRef>
          </c:val>
        </c:ser>
        <c:ser>
          <c:idx val="1"/>
          <c:order val="1"/>
          <c:tx>
            <c:strRef>
              <c:f>Sheet1!$A$33</c:f>
              <c:strCache>
                <c:ptCount val="1"/>
                <c:pt idx="0">
                  <c:v>Partially Compliant</c:v>
                </c:pt>
              </c:strCache>
            </c:strRef>
          </c:tx>
          <c:spPr>
            <a:solidFill>
              <a:srgbClr val="FFFF00"/>
            </a:solidFill>
          </c:spPr>
          <c:invertIfNegative val="0"/>
          <c:cat>
            <c:strRef>
              <c:f>Sheet1!$B$30:$E$31</c:f>
              <c:strCache>
                <c:ptCount val="4"/>
                <c:pt idx="0">
                  <c:v>#8</c:v>
                </c:pt>
                <c:pt idx="1">
                  <c:v>#9</c:v>
                </c:pt>
                <c:pt idx="2">
                  <c:v>#10</c:v>
                </c:pt>
                <c:pt idx="3">
                  <c:v>#11</c:v>
                </c:pt>
              </c:strCache>
            </c:strRef>
          </c:cat>
          <c:val>
            <c:numRef>
              <c:f>Sheet1!$B$33:$E$33</c:f>
              <c:numCache>
                <c:formatCode>General</c:formatCode>
                <c:ptCount val="4"/>
                <c:pt idx="0">
                  <c:v>2</c:v>
                </c:pt>
                <c:pt idx="1">
                  <c:v>2</c:v>
                </c:pt>
                <c:pt idx="2">
                  <c:v>0</c:v>
                </c:pt>
                <c:pt idx="3">
                  <c:v>0</c:v>
                </c:pt>
              </c:numCache>
            </c:numRef>
          </c:val>
        </c:ser>
        <c:ser>
          <c:idx val="2"/>
          <c:order val="2"/>
          <c:tx>
            <c:strRef>
              <c:f>Sheet1!$A$34</c:f>
              <c:strCache>
                <c:ptCount val="1"/>
                <c:pt idx="0">
                  <c:v>Non Compliant</c:v>
                </c:pt>
              </c:strCache>
            </c:strRef>
          </c:tx>
          <c:spPr>
            <a:solidFill>
              <a:srgbClr val="FF0000"/>
            </a:solidFill>
          </c:spPr>
          <c:invertIfNegative val="0"/>
          <c:cat>
            <c:strRef>
              <c:f>Sheet1!$B$30:$E$31</c:f>
              <c:strCache>
                <c:ptCount val="4"/>
                <c:pt idx="0">
                  <c:v>#8</c:v>
                </c:pt>
                <c:pt idx="1">
                  <c:v>#9</c:v>
                </c:pt>
                <c:pt idx="2">
                  <c:v>#10</c:v>
                </c:pt>
                <c:pt idx="3">
                  <c:v>#11</c:v>
                </c:pt>
              </c:strCache>
            </c:strRef>
          </c:cat>
          <c:val>
            <c:numRef>
              <c:f>Sheet1!$B$34:$E$34</c:f>
              <c:numCache>
                <c:formatCode>General</c:formatCode>
                <c:ptCount val="4"/>
                <c:pt idx="0">
                  <c:v>6</c:v>
                </c:pt>
                <c:pt idx="1">
                  <c:v>5</c:v>
                </c:pt>
                <c:pt idx="2">
                  <c:v>6</c:v>
                </c:pt>
                <c:pt idx="3">
                  <c:v>8</c:v>
                </c:pt>
              </c:numCache>
            </c:numRef>
          </c:val>
        </c:ser>
        <c:dLbls>
          <c:showLegendKey val="0"/>
          <c:showVal val="0"/>
          <c:showCatName val="0"/>
          <c:showSerName val="0"/>
          <c:showPercent val="0"/>
          <c:showBubbleSize val="0"/>
        </c:dLbls>
        <c:gapWidth val="150"/>
        <c:overlap val="100"/>
        <c:axId val="103082240"/>
        <c:axId val="102957440"/>
      </c:barChart>
      <c:catAx>
        <c:axId val="103082240"/>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02957440"/>
        <c:crosses val="autoZero"/>
        <c:auto val="1"/>
        <c:lblAlgn val="ctr"/>
        <c:lblOffset val="100"/>
        <c:noMultiLvlLbl val="0"/>
      </c:catAx>
      <c:valAx>
        <c:axId val="102957440"/>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030822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Sheet1!$A$38</c:f>
              <c:strCache>
                <c:ptCount val="1"/>
                <c:pt idx="0">
                  <c:v>Fully Compliant</c:v>
                </c:pt>
              </c:strCache>
            </c:strRef>
          </c:tx>
          <c:spPr>
            <a:solidFill>
              <a:srgbClr val="00B050"/>
            </a:solidFill>
          </c:spPr>
          <c:invertIfNegative val="0"/>
          <c:cat>
            <c:strRef>
              <c:f>Sheet1!$B$36:$E$37</c:f>
              <c:strCache>
                <c:ptCount val="4"/>
                <c:pt idx="0">
                  <c:v>#8</c:v>
                </c:pt>
                <c:pt idx="1">
                  <c:v>#9</c:v>
                </c:pt>
                <c:pt idx="2">
                  <c:v>#10</c:v>
                </c:pt>
                <c:pt idx="3">
                  <c:v>#11</c:v>
                </c:pt>
              </c:strCache>
            </c:strRef>
          </c:cat>
          <c:val>
            <c:numRef>
              <c:f>Sheet1!$B$38:$E$38</c:f>
              <c:numCache>
                <c:formatCode>General</c:formatCode>
                <c:ptCount val="4"/>
                <c:pt idx="0">
                  <c:v>5</c:v>
                </c:pt>
                <c:pt idx="1">
                  <c:v>6</c:v>
                </c:pt>
                <c:pt idx="2">
                  <c:v>7</c:v>
                </c:pt>
                <c:pt idx="3">
                  <c:v>3</c:v>
                </c:pt>
              </c:numCache>
            </c:numRef>
          </c:val>
        </c:ser>
        <c:ser>
          <c:idx val="1"/>
          <c:order val="1"/>
          <c:tx>
            <c:strRef>
              <c:f>Sheet1!$A$39</c:f>
              <c:strCache>
                <c:ptCount val="1"/>
                <c:pt idx="0">
                  <c:v>Partially Compliant</c:v>
                </c:pt>
              </c:strCache>
            </c:strRef>
          </c:tx>
          <c:spPr>
            <a:solidFill>
              <a:srgbClr val="FFFF00"/>
            </a:solidFill>
          </c:spPr>
          <c:invertIfNegative val="0"/>
          <c:cat>
            <c:strRef>
              <c:f>Sheet1!$B$36:$E$37</c:f>
              <c:strCache>
                <c:ptCount val="4"/>
                <c:pt idx="0">
                  <c:v>#8</c:v>
                </c:pt>
                <c:pt idx="1">
                  <c:v>#9</c:v>
                </c:pt>
                <c:pt idx="2">
                  <c:v>#10</c:v>
                </c:pt>
                <c:pt idx="3">
                  <c:v>#11</c:v>
                </c:pt>
              </c:strCache>
            </c:strRef>
          </c:cat>
          <c:val>
            <c:numRef>
              <c:f>Sheet1!$B$39:$E$39</c:f>
              <c:numCache>
                <c:formatCode>General</c:formatCode>
                <c:ptCount val="4"/>
                <c:pt idx="0">
                  <c:v>1</c:v>
                </c:pt>
                <c:pt idx="1">
                  <c:v>0</c:v>
                </c:pt>
                <c:pt idx="2">
                  <c:v>0</c:v>
                </c:pt>
                <c:pt idx="3">
                  <c:v>0</c:v>
                </c:pt>
              </c:numCache>
            </c:numRef>
          </c:val>
        </c:ser>
        <c:ser>
          <c:idx val="2"/>
          <c:order val="2"/>
          <c:tx>
            <c:strRef>
              <c:f>Sheet1!$A$40</c:f>
              <c:strCache>
                <c:ptCount val="1"/>
                <c:pt idx="0">
                  <c:v>Non Compliant</c:v>
                </c:pt>
              </c:strCache>
            </c:strRef>
          </c:tx>
          <c:spPr>
            <a:solidFill>
              <a:srgbClr val="FF0000"/>
            </a:solidFill>
          </c:spPr>
          <c:invertIfNegative val="0"/>
          <c:cat>
            <c:strRef>
              <c:f>Sheet1!$B$36:$E$37</c:f>
              <c:strCache>
                <c:ptCount val="4"/>
                <c:pt idx="0">
                  <c:v>#8</c:v>
                </c:pt>
                <c:pt idx="1">
                  <c:v>#9</c:v>
                </c:pt>
                <c:pt idx="2">
                  <c:v>#10</c:v>
                </c:pt>
                <c:pt idx="3">
                  <c:v>#11</c:v>
                </c:pt>
              </c:strCache>
            </c:strRef>
          </c:cat>
          <c:val>
            <c:numRef>
              <c:f>Sheet1!$B$40:$E$40</c:f>
              <c:numCache>
                <c:formatCode>General</c:formatCode>
                <c:ptCount val="4"/>
                <c:pt idx="0">
                  <c:v>3</c:v>
                </c:pt>
                <c:pt idx="1">
                  <c:v>3</c:v>
                </c:pt>
                <c:pt idx="2">
                  <c:v>2</c:v>
                </c:pt>
                <c:pt idx="3">
                  <c:v>6</c:v>
                </c:pt>
              </c:numCache>
            </c:numRef>
          </c:val>
        </c:ser>
        <c:dLbls>
          <c:showLegendKey val="0"/>
          <c:showVal val="0"/>
          <c:showCatName val="0"/>
          <c:showSerName val="0"/>
          <c:showPercent val="0"/>
          <c:showBubbleSize val="0"/>
        </c:dLbls>
        <c:gapWidth val="150"/>
        <c:overlap val="100"/>
        <c:axId val="107812736"/>
        <c:axId val="107819008"/>
      </c:barChart>
      <c:catAx>
        <c:axId val="107812736"/>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07819008"/>
        <c:crosses val="autoZero"/>
        <c:auto val="1"/>
        <c:lblAlgn val="ctr"/>
        <c:lblOffset val="100"/>
        <c:noMultiLvlLbl val="0"/>
      </c:catAx>
      <c:valAx>
        <c:axId val="107819008"/>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07812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Sheet1!$A$44</c:f>
              <c:strCache>
                <c:ptCount val="1"/>
                <c:pt idx="0">
                  <c:v>Fully Compliant</c:v>
                </c:pt>
              </c:strCache>
            </c:strRef>
          </c:tx>
          <c:spPr>
            <a:solidFill>
              <a:srgbClr val="00B050"/>
            </a:solidFill>
          </c:spPr>
          <c:invertIfNegative val="0"/>
          <c:cat>
            <c:strRef>
              <c:f>Sheet1!$B$42:$E$43</c:f>
              <c:strCache>
                <c:ptCount val="4"/>
                <c:pt idx="0">
                  <c:v>#8</c:v>
                </c:pt>
                <c:pt idx="1">
                  <c:v>#9</c:v>
                </c:pt>
                <c:pt idx="2">
                  <c:v>#10</c:v>
                </c:pt>
                <c:pt idx="3">
                  <c:v>#11</c:v>
                </c:pt>
              </c:strCache>
            </c:strRef>
          </c:cat>
          <c:val>
            <c:numRef>
              <c:f>Sheet1!$B$44:$E$44</c:f>
              <c:numCache>
                <c:formatCode>General</c:formatCode>
                <c:ptCount val="4"/>
                <c:pt idx="0">
                  <c:v>2</c:v>
                </c:pt>
                <c:pt idx="1">
                  <c:v>2</c:v>
                </c:pt>
                <c:pt idx="2">
                  <c:v>4</c:v>
                </c:pt>
                <c:pt idx="3">
                  <c:v>1</c:v>
                </c:pt>
              </c:numCache>
            </c:numRef>
          </c:val>
        </c:ser>
        <c:ser>
          <c:idx val="1"/>
          <c:order val="1"/>
          <c:tx>
            <c:strRef>
              <c:f>Sheet1!$A$45</c:f>
              <c:strCache>
                <c:ptCount val="1"/>
                <c:pt idx="0">
                  <c:v>Partially Compliant</c:v>
                </c:pt>
              </c:strCache>
            </c:strRef>
          </c:tx>
          <c:spPr>
            <a:solidFill>
              <a:srgbClr val="FFFF00"/>
            </a:solidFill>
          </c:spPr>
          <c:invertIfNegative val="0"/>
          <c:cat>
            <c:strRef>
              <c:f>Sheet1!$B$42:$E$43</c:f>
              <c:strCache>
                <c:ptCount val="4"/>
                <c:pt idx="0">
                  <c:v>#8</c:v>
                </c:pt>
                <c:pt idx="1">
                  <c:v>#9</c:v>
                </c:pt>
                <c:pt idx="2">
                  <c:v>#10</c:v>
                </c:pt>
                <c:pt idx="3">
                  <c:v>#11</c:v>
                </c:pt>
              </c:strCache>
            </c:strRef>
          </c:cat>
          <c:val>
            <c:numRef>
              <c:f>Sheet1!$B$45:$E$45</c:f>
              <c:numCache>
                <c:formatCode>General</c:formatCode>
                <c:ptCount val="4"/>
                <c:pt idx="0">
                  <c:v>2</c:v>
                </c:pt>
                <c:pt idx="1">
                  <c:v>0</c:v>
                </c:pt>
                <c:pt idx="2">
                  <c:v>0</c:v>
                </c:pt>
                <c:pt idx="3">
                  <c:v>0</c:v>
                </c:pt>
              </c:numCache>
            </c:numRef>
          </c:val>
        </c:ser>
        <c:ser>
          <c:idx val="2"/>
          <c:order val="2"/>
          <c:tx>
            <c:strRef>
              <c:f>Sheet1!$A$46</c:f>
              <c:strCache>
                <c:ptCount val="1"/>
                <c:pt idx="0">
                  <c:v>Non Compliant</c:v>
                </c:pt>
              </c:strCache>
            </c:strRef>
          </c:tx>
          <c:spPr>
            <a:solidFill>
              <a:srgbClr val="FF0000"/>
            </a:solidFill>
          </c:spPr>
          <c:invertIfNegative val="0"/>
          <c:cat>
            <c:strRef>
              <c:f>Sheet1!$B$42:$E$43</c:f>
              <c:strCache>
                <c:ptCount val="4"/>
                <c:pt idx="0">
                  <c:v>#8</c:v>
                </c:pt>
                <c:pt idx="1">
                  <c:v>#9</c:v>
                </c:pt>
                <c:pt idx="2">
                  <c:v>#10</c:v>
                </c:pt>
                <c:pt idx="3">
                  <c:v>#11</c:v>
                </c:pt>
              </c:strCache>
            </c:strRef>
          </c:cat>
          <c:val>
            <c:numRef>
              <c:f>Sheet1!$B$46:$E$46</c:f>
              <c:numCache>
                <c:formatCode>General</c:formatCode>
                <c:ptCount val="4"/>
                <c:pt idx="0">
                  <c:v>5</c:v>
                </c:pt>
                <c:pt idx="1">
                  <c:v>7</c:v>
                </c:pt>
                <c:pt idx="2">
                  <c:v>5</c:v>
                </c:pt>
                <c:pt idx="3">
                  <c:v>8</c:v>
                </c:pt>
              </c:numCache>
            </c:numRef>
          </c:val>
        </c:ser>
        <c:dLbls>
          <c:showLegendKey val="0"/>
          <c:showVal val="0"/>
          <c:showCatName val="0"/>
          <c:showSerName val="0"/>
          <c:showPercent val="0"/>
          <c:showBubbleSize val="0"/>
        </c:dLbls>
        <c:gapWidth val="150"/>
        <c:overlap val="100"/>
        <c:axId val="112834432"/>
        <c:axId val="112836608"/>
      </c:barChart>
      <c:catAx>
        <c:axId val="112834432"/>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12836608"/>
        <c:crosses val="autoZero"/>
        <c:auto val="1"/>
        <c:lblAlgn val="ctr"/>
        <c:lblOffset val="100"/>
        <c:noMultiLvlLbl val="0"/>
      </c:catAx>
      <c:valAx>
        <c:axId val="112836608"/>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12834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Sheet1!$A$50</c:f>
              <c:strCache>
                <c:ptCount val="1"/>
                <c:pt idx="0">
                  <c:v>Fully Compliant</c:v>
                </c:pt>
              </c:strCache>
            </c:strRef>
          </c:tx>
          <c:spPr>
            <a:solidFill>
              <a:srgbClr val="00B050"/>
            </a:solidFill>
          </c:spPr>
          <c:invertIfNegative val="0"/>
          <c:cat>
            <c:strRef>
              <c:f>Sheet1!$B$48:$E$49</c:f>
              <c:strCache>
                <c:ptCount val="4"/>
                <c:pt idx="0">
                  <c:v>#8</c:v>
                </c:pt>
                <c:pt idx="1">
                  <c:v>#9</c:v>
                </c:pt>
                <c:pt idx="2">
                  <c:v>#10</c:v>
                </c:pt>
                <c:pt idx="3">
                  <c:v>#11</c:v>
                </c:pt>
              </c:strCache>
            </c:strRef>
          </c:cat>
          <c:val>
            <c:numRef>
              <c:f>Sheet1!$B$50:$E$50</c:f>
              <c:numCache>
                <c:formatCode>General</c:formatCode>
                <c:ptCount val="4"/>
                <c:pt idx="0">
                  <c:v>1</c:v>
                </c:pt>
                <c:pt idx="1">
                  <c:v>4</c:v>
                </c:pt>
                <c:pt idx="2">
                  <c:v>4</c:v>
                </c:pt>
                <c:pt idx="3">
                  <c:v>0</c:v>
                </c:pt>
              </c:numCache>
            </c:numRef>
          </c:val>
        </c:ser>
        <c:ser>
          <c:idx val="1"/>
          <c:order val="1"/>
          <c:tx>
            <c:strRef>
              <c:f>Sheet1!$A$51</c:f>
              <c:strCache>
                <c:ptCount val="1"/>
                <c:pt idx="0">
                  <c:v>Partially Compliant</c:v>
                </c:pt>
              </c:strCache>
            </c:strRef>
          </c:tx>
          <c:spPr>
            <a:solidFill>
              <a:srgbClr val="FFFF00"/>
            </a:solidFill>
          </c:spPr>
          <c:invertIfNegative val="0"/>
          <c:cat>
            <c:strRef>
              <c:f>Sheet1!$B$48:$E$49</c:f>
              <c:strCache>
                <c:ptCount val="4"/>
                <c:pt idx="0">
                  <c:v>#8</c:v>
                </c:pt>
                <c:pt idx="1">
                  <c:v>#9</c:v>
                </c:pt>
                <c:pt idx="2">
                  <c:v>#10</c:v>
                </c:pt>
                <c:pt idx="3">
                  <c:v>#11</c:v>
                </c:pt>
              </c:strCache>
            </c:strRef>
          </c:cat>
          <c:val>
            <c:numRef>
              <c:f>Sheet1!$B$51:$E$51</c:f>
              <c:numCache>
                <c:formatCode>General</c:formatCode>
                <c:ptCount val="4"/>
                <c:pt idx="0">
                  <c:v>1</c:v>
                </c:pt>
                <c:pt idx="1">
                  <c:v>0</c:v>
                </c:pt>
                <c:pt idx="2">
                  <c:v>0</c:v>
                </c:pt>
                <c:pt idx="3">
                  <c:v>0</c:v>
                </c:pt>
              </c:numCache>
            </c:numRef>
          </c:val>
        </c:ser>
        <c:ser>
          <c:idx val="2"/>
          <c:order val="2"/>
          <c:tx>
            <c:strRef>
              <c:f>Sheet1!$A$52</c:f>
              <c:strCache>
                <c:ptCount val="1"/>
                <c:pt idx="0">
                  <c:v>Non Compliant</c:v>
                </c:pt>
              </c:strCache>
            </c:strRef>
          </c:tx>
          <c:spPr>
            <a:solidFill>
              <a:srgbClr val="FF0000"/>
            </a:solidFill>
          </c:spPr>
          <c:invertIfNegative val="0"/>
          <c:cat>
            <c:strRef>
              <c:f>Sheet1!$B$48:$E$49</c:f>
              <c:strCache>
                <c:ptCount val="4"/>
                <c:pt idx="0">
                  <c:v>#8</c:v>
                </c:pt>
                <c:pt idx="1">
                  <c:v>#9</c:v>
                </c:pt>
                <c:pt idx="2">
                  <c:v>#10</c:v>
                </c:pt>
                <c:pt idx="3">
                  <c:v>#11</c:v>
                </c:pt>
              </c:strCache>
            </c:strRef>
          </c:cat>
          <c:val>
            <c:numRef>
              <c:f>Sheet1!$B$52:$E$52</c:f>
              <c:numCache>
                <c:formatCode>General</c:formatCode>
                <c:ptCount val="4"/>
                <c:pt idx="0">
                  <c:v>7</c:v>
                </c:pt>
                <c:pt idx="1">
                  <c:v>5</c:v>
                </c:pt>
                <c:pt idx="2">
                  <c:v>5</c:v>
                </c:pt>
                <c:pt idx="3">
                  <c:v>9</c:v>
                </c:pt>
              </c:numCache>
            </c:numRef>
          </c:val>
        </c:ser>
        <c:dLbls>
          <c:showLegendKey val="0"/>
          <c:showVal val="0"/>
          <c:showCatName val="0"/>
          <c:showSerName val="0"/>
          <c:showPercent val="0"/>
          <c:showBubbleSize val="0"/>
        </c:dLbls>
        <c:gapWidth val="150"/>
        <c:overlap val="100"/>
        <c:axId val="112633344"/>
        <c:axId val="112635264"/>
      </c:barChart>
      <c:catAx>
        <c:axId val="112633344"/>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12635264"/>
        <c:crosses val="autoZero"/>
        <c:auto val="1"/>
        <c:lblAlgn val="ctr"/>
        <c:lblOffset val="100"/>
        <c:noMultiLvlLbl val="0"/>
      </c:catAx>
      <c:valAx>
        <c:axId val="112635264"/>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12633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Sheet1!$A$56</c:f>
              <c:strCache>
                <c:ptCount val="1"/>
                <c:pt idx="0">
                  <c:v>Fully Compliant</c:v>
                </c:pt>
              </c:strCache>
            </c:strRef>
          </c:tx>
          <c:spPr>
            <a:solidFill>
              <a:srgbClr val="00B050"/>
            </a:solidFill>
          </c:spPr>
          <c:invertIfNegative val="0"/>
          <c:cat>
            <c:strRef>
              <c:f>Sheet1!$B$54:$E$55</c:f>
              <c:strCache>
                <c:ptCount val="4"/>
                <c:pt idx="0">
                  <c:v>#8</c:v>
                </c:pt>
                <c:pt idx="1">
                  <c:v>#9</c:v>
                </c:pt>
                <c:pt idx="2">
                  <c:v>#10</c:v>
                </c:pt>
                <c:pt idx="3">
                  <c:v>#11</c:v>
                </c:pt>
              </c:strCache>
            </c:strRef>
          </c:cat>
          <c:val>
            <c:numRef>
              <c:f>Sheet1!$B$56:$E$56</c:f>
              <c:numCache>
                <c:formatCode>General</c:formatCode>
                <c:ptCount val="4"/>
                <c:pt idx="0">
                  <c:v>1</c:v>
                </c:pt>
                <c:pt idx="1">
                  <c:v>2</c:v>
                </c:pt>
                <c:pt idx="2">
                  <c:v>4</c:v>
                </c:pt>
                <c:pt idx="3">
                  <c:v>0</c:v>
                </c:pt>
              </c:numCache>
            </c:numRef>
          </c:val>
        </c:ser>
        <c:ser>
          <c:idx val="1"/>
          <c:order val="1"/>
          <c:tx>
            <c:strRef>
              <c:f>Sheet1!$A$57</c:f>
              <c:strCache>
                <c:ptCount val="1"/>
                <c:pt idx="0">
                  <c:v>Partially Compliant</c:v>
                </c:pt>
              </c:strCache>
            </c:strRef>
          </c:tx>
          <c:spPr>
            <a:solidFill>
              <a:srgbClr val="FFFF00"/>
            </a:solidFill>
          </c:spPr>
          <c:invertIfNegative val="0"/>
          <c:cat>
            <c:strRef>
              <c:f>Sheet1!$B$54:$E$55</c:f>
              <c:strCache>
                <c:ptCount val="4"/>
                <c:pt idx="0">
                  <c:v>#8</c:v>
                </c:pt>
                <c:pt idx="1">
                  <c:v>#9</c:v>
                </c:pt>
                <c:pt idx="2">
                  <c:v>#10</c:v>
                </c:pt>
                <c:pt idx="3">
                  <c:v>#11</c:v>
                </c:pt>
              </c:strCache>
            </c:strRef>
          </c:cat>
          <c:val>
            <c:numRef>
              <c:f>Sheet1!$B$57:$E$57</c:f>
              <c:numCache>
                <c:formatCode>General</c:formatCode>
                <c:ptCount val="4"/>
                <c:pt idx="0">
                  <c:v>1</c:v>
                </c:pt>
                <c:pt idx="1">
                  <c:v>1</c:v>
                </c:pt>
                <c:pt idx="2">
                  <c:v>0</c:v>
                </c:pt>
                <c:pt idx="3">
                  <c:v>0</c:v>
                </c:pt>
              </c:numCache>
            </c:numRef>
          </c:val>
        </c:ser>
        <c:ser>
          <c:idx val="2"/>
          <c:order val="2"/>
          <c:tx>
            <c:strRef>
              <c:f>Sheet1!$A$58</c:f>
              <c:strCache>
                <c:ptCount val="1"/>
                <c:pt idx="0">
                  <c:v>Non Compliant</c:v>
                </c:pt>
              </c:strCache>
            </c:strRef>
          </c:tx>
          <c:spPr>
            <a:solidFill>
              <a:srgbClr val="FF0000"/>
            </a:solidFill>
          </c:spPr>
          <c:invertIfNegative val="0"/>
          <c:cat>
            <c:strRef>
              <c:f>Sheet1!$B$54:$E$55</c:f>
              <c:strCache>
                <c:ptCount val="4"/>
                <c:pt idx="0">
                  <c:v>#8</c:v>
                </c:pt>
                <c:pt idx="1">
                  <c:v>#9</c:v>
                </c:pt>
                <c:pt idx="2">
                  <c:v>#10</c:v>
                </c:pt>
                <c:pt idx="3">
                  <c:v>#11</c:v>
                </c:pt>
              </c:strCache>
            </c:strRef>
          </c:cat>
          <c:val>
            <c:numRef>
              <c:f>Sheet1!$B$58:$E$58</c:f>
              <c:numCache>
                <c:formatCode>General</c:formatCode>
                <c:ptCount val="4"/>
                <c:pt idx="0">
                  <c:v>7</c:v>
                </c:pt>
                <c:pt idx="1">
                  <c:v>6</c:v>
                </c:pt>
                <c:pt idx="2">
                  <c:v>5</c:v>
                </c:pt>
                <c:pt idx="3">
                  <c:v>9</c:v>
                </c:pt>
              </c:numCache>
            </c:numRef>
          </c:val>
        </c:ser>
        <c:dLbls>
          <c:showLegendKey val="0"/>
          <c:showVal val="0"/>
          <c:showCatName val="0"/>
          <c:showSerName val="0"/>
          <c:showPercent val="0"/>
          <c:showBubbleSize val="0"/>
        </c:dLbls>
        <c:gapWidth val="150"/>
        <c:overlap val="100"/>
        <c:axId val="112698496"/>
        <c:axId val="112700416"/>
      </c:barChart>
      <c:catAx>
        <c:axId val="112698496"/>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12700416"/>
        <c:crosses val="autoZero"/>
        <c:auto val="1"/>
        <c:lblAlgn val="ctr"/>
        <c:lblOffset val="100"/>
        <c:noMultiLvlLbl val="0"/>
      </c:catAx>
      <c:valAx>
        <c:axId val="112700416"/>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126984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Sheet2!$A$57</c:f>
              <c:strCache>
                <c:ptCount val="1"/>
                <c:pt idx="0">
                  <c:v>Non TC Warnings sent to Wellington</c:v>
                </c:pt>
              </c:strCache>
            </c:strRef>
          </c:tx>
          <c:cat>
            <c:strRef>
              <c:f>Sheet2!$B$55:$E$56</c:f>
              <c:strCache>
                <c:ptCount val="4"/>
                <c:pt idx="0">
                  <c:v>#8</c:v>
                </c:pt>
                <c:pt idx="1">
                  <c:v>#9</c:v>
                </c:pt>
                <c:pt idx="2">
                  <c:v>#10</c:v>
                </c:pt>
                <c:pt idx="3">
                  <c:v>#11</c:v>
                </c:pt>
              </c:strCache>
            </c:strRef>
          </c:cat>
          <c:val>
            <c:numRef>
              <c:f>Sheet2!$B$57:$E$57</c:f>
              <c:numCache>
                <c:formatCode>General</c:formatCode>
                <c:ptCount val="4"/>
                <c:pt idx="0">
                  <c:v>5</c:v>
                </c:pt>
                <c:pt idx="1">
                  <c:v>5</c:v>
                </c:pt>
                <c:pt idx="2">
                  <c:v>6</c:v>
                </c:pt>
                <c:pt idx="3">
                  <c:v>4</c:v>
                </c:pt>
              </c:numCache>
            </c:numRef>
          </c:val>
          <c:smooth val="0"/>
        </c:ser>
        <c:ser>
          <c:idx val="1"/>
          <c:order val="1"/>
          <c:tx>
            <c:strRef>
              <c:f>Sheet2!$A$58</c:f>
              <c:strCache>
                <c:ptCount val="1"/>
                <c:pt idx="0">
                  <c:v>Non TC warnings functioning smoothly - DMCPA</c:v>
                </c:pt>
              </c:strCache>
            </c:strRef>
          </c:tx>
          <c:cat>
            <c:strRef>
              <c:f>Sheet2!$B$55:$E$56</c:f>
              <c:strCache>
                <c:ptCount val="4"/>
                <c:pt idx="0">
                  <c:v>#8</c:v>
                </c:pt>
                <c:pt idx="1">
                  <c:v>#9</c:v>
                </c:pt>
                <c:pt idx="2">
                  <c:v>#10</c:v>
                </c:pt>
                <c:pt idx="3">
                  <c:v>#11</c:v>
                </c:pt>
              </c:strCache>
            </c:strRef>
          </c:cat>
          <c:val>
            <c:numRef>
              <c:f>Sheet2!$B$58:$E$58</c:f>
              <c:numCache>
                <c:formatCode>General</c:formatCode>
                <c:ptCount val="4"/>
                <c:pt idx="0">
                  <c:v>3</c:v>
                </c:pt>
                <c:pt idx="1">
                  <c:v>3</c:v>
                </c:pt>
                <c:pt idx="2">
                  <c:v>3</c:v>
                </c:pt>
                <c:pt idx="3">
                  <c:v>2</c:v>
                </c:pt>
              </c:numCache>
            </c:numRef>
          </c:val>
          <c:smooth val="0"/>
        </c:ser>
        <c:ser>
          <c:idx val="2"/>
          <c:order val="2"/>
          <c:tx>
            <c:strRef>
              <c:f>Sheet2!$A$59</c:f>
              <c:strCache>
                <c:ptCount val="1"/>
                <c:pt idx="0">
                  <c:v>Verification spreadsheet</c:v>
                </c:pt>
              </c:strCache>
            </c:strRef>
          </c:tx>
          <c:cat>
            <c:strRef>
              <c:f>Sheet2!$B$55:$E$56</c:f>
              <c:strCache>
                <c:ptCount val="4"/>
                <c:pt idx="0">
                  <c:v>#8</c:v>
                </c:pt>
                <c:pt idx="1">
                  <c:v>#9</c:v>
                </c:pt>
                <c:pt idx="2">
                  <c:v>#10</c:v>
                </c:pt>
                <c:pt idx="3">
                  <c:v>#11</c:v>
                </c:pt>
              </c:strCache>
            </c:strRef>
          </c:cat>
          <c:val>
            <c:numRef>
              <c:f>Sheet2!$B$59:$E$59</c:f>
              <c:numCache>
                <c:formatCode>General</c:formatCode>
                <c:ptCount val="4"/>
                <c:pt idx="0">
                  <c:v>0</c:v>
                </c:pt>
                <c:pt idx="1">
                  <c:v>3</c:v>
                </c:pt>
                <c:pt idx="2">
                  <c:v>4</c:v>
                </c:pt>
                <c:pt idx="3">
                  <c:v>3</c:v>
                </c:pt>
              </c:numCache>
            </c:numRef>
          </c:val>
          <c:smooth val="0"/>
        </c:ser>
        <c:ser>
          <c:idx val="3"/>
          <c:order val="3"/>
          <c:tx>
            <c:strRef>
              <c:f>Sheet2!$A$60</c:f>
              <c:strCache>
                <c:ptCount val="1"/>
                <c:pt idx="0">
                  <c:v>Case studies</c:v>
                </c:pt>
              </c:strCache>
            </c:strRef>
          </c:tx>
          <c:cat>
            <c:strRef>
              <c:f>Sheet2!$B$55:$E$56</c:f>
              <c:strCache>
                <c:ptCount val="4"/>
                <c:pt idx="0">
                  <c:v>#8</c:v>
                </c:pt>
                <c:pt idx="1">
                  <c:v>#9</c:v>
                </c:pt>
                <c:pt idx="2">
                  <c:v>#10</c:v>
                </c:pt>
                <c:pt idx="3">
                  <c:v>#11</c:v>
                </c:pt>
              </c:strCache>
            </c:strRef>
          </c:cat>
          <c:val>
            <c:numRef>
              <c:f>Sheet2!$B$60:$E$60</c:f>
              <c:numCache>
                <c:formatCode>General</c:formatCode>
                <c:ptCount val="4"/>
                <c:pt idx="0">
                  <c:v>1</c:v>
                </c:pt>
                <c:pt idx="1">
                  <c:v>2</c:v>
                </c:pt>
                <c:pt idx="2">
                  <c:v>3</c:v>
                </c:pt>
                <c:pt idx="3">
                  <c:v>1</c:v>
                </c:pt>
              </c:numCache>
            </c:numRef>
          </c:val>
          <c:smooth val="0"/>
        </c:ser>
        <c:ser>
          <c:idx val="4"/>
          <c:order val="4"/>
          <c:tx>
            <c:strRef>
              <c:f>Sheet2!$A$61</c:f>
              <c:strCache>
                <c:ptCount val="1"/>
                <c:pt idx="0">
                  <c:v>Progress report on time</c:v>
                </c:pt>
              </c:strCache>
            </c:strRef>
          </c:tx>
          <c:cat>
            <c:strRef>
              <c:f>Sheet2!$B$55:$E$56</c:f>
              <c:strCache>
                <c:ptCount val="4"/>
                <c:pt idx="0">
                  <c:v>#8</c:v>
                </c:pt>
                <c:pt idx="1">
                  <c:v>#9</c:v>
                </c:pt>
                <c:pt idx="2">
                  <c:v>#10</c:v>
                </c:pt>
                <c:pt idx="3">
                  <c:v>#11</c:v>
                </c:pt>
              </c:strCache>
            </c:strRef>
          </c:cat>
          <c:val>
            <c:numRef>
              <c:f>Sheet2!$B$61:$E$61</c:f>
              <c:numCache>
                <c:formatCode>General</c:formatCode>
                <c:ptCount val="4"/>
                <c:pt idx="0">
                  <c:v>6</c:v>
                </c:pt>
                <c:pt idx="1">
                  <c:v>6</c:v>
                </c:pt>
                <c:pt idx="2">
                  <c:v>7</c:v>
                </c:pt>
                <c:pt idx="3">
                  <c:v>3</c:v>
                </c:pt>
              </c:numCache>
            </c:numRef>
          </c:val>
          <c:smooth val="0"/>
        </c:ser>
        <c:ser>
          <c:idx val="5"/>
          <c:order val="5"/>
          <c:tx>
            <c:strRef>
              <c:f>Sheet2!$A$62</c:f>
              <c:strCache>
                <c:ptCount val="1"/>
                <c:pt idx="0">
                  <c:v>Feedback from DMCPA</c:v>
                </c:pt>
              </c:strCache>
            </c:strRef>
          </c:tx>
          <c:cat>
            <c:strRef>
              <c:f>Sheet2!$B$55:$E$56</c:f>
              <c:strCache>
                <c:ptCount val="4"/>
                <c:pt idx="0">
                  <c:v>#8</c:v>
                </c:pt>
                <c:pt idx="1">
                  <c:v>#9</c:v>
                </c:pt>
                <c:pt idx="2">
                  <c:v>#10</c:v>
                </c:pt>
                <c:pt idx="3">
                  <c:v>#11</c:v>
                </c:pt>
              </c:strCache>
            </c:strRef>
          </c:cat>
          <c:val>
            <c:numRef>
              <c:f>Sheet2!$B$62:$E$62</c:f>
              <c:numCache>
                <c:formatCode>General</c:formatCode>
                <c:ptCount val="4"/>
                <c:pt idx="0">
                  <c:v>3</c:v>
                </c:pt>
                <c:pt idx="1">
                  <c:v>2</c:v>
                </c:pt>
                <c:pt idx="2">
                  <c:v>4</c:v>
                </c:pt>
                <c:pt idx="3">
                  <c:v>1</c:v>
                </c:pt>
              </c:numCache>
            </c:numRef>
          </c:val>
          <c:smooth val="0"/>
        </c:ser>
        <c:ser>
          <c:idx val="6"/>
          <c:order val="6"/>
          <c:tx>
            <c:strRef>
              <c:f>Sheet2!$A$63</c:f>
              <c:strCache>
                <c:ptCount val="1"/>
                <c:pt idx="0">
                  <c:v>Feedback from Media</c:v>
                </c:pt>
              </c:strCache>
            </c:strRef>
          </c:tx>
          <c:cat>
            <c:strRef>
              <c:f>Sheet2!$B$55:$E$56</c:f>
              <c:strCache>
                <c:ptCount val="4"/>
                <c:pt idx="0">
                  <c:v>#8</c:v>
                </c:pt>
                <c:pt idx="1">
                  <c:v>#9</c:v>
                </c:pt>
                <c:pt idx="2">
                  <c:v>#10</c:v>
                </c:pt>
                <c:pt idx="3">
                  <c:v>#11</c:v>
                </c:pt>
              </c:strCache>
            </c:strRef>
          </c:cat>
          <c:val>
            <c:numRef>
              <c:f>Sheet2!$B$63:$E$63</c:f>
              <c:numCache>
                <c:formatCode>General</c:formatCode>
                <c:ptCount val="4"/>
                <c:pt idx="0">
                  <c:v>1</c:v>
                </c:pt>
                <c:pt idx="1">
                  <c:v>4</c:v>
                </c:pt>
                <c:pt idx="2">
                  <c:v>4</c:v>
                </c:pt>
                <c:pt idx="3">
                  <c:v>0</c:v>
                </c:pt>
              </c:numCache>
            </c:numRef>
          </c:val>
          <c:smooth val="0"/>
        </c:ser>
        <c:ser>
          <c:idx val="7"/>
          <c:order val="7"/>
          <c:tx>
            <c:strRef>
              <c:f>Sheet2!$A$64</c:f>
              <c:strCache>
                <c:ptCount val="1"/>
                <c:pt idx="0">
                  <c:v>Feedback from Public</c:v>
                </c:pt>
              </c:strCache>
            </c:strRef>
          </c:tx>
          <c:cat>
            <c:strRef>
              <c:f>Sheet2!$B$55:$E$56</c:f>
              <c:strCache>
                <c:ptCount val="4"/>
                <c:pt idx="0">
                  <c:v>#8</c:v>
                </c:pt>
                <c:pt idx="1">
                  <c:v>#9</c:v>
                </c:pt>
                <c:pt idx="2">
                  <c:v>#10</c:v>
                </c:pt>
                <c:pt idx="3">
                  <c:v>#11</c:v>
                </c:pt>
              </c:strCache>
            </c:strRef>
          </c:cat>
          <c:val>
            <c:numRef>
              <c:f>Sheet2!$B$64:$E$64</c:f>
              <c:numCache>
                <c:formatCode>General</c:formatCode>
                <c:ptCount val="4"/>
                <c:pt idx="0">
                  <c:v>1</c:v>
                </c:pt>
                <c:pt idx="1">
                  <c:v>2</c:v>
                </c:pt>
                <c:pt idx="2">
                  <c:v>4</c:v>
                </c:pt>
                <c:pt idx="3">
                  <c:v>0</c:v>
                </c:pt>
              </c:numCache>
            </c:numRef>
          </c:val>
          <c:smooth val="0"/>
        </c:ser>
        <c:dLbls>
          <c:showLegendKey val="0"/>
          <c:showVal val="0"/>
          <c:showCatName val="0"/>
          <c:showSerName val="0"/>
          <c:showPercent val="0"/>
          <c:showBubbleSize val="0"/>
        </c:dLbls>
        <c:marker val="1"/>
        <c:smooth val="0"/>
        <c:axId val="112550272"/>
        <c:axId val="112552192"/>
      </c:lineChart>
      <c:catAx>
        <c:axId val="112550272"/>
        <c:scaling>
          <c:orientation val="minMax"/>
        </c:scaling>
        <c:delete val="0"/>
        <c:axPos val="b"/>
        <c:title>
          <c:tx>
            <c:rich>
              <a:bodyPr/>
              <a:lstStyle/>
              <a:p>
                <a:pPr>
                  <a:defRPr/>
                </a:pPr>
                <a:r>
                  <a:rPr lang="en-US"/>
                  <a:t>Progress Report</a:t>
                </a:r>
              </a:p>
            </c:rich>
          </c:tx>
          <c:layout/>
          <c:overlay val="0"/>
        </c:title>
        <c:majorTickMark val="out"/>
        <c:minorTickMark val="none"/>
        <c:tickLblPos val="nextTo"/>
        <c:crossAx val="112552192"/>
        <c:crosses val="autoZero"/>
        <c:auto val="1"/>
        <c:lblAlgn val="ctr"/>
        <c:lblOffset val="100"/>
        <c:noMultiLvlLbl val="0"/>
      </c:catAx>
      <c:valAx>
        <c:axId val="112552192"/>
        <c:scaling>
          <c:orientation val="minMax"/>
          <c:max val="9"/>
        </c:scaling>
        <c:delete val="0"/>
        <c:axPos val="l"/>
        <c:majorGridlines/>
        <c:title>
          <c:tx>
            <c:rich>
              <a:bodyPr rot="0" vert="horz"/>
              <a:lstStyle/>
              <a:p>
                <a:pPr>
                  <a:defRPr/>
                </a:pPr>
                <a:r>
                  <a:rPr lang="en-US"/>
                  <a:t>NMHSs</a:t>
                </a:r>
              </a:p>
            </c:rich>
          </c:tx>
          <c:layout/>
          <c:overlay val="0"/>
        </c:title>
        <c:numFmt formatCode="General" sourceLinked="1"/>
        <c:majorTickMark val="out"/>
        <c:minorTickMark val="none"/>
        <c:tickLblPos val="nextTo"/>
        <c:crossAx val="11255027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9</Pages>
  <Words>1824</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MetService</Company>
  <LinksUpToDate>false</LinksUpToDate>
  <CharactersWithSpaces>11616</CharactersWithSpaces>
  <SharedDoc>false</SharedDoc>
  <HLinks>
    <vt:vector size="6" baseType="variant">
      <vt:variant>
        <vt:i4>1179652</vt:i4>
      </vt:variant>
      <vt:variant>
        <vt:i4>0</vt:i4>
      </vt:variant>
      <vt:variant>
        <vt:i4>0</vt:i4>
      </vt:variant>
      <vt:variant>
        <vt:i4>5</vt:i4>
      </vt:variant>
      <vt:variant>
        <vt:lpwstr>http://www.wmo.int/pages/prog/www/swfdp/Meetings/DocPlan.html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Steve Ready</dc:creator>
  <cp:lastModifiedBy>James Lunny</cp:lastModifiedBy>
  <cp:revision>46</cp:revision>
  <cp:lastPrinted>2016-08-19T03:28:00Z</cp:lastPrinted>
  <dcterms:created xsi:type="dcterms:W3CDTF">2016-08-17T03:44:00Z</dcterms:created>
  <dcterms:modified xsi:type="dcterms:W3CDTF">2016-08-19T04:17:00Z</dcterms:modified>
</cp:coreProperties>
</file>