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EC7" w:rsidRPr="0069534A" w:rsidRDefault="00956EC7" w:rsidP="00956EC7">
      <w:pPr>
        <w:jc w:val="right"/>
        <w:rPr>
          <w:rFonts w:eastAsia="MS Mincho"/>
          <w:b/>
          <w:bCs/>
          <w:szCs w:val="20"/>
          <w:lang w:val="en-GB"/>
        </w:rPr>
      </w:pPr>
      <w:bookmarkStart w:id="0" w:name="ANNEX_III"/>
      <w:r w:rsidRPr="0069534A">
        <w:rPr>
          <w:rFonts w:eastAsia="MS Mincho"/>
          <w:b/>
          <w:bCs/>
          <w:szCs w:val="20"/>
          <w:lang w:val="en-GB"/>
        </w:rPr>
        <w:t>ANNEX III</w:t>
      </w:r>
      <w:bookmarkEnd w:id="0"/>
    </w:p>
    <w:p w:rsidR="00956EC7" w:rsidRPr="00464F79" w:rsidRDefault="00956EC7" w:rsidP="00956EC7">
      <w:pPr>
        <w:jc w:val="center"/>
        <w:rPr>
          <w:rFonts w:cs="Arial"/>
          <w:b/>
          <w:caps/>
        </w:rPr>
      </w:pPr>
      <w:r w:rsidRPr="00464F79">
        <w:rPr>
          <w:b/>
          <w:color w:val="000000"/>
          <w:lang w:val="da-DK"/>
        </w:rPr>
        <w:t>PROPOSED ACTION PLAN FOR DEVELOPING THE WIGOS VISION 2040</w:t>
      </w:r>
      <w:r w:rsidRPr="00464F79">
        <w:rPr>
          <w:rFonts w:cs="Arial"/>
          <w:b/>
        </w:rPr>
        <w:t xml:space="preserve"> </w:t>
      </w:r>
    </w:p>
    <w:p w:rsidR="00956EC7" w:rsidRDefault="00956EC7" w:rsidP="00956EC7">
      <w:pPr>
        <w:jc w:val="center"/>
        <w:rPr>
          <w:b/>
          <w:caps/>
          <w:lang w:eastAsia="en-GB"/>
        </w:rPr>
      </w:pPr>
    </w:p>
    <w:tbl>
      <w:tblPr>
        <w:tblStyle w:val="TableGrid"/>
        <w:tblW w:w="0" w:type="auto"/>
        <w:tblInd w:w="720" w:type="dxa"/>
        <w:tblLook w:val="04A0" w:firstRow="1" w:lastRow="0" w:firstColumn="1" w:lastColumn="0" w:noHBand="0" w:noVBand="1"/>
      </w:tblPr>
      <w:tblGrid>
        <w:gridCol w:w="1861"/>
        <w:gridCol w:w="6221"/>
        <w:gridCol w:w="2531"/>
        <w:gridCol w:w="2842"/>
      </w:tblGrid>
      <w:tr w:rsidR="00956EC7" w:rsidRPr="00464F79" w:rsidTr="005F26CF">
        <w:trPr>
          <w:tblHeader/>
        </w:trPr>
        <w:tc>
          <w:tcPr>
            <w:tcW w:w="1908" w:type="dxa"/>
            <w:shd w:val="clear" w:color="auto" w:fill="FFFFCC"/>
          </w:tcPr>
          <w:p w:rsidR="00956EC7" w:rsidRPr="00464F79" w:rsidRDefault="00956EC7" w:rsidP="005F26CF">
            <w:pPr>
              <w:rPr>
                <w:b/>
                <w:i/>
              </w:rPr>
            </w:pPr>
            <w:r>
              <w:rPr>
                <w:b/>
                <w:i/>
              </w:rPr>
              <w:t>Date</w:t>
            </w:r>
          </w:p>
        </w:tc>
        <w:tc>
          <w:tcPr>
            <w:tcW w:w="6570" w:type="dxa"/>
            <w:shd w:val="clear" w:color="auto" w:fill="FFFFCC"/>
          </w:tcPr>
          <w:p w:rsidR="00956EC7" w:rsidRPr="00464F79" w:rsidRDefault="00956EC7" w:rsidP="005F26CF">
            <w:pPr>
              <w:rPr>
                <w:b/>
                <w:i/>
              </w:rPr>
            </w:pPr>
            <w:r>
              <w:rPr>
                <w:b/>
                <w:i/>
              </w:rPr>
              <w:t>Milestone</w:t>
            </w:r>
          </w:p>
        </w:tc>
        <w:tc>
          <w:tcPr>
            <w:tcW w:w="2610" w:type="dxa"/>
            <w:shd w:val="clear" w:color="auto" w:fill="FFFFCC"/>
          </w:tcPr>
          <w:p w:rsidR="00956EC7" w:rsidRPr="00464F79" w:rsidRDefault="00956EC7" w:rsidP="005F26CF">
            <w:pPr>
              <w:rPr>
                <w:b/>
                <w:i/>
              </w:rPr>
            </w:pPr>
            <w:r w:rsidRPr="00464F79">
              <w:rPr>
                <w:b/>
                <w:i/>
              </w:rPr>
              <w:t>Body responsible</w:t>
            </w:r>
          </w:p>
        </w:tc>
        <w:tc>
          <w:tcPr>
            <w:tcW w:w="2953" w:type="dxa"/>
            <w:shd w:val="clear" w:color="auto" w:fill="FFFFCC"/>
          </w:tcPr>
          <w:p w:rsidR="00956EC7" w:rsidRPr="00464F79" w:rsidRDefault="00956EC7" w:rsidP="005F26CF">
            <w:pPr>
              <w:rPr>
                <w:b/>
                <w:i/>
              </w:rPr>
            </w:pPr>
            <w:r w:rsidRPr="00464F79">
              <w:rPr>
                <w:b/>
                <w:i/>
              </w:rPr>
              <w:t xml:space="preserve">Action </w:t>
            </w:r>
            <w:r>
              <w:rPr>
                <w:b/>
                <w:i/>
              </w:rPr>
              <w:t>followed up</w:t>
            </w:r>
            <w:r w:rsidRPr="00464F79">
              <w:rPr>
                <w:b/>
                <w:i/>
              </w:rPr>
              <w:t xml:space="preserve"> by</w:t>
            </w:r>
          </w:p>
        </w:tc>
      </w:tr>
      <w:tr w:rsidR="00956EC7" w:rsidRPr="00464F79" w:rsidTr="005F26CF">
        <w:tc>
          <w:tcPr>
            <w:tcW w:w="1908" w:type="dxa"/>
          </w:tcPr>
          <w:p w:rsidR="00956EC7" w:rsidRPr="00464F79" w:rsidRDefault="00956EC7" w:rsidP="005F26CF">
            <w:r w:rsidRPr="00464F79">
              <w:t>April 2016</w:t>
            </w:r>
          </w:p>
        </w:tc>
        <w:tc>
          <w:tcPr>
            <w:tcW w:w="6570" w:type="dxa"/>
          </w:tcPr>
          <w:p w:rsidR="00956EC7" w:rsidRPr="00464F79" w:rsidRDefault="00956EC7" w:rsidP="005F26CF">
            <w:r w:rsidRPr="00464F79">
              <w:t xml:space="preserve">IPET-OSDE-2 to set up the sub-group on the surface Vision </w:t>
            </w:r>
            <w:r>
              <w:t>(</w:t>
            </w:r>
            <w:r w:rsidRPr="00464F79">
              <w:t>Frank Grooters, Daniel Michelsen, John Eyre, Jay Lawrimore, Jochen Dibbern, Jitze van der Meulen, JCOMM, Michele Citterio, Russell Stringer, Stephan Klink). Offenbach as an option for the venue.</w:t>
            </w:r>
          </w:p>
        </w:tc>
        <w:tc>
          <w:tcPr>
            <w:tcW w:w="2610" w:type="dxa"/>
          </w:tcPr>
          <w:p w:rsidR="00956EC7" w:rsidRPr="00464F79" w:rsidRDefault="00956EC7" w:rsidP="005F26CF">
            <w:r>
              <w:t>IPET-OSDE</w:t>
            </w:r>
          </w:p>
        </w:tc>
        <w:tc>
          <w:tcPr>
            <w:tcW w:w="2953" w:type="dxa"/>
          </w:tcPr>
          <w:p w:rsidR="00956EC7" w:rsidRPr="00464F79" w:rsidRDefault="00956EC7" w:rsidP="005F26CF">
            <w:r>
              <w:t>J. Eyre</w:t>
            </w:r>
          </w:p>
        </w:tc>
      </w:tr>
      <w:tr w:rsidR="00956EC7" w:rsidRPr="00464F79" w:rsidTr="005F26CF">
        <w:tc>
          <w:tcPr>
            <w:tcW w:w="1908" w:type="dxa"/>
          </w:tcPr>
          <w:p w:rsidR="00956EC7" w:rsidRPr="00464F79" w:rsidRDefault="00956EC7" w:rsidP="005F26CF">
            <w:r w:rsidRPr="00464F79">
              <w:t>May 2016</w:t>
            </w:r>
          </w:p>
        </w:tc>
        <w:tc>
          <w:tcPr>
            <w:tcW w:w="6570" w:type="dxa"/>
          </w:tcPr>
          <w:p w:rsidR="00956EC7" w:rsidRPr="00464F79" w:rsidRDefault="00956EC7" w:rsidP="005F26CF">
            <w:r w:rsidRPr="00464F79">
              <w:t>to identify JCOMM representative</w:t>
            </w:r>
          </w:p>
        </w:tc>
        <w:tc>
          <w:tcPr>
            <w:tcW w:w="2610" w:type="dxa"/>
          </w:tcPr>
          <w:p w:rsidR="00956EC7" w:rsidRPr="00464F79" w:rsidRDefault="00956EC7" w:rsidP="005F26CF">
            <w:r w:rsidRPr="00464F79">
              <w:t>Secretariat</w:t>
            </w:r>
          </w:p>
        </w:tc>
        <w:tc>
          <w:tcPr>
            <w:tcW w:w="2953" w:type="dxa"/>
          </w:tcPr>
          <w:p w:rsidR="00956EC7" w:rsidRPr="00464F79" w:rsidRDefault="00956EC7" w:rsidP="005F26CF">
            <w:r w:rsidRPr="00464F79">
              <w:t xml:space="preserve"> Secretariat</w:t>
            </w:r>
          </w:p>
        </w:tc>
      </w:tr>
      <w:tr w:rsidR="00956EC7" w:rsidRPr="00464F79" w:rsidTr="005F26CF">
        <w:tc>
          <w:tcPr>
            <w:tcW w:w="1908" w:type="dxa"/>
          </w:tcPr>
          <w:p w:rsidR="00956EC7" w:rsidRPr="00464F79" w:rsidRDefault="00956EC7" w:rsidP="005F26CF">
            <w:r w:rsidRPr="00464F79">
              <w:t>May 2016</w:t>
            </w:r>
          </w:p>
        </w:tc>
        <w:tc>
          <w:tcPr>
            <w:tcW w:w="6570" w:type="dxa"/>
          </w:tcPr>
          <w:p w:rsidR="00956EC7" w:rsidRPr="00464F79" w:rsidRDefault="00956EC7" w:rsidP="005F26CF">
            <w:r w:rsidRPr="00464F79">
              <w:t xml:space="preserve">to initiate email discussion in preparation of the September workshop </w:t>
            </w:r>
          </w:p>
        </w:tc>
        <w:tc>
          <w:tcPr>
            <w:tcW w:w="2610" w:type="dxa"/>
          </w:tcPr>
          <w:p w:rsidR="00956EC7" w:rsidRPr="00464F79" w:rsidRDefault="00956EC7" w:rsidP="005F26CF">
            <w:r w:rsidRPr="00464F79">
              <w:t>IPET-OSDE Chair</w:t>
            </w:r>
          </w:p>
        </w:tc>
        <w:tc>
          <w:tcPr>
            <w:tcW w:w="2953" w:type="dxa"/>
          </w:tcPr>
          <w:p w:rsidR="00956EC7" w:rsidRPr="00464F79" w:rsidRDefault="00956EC7" w:rsidP="005F26CF">
            <w:r>
              <w:t>J. Eyre</w:t>
            </w:r>
          </w:p>
        </w:tc>
      </w:tr>
      <w:tr w:rsidR="00956EC7" w:rsidRPr="00464F79" w:rsidTr="005F26CF">
        <w:tc>
          <w:tcPr>
            <w:tcW w:w="1908" w:type="dxa"/>
          </w:tcPr>
          <w:p w:rsidR="00956EC7" w:rsidRPr="00464F79" w:rsidRDefault="00956EC7" w:rsidP="005F26CF">
            <w:r w:rsidRPr="00464F79">
              <w:t>May 2016</w:t>
            </w:r>
          </w:p>
        </w:tc>
        <w:tc>
          <w:tcPr>
            <w:tcW w:w="6570" w:type="dxa"/>
          </w:tcPr>
          <w:p w:rsidR="00956EC7" w:rsidRPr="00464F79" w:rsidRDefault="00956EC7" w:rsidP="005F26CF">
            <w:r w:rsidRPr="00464F79">
              <w:t>to identify venue and propose date for the September workshop</w:t>
            </w:r>
          </w:p>
        </w:tc>
        <w:tc>
          <w:tcPr>
            <w:tcW w:w="2610" w:type="dxa"/>
          </w:tcPr>
          <w:p w:rsidR="00956EC7" w:rsidRPr="00464F79" w:rsidRDefault="00956EC7" w:rsidP="005F26CF">
            <w:r w:rsidRPr="00464F79">
              <w:t>Secretariat</w:t>
            </w:r>
          </w:p>
        </w:tc>
        <w:tc>
          <w:tcPr>
            <w:tcW w:w="2953" w:type="dxa"/>
          </w:tcPr>
          <w:p w:rsidR="00956EC7" w:rsidRPr="00464F79" w:rsidRDefault="00956EC7" w:rsidP="005F26CF">
            <w:r>
              <w:t>Secretariat</w:t>
            </w:r>
          </w:p>
        </w:tc>
      </w:tr>
      <w:tr w:rsidR="00956EC7" w:rsidRPr="00464F79" w:rsidTr="005F26CF">
        <w:tc>
          <w:tcPr>
            <w:tcW w:w="1908" w:type="dxa"/>
          </w:tcPr>
          <w:p w:rsidR="00956EC7" w:rsidRPr="00464F79" w:rsidRDefault="00956EC7" w:rsidP="005F26CF">
            <w:r w:rsidRPr="00464F79">
              <w:t>June-Aug. 2016</w:t>
            </w:r>
          </w:p>
        </w:tc>
        <w:tc>
          <w:tcPr>
            <w:tcW w:w="6570" w:type="dxa"/>
          </w:tcPr>
          <w:p w:rsidR="00956EC7" w:rsidRPr="00464F79" w:rsidRDefault="00956EC7" w:rsidP="005F26CF">
            <w:r w:rsidRPr="00464F79">
              <w:t>Email exchange to agree on outline of the Vision, and documentation plan for the September workshop</w:t>
            </w:r>
          </w:p>
        </w:tc>
        <w:tc>
          <w:tcPr>
            <w:tcW w:w="2610" w:type="dxa"/>
          </w:tcPr>
          <w:p w:rsidR="00956EC7" w:rsidRPr="00464F79" w:rsidRDefault="00956EC7" w:rsidP="005F26CF">
            <w:r w:rsidRPr="00464F79">
              <w:t>IPET-OSDE sub-group</w:t>
            </w:r>
          </w:p>
        </w:tc>
        <w:tc>
          <w:tcPr>
            <w:tcW w:w="2953" w:type="dxa"/>
          </w:tcPr>
          <w:p w:rsidR="00956EC7" w:rsidRPr="00464F79" w:rsidRDefault="00956EC7" w:rsidP="005F26CF">
            <w:r>
              <w:t>J. Eyre, F. Grooters</w:t>
            </w:r>
          </w:p>
        </w:tc>
      </w:tr>
      <w:tr w:rsidR="00956EC7" w:rsidRPr="00464F79" w:rsidTr="005F26CF">
        <w:tc>
          <w:tcPr>
            <w:tcW w:w="1908" w:type="dxa"/>
          </w:tcPr>
          <w:p w:rsidR="00956EC7" w:rsidRPr="00464F79" w:rsidRDefault="00956EC7" w:rsidP="005F26CF">
            <w:r w:rsidRPr="00464F79">
              <w:t>Aug. 2016</w:t>
            </w:r>
          </w:p>
        </w:tc>
        <w:tc>
          <w:tcPr>
            <w:tcW w:w="6570" w:type="dxa"/>
          </w:tcPr>
          <w:p w:rsidR="00956EC7" w:rsidRPr="00464F79" w:rsidRDefault="00956EC7" w:rsidP="005F26CF">
            <w:r w:rsidRPr="00464F79">
              <w:t>An ad hoc IPET-OSDE drafting workshop for the Surface-based observing systems part of the WIGOS Vision</w:t>
            </w:r>
          </w:p>
        </w:tc>
        <w:tc>
          <w:tcPr>
            <w:tcW w:w="2610" w:type="dxa"/>
          </w:tcPr>
          <w:p w:rsidR="00956EC7" w:rsidRPr="00464F79" w:rsidRDefault="00956EC7" w:rsidP="005F26CF">
            <w:r w:rsidRPr="00464F79">
              <w:t>IPET-OSDE sub-group</w:t>
            </w:r>
          </w:p>
        </w:tc>
        <w:tc>
          <w:tcPr>
            <w:tcW w:w="2953" w:type="dxa"/>
          </w:tcPr>
          <w:p w:rsidR="00956EC7" w:rsidRPr="00464F79" w:rsidRDefault="00956EC7" w:rsidP="005F26CF">
            <w:r w:rsidRPr="00464F79">
              <w:t>J. Eyre, F. Grooters</w:t>
            </w:r>
          </w:p>
        </w:tc>
      </w:tr>
      <w:tr w:rsidR="00956EC7" w:rsidRPr="00464F79" w:rsidTr="005F26CF">
        <w:tc>
          <w:tcPr>
            <w:tcW w:w="1908" w:type="dxa"/>
          </w:tcPr>
          <w:p w:rsidR="00956EC7" w:rsidRPr="00464F79" w:rsidRDefault="00956EC7" w:rsidP="005F26CF">
            <w:r w:rsidRPr="00464F79">
              <w:t>End Sept. 2016</w:t>
            </w:r>
          </w:p>
        </w:tc>
        <w:tc>
          <w:tcPr>
            <w:tcW w:w="6570" w:type="dxa"/>
          </w:tcPr>
          <w:p w:rsidR="00956EC7" w:rsidRPr="00464F79" w:rsidRDefault="00956EC7" w:rsidP="005F26CF">
            <w:r w:rsidRPr="00464F79">
              <w:t>CIMO Technical Conference 2016 (TECO-2016, Madrid, Spain, 27-30 September 2016) to note the ongoing process for the development of the Surface Vision 2040, and propose guidance from its perspective, including required changes to the GOS Vision 2025 to be considered for the new Vision.</w:t>
            </w:r>
          </w:p>
        </w:tc>
        <w:tc>
          <w:tcPr>
            <w:tcW w:w="2610" w:type="dxa"/>
          </w:tcPr>
          <w:p w:rsidR="00956EC7" w:rsidRPr="00464F79" w:rsidRDefault="00956EC7" w:rsidP="005F26CF">
            <w:r w:rsidRPr="00464F79">
              <w:t>CIMO TECO 2016</w:t>
            </w:r>
          </w:p>
        </w:tc>
        <w:tc>
          <w:tcPr>
            <w:tcW w:w="2953" w:type="dxa"/>
          </w:tcPr>
          <w:p w:rsidR="00956EC7" w:rsidRPr="00464F79" w:rsidRDefault="00956EC7" w:rsidP="005F26CF">
            <w:r w:rsidRPr="00464F79">
              <w:t xml:space="preserve">Jitze </w:t>
            </w:r>
            <w:proofErr w:type="spellStart"/>
            <w:r w:rsidRPr="00464F79">
              <w:t>vd</w:t>
            </w:r>
            <w:proofErr w:type="spellEnd"/>
            <w:r w:rsidRPr="00464F79">
              <w:t xml:space="preserve"> Meulen to actively request the issue to be raised, and present </w:t>
            </w:r>
            <w:r>
              <w:t xml:space="preserve">Vision 2025 and plan to develop Vision 2040 </w:t>
            </w:r>
            <w:r w:rsidRPr="00464F79">
              <w:t>as part of the final statement of the conference; 3 Sept. 2016</w:t>
            </w:r>
          </w:p>
        </w:tc>
      </w:tr>
      <w:tr w:rsidR="00956EC7" w:rsidRPr="00464F79" w:rsidTr="005F26CF">
        <w:tc>
          <w:tcPr>
            <w:tcW w:w="1908" w:type="dxa"/>
          </w:tcPr>
          <w:p w:rsidR="00956EC7" w:rsidRPr="00464F79" w:rsidRDefault="00956EC7" w:rsidP="005F26CF">
            <w:r w:rsidRPr="00464F79">
              <w:t>October 2016</w:t>
            </w:r>
          </w:p>
        </w:tc>
        <w:tc>
          <w:tcPr>
            <w:tcW w:w="6570" w:type="dxa"/>
          </w:tcPr>
          <w:p w:rsidR="00956EC7" w:rsidRPr="00464F79" w:rsidRDefault="00956EC7" w:rsidP="005F26CF">
            <w:r w:rsidRPr="00464F79">
              <w:t xml:space="preserve">The draft from the IPET-OSDE sub-group is considered by the larger WIGOS community (workshop), with participation from all WIGOS component observing systems, and co-sponsored observing systems stakeholders. John Eyre will present the outcome of the IPET-OSDE Workshop to the WIGOS Workshop </w:t>
            </w:r>
          </w:p>
        </w:tc>
        <w:tc>
          <w:tcPr>
            <w:tcW w:w="2610" w:type="dxa"/>
          </w:tcPr>
          <w:p w:rsidR="00956EC7" w:rsidRPr="00464F79" w:rsidRDefault="00956EC7" w:rsidP="005F26CF">
            <w:r w:rsidRPr="00464F79">
              <w:t>IPET-OSDE Chair</w:t>
            </w:r>
          </w:p>
        </w:tc>
        <w:tc>
          <w:tcPr>
            <w:tcW w:w="2953" w:type="dxa"/>
          </w:tcPr>
          <w:p w:rsidR="00956EC7" w:rsidRPr="00464F79" w:rsidRDefault="00956EC7" w:rsidP="005F26CF">
            <w:r>
              <w:t>J. Eyre</w:t>
            </w:r>
            <w:r w:rsidRPr="00464F79">
              <w:t xml:space="preserve"> </w:t>
            </w:r>
          </w:p>
        </w:tc>
      </w:tr>
      <w:tr w:rsidR="00956EC7" w:rsidRPr="00464F79" w:rsidTr="005F26CF">
        <w:tc>
          <w:tcPr>
            <w:tcW w:w="1908" w:type="dxa"/>
          </w:tcPr>
          <w:p w:rsidR="00956EC7" w:rsidRPr="00464F79" w:rsidRDefault="00956EC7" w:rsidP="005F26CF">
            <w:r w:rsidRPr="00464F79">
              <w:t>October 2016</w:t>
            </w:r>
          </w:p>
        </w:tc>
        <w:tc>
          <w:tcPr>
            <w:tcW w:w="6570" w:type="dxa"/>
          </w:tcPr>
          <w:p w:rsidR="00956EC7" w:rsidRPr="0090301C" w:rsidRDefault="00956EC7" w:rsidP="005F26CF">
            <w:r w:rsidRPr="00464F79">
              <w:t xml:space="preserve">Jitze </w:t>
            </w:r>
            <w:proofErr w:type="spellStart"/>
            <w:r w:rsidRPr="00464F79">
              <w:t>vd</w:t>
            </w:r>
            <w:proofErr w:type="spellEnd"/>
            <w:r w:rsidRPr="00464F79">
              <w:t xml:space="preserve"> Meulen, Secretariat and Bertrand Calpini to discuss and make sure that the CIMO perspective will be taken into account </w:t>
            </w:r>
          </w:p>
        </w:tc>
        <w:tc>
          <w:tcPr>
            <w:tcW w:w="2610" w:type="dxa"/>
          </w:tcPr>
          <w:p w:rsidR="00956EC7" w:rsidRPr="00464F79" w:rsidRDefault="00956EC7" w:rsidP="005F26CF">
            <w:r>
              <w:t>CIMO</w:t>
            </w:r>
          </w:p>
        </w:tc>
        <w:tc>
          <w:tcPr>
            <w:tcW w:w="2953" w:type="dxa"/>
          </w:tcPr>
          <w:p w:rsidR="00956EC7" w:rsidRPr="00464F79" w:rsidRDefault="00956EC7" w:rsidP="005F26CF">
            <w:pPr>
              <w:rPr>
                <w:lang w:val="fr-FR"/>
              </w:rPr>
            </w:pPr>
            <w:r>
              <w:rPr>
                <w:lang w:val="fr-FR"/>
              </w:rPr>
              <w:t xml:space="preserve">J. </w:t>
            </w:r>
            <w:proofErr w:type="spellStart"/>
            <w:r>
              <w:rPr>
                <w:lang w:val="fr-FR"/>
              </w:rPr>
              <w:t>vd</w:t>
            </w:r>
            <w:proofErr w:type="spellEnd"/>
            <w:r>
              <w:rPr>
                <w:lang w:val="fr-FR"/>
              </w:rPr>
              <w:t xml:space="preserve"> Meulen</w:t>
            </w:r>
          </w:p>
        </w:tc>
      </w:tr>
      <w:tr w:rsidR="00956EC7" w:rsidRPr="00464F79" w:rsidTr="005F26CF">
        <w:tc>
          <w:tcPr>
            <w:tcW w:w="1908" w:type="dxa"/>
          </w:tcPr>
          <w:p w:rsidR="00956EC7" w:rsidRPr="00464F79" w:rsidRDefault="00956EC7" w:rsidP="005F26CF">
            <w:r w:rsidRPr="00464F79">
              <w:t xml:space="preserve">End November </w:t>
            </w:r>
            <w:r w:rsidRPr="00464F79">
              <w:lastRenderedPageBreak/>
              <w:t>2016</w:t>
            </w:r>
          </w:p>
        </w:tc>
        <w:tc>
          <w:tcPr>
            <w:tcW w:w="6570" w:type="dxa"/>
          </w:tcPr>
          <w:p w:rsidR="00956EC7" w:rsidRPr="00464F79" w:rsidRDefault="00956EC7" w:rsidP="005F26CF">
            <w:r w:rsidRPr="00464F79">
              <w:lastRenderedPageBreak/>
              <w:t xml:space="preserve">The 16th Session of the CBS (CBS-16, Guangzhou, China, </w:t>
            </w:r>
            <w:r w:rsidRPr="00464F79">
              <w:lastRenderedPageBreak/>
              <w:t xml:space="preserve">23-29 November 2016) notes work in progress, and may suggest some changes and guidance from its perspective. The draft Surface- and Space- Vision documents will be presented to CBS-16 as information documents, noting the </w:t>
            </w:r>
            <w:proofErr w:type="spellStart"/>
            <w:r w:rsidRPr="00464F79">
              <w:t>the</w:t>
            </w:r>
            <w:proofErr w:type="spellEnd"/>
            <w:r w:rsidRPr="00464F79">
              <w:t xml:space="preserve"> two documents will be merged at a later stage</w:t>
            </w:r>
          </w:p>
        </w:tc>
        <w:tc>
          <w:tcPr>
            <w:tcW w:w="2610" w:type="dxa"/>
          </w:tcPr>
          <w:p w:rsidR="00956EC7" w:rsidRPr="00464F79" w:rsidRDefault="00956EC7" w:rsidP="005F26CF">
            <w:r w:rsidRPr="00464F79">
              <w:lastRenderedPageBreak/>
              <w:t>CBS-16</w:t>
            </w:r>
          </w:p>
        </w:tc>
        <w:tc>
          <w:tcPr>
            <w:tcW w:w="2953" w:type="dxa"/>
          </w:tcPr>
          <w:p w:rsidR="00956EC7" w:rsidRPr="00464F79" w:rsidRDefault="00956EC7" w:rsidP="005F26CF">
            <w:r>
              <w:t>Secretariat</w:t>
            </w:r>
          </w:p>
        </w:tc>
      </w:tr>
      <w:tr w:rsidR="00956EC7" w:rsidRPr="00464F79" w:rsidTr="005F26CF">
        <w:tc>
          <w:tcPr>
            <w:tcW w:w="1908" w:type="dxa"/>
          </w:tcPr>
          <w:p w:rsidR="00956EC7" w:rsidRPr="00464F79" w:rsidRDefault="00956EC7" w:rsidP="005F26CF">
            <w:r w:rsidRPr="00464F79">
              <w:lastRenderedPageBreak/>
              <w:t>Dec. 2016</w:t>
            </w:r>
          </w:p>
        </w:tc>
        <w:tc>
          <w:tcPr>
            <w:tcW w:w="6570" w:type="dxa"/>
          </w:tcPr>
          <w:p w:rsidR="00956EC7" w:rsidRPr="00464F79" w:rsidRDefault="00956EC7" w:rsidP="005F26CF">
            <w:r w:rsidRPr="00464F79">
              <w:t>to prepare the work for merging the two Visions</w:t>
            </w:r>
          </w:p>
        </w:tc>
        <w:tc>
          <w:tcPr>
            <w:tcW w:w="2610" w:type="dxa"/>
          </w:tcPr>
          <w:p w:rsidR="00956EC7" w:rsidRPr="00464F79" w:rsidRDefault="00956EC7" w:rsidP="005F26CF">
            <w:r w:rsidRPr="00464F79">
              <w:t>Secretariat</w:t>
            </w:r>
          </w:p>
        </w:tc>
        <w:tc>
          <w:tcPr>
            <w:tcW w:w="2953" w:type="dxa"/>
          </w:tcPr>
          <w:p w:rsidR="00956EC7" w:rsidRPr="00464F79" w:rsidRDefault="00956EC7" w:rsidP="005F26CF">
            <w:r>
              <w:t>Secretariat</w:t>
            </w:r>
          </w:p>
        </w:tc>
      </w:tr>
      <w:tr w:rsidR="00956EC7" w:rsidRPr="00464F79" w:rsidTr="005F26CF">
        <w:tc>
          <w:tcPr>
            <w:tcW w:w="1908" w:type="dxa"/>
          </w:tcPr>
          <w:p w:rsidR="00956EC7" w:rsidRPr="00464F79" w:rsidRDefault="00956EC7" w:rsidP="005F26CF">
            <w:proofErr w:type="spellStart"/>
            <w:r w:rsidRPr="00464F79">
              <w:t>Febr</w:t>
            </w:r>
            <w:proofErr w:type="spellEnd"/>
            <w:r w:rsidRPr="00464F79">
              <w:t>. 2017</w:t>
            </w:r>
          </w:p>
        </w:tc>
        <w:tc>
          <w:tcPr>
            <w:tcW w:w="6570" w:type="dxa"/>
          </w:tcPr>
          <w:p w:rsidR="00956EC7" w:rsidRPr="00464F79" w:rsidRDefault="00956EC7" w:rsidP="005F26CF">
            <w:r w:rsidRPr="00464F79">
              <w:t>A workshop</w:t>
            </w:r>
            <w:r>
              <w:t xml:space="preserve"> (or drafting meeting)</w:t>
            </w:r>
            <w:r w:rsidRPr="00464F79">
              <w:t xml:space="preserve"> may then be needed to finalize the integration the two Visions</w:t>
            </w:r>
            <w:r w:rsidRPr="00464F79" w:rsidDel="00FE2980">
              <w:t xml:space="preserve"> </w:t>
            </w:r>
          </w:p>
        </w:tc>
        <w:tc>
          <w:tcPr>
            <w:tcW w:w="2610" w:type="dxa"/>
          </w:tcPr>
          <w:p w:rsidR="00956EC7" w:rsidRPr="00464F79" w:rsidRDefault="00956EC7" w:rsidP="005F26CF">
            <w:r>
              <w:t>S</w:t>
            </w:r>
            <w:r w:rsidRPr="00464F79">
              <w:t>ecr</w:t>
            </w:r>
            <w:r>
              <w:t>etariat</w:t>
            </w:r>
          </w:p>
        </w:tc>
        <w:tc>
          <w:tcPr>
            <w:tcW w:w="2953" w:type="dxa"/>
          </w:tcPr>
          <w:p w:rsidR="00956EC7" w:rsidRPr="00464F79" w:rsidRDefault="00956EC7" w:rsidP="005F26CF">
            <w:r>
              <w:t>Secretariat</w:t>
            </w:r>
          </w:p>
        </w:tc>
      </w:tr>
      <w:tr w:rsidR="00956EC7" w:rsidRPr="00464F79" w:rsidTr="005F26CF">
        <w:tc>
          <w:tcPr>
            <w:tcW w:w="1908" w:type="dxa"/>
          </w:tcPr>
          <w:p w:rsidR="00956EC7" w:rsidRPr="00464F79" w:rsidRDefault="00956EC7" w:rsidP="005F26CF">
            <w:r w:rsidRPr="00464F79">
              <w:t>Mar. 2017</w:t>
            </w:r>
          </w:p>
        </w:tc>
        <w:tc>
          <w:tcPr>
            <w:tcW w:w="6570" w:type="dxa"/>
          </w:tcPr>
          <w:p w:rsidR="00956EC7" w:rsidRPr="00464F79" w:rsidRDefault="00956EC7" w:rsidP="005F26CF">
            <w:r w:rsidRPr="00464F79">
              <w:t>to review draft and propose changes and further guidance. ICG-WIGOS will be expected to approve the plan for finalizing the two Visions.</w:t>
            </w:r>
          </w:p>
        </w:tc>
        <w:tc>
          <w:tcPr>
            <w:tcW w:w="2610" w:type="dxa"/>
          </w:tcPr>
          <w:p w:rsidR="00956EC7" w:rsidRPr="00464F79" w:rsidRDefault="00956EC7" w:rsidP="005F26CF">
            <w:r w:rsidRPr="00464F79">
              <w:t>ICG-WIGOS-6</w:t>
            </w:r>
          </w:p>
        </w:tc>
        <w:tc>
          <w:tcPr>
            <w:tcW w:w="2953" w:type="dxa"/>
          </w:tcPr>
          <w:p w:rsidR="00956EC7" w:rsidRPr="00464F79" w:rsidRDefault="00956EC7" w:rsidP="005F26CF">
            <w:r>
              <w:t xml:space="preserve">S. </w:t>
            </w:r>
            <w:proofErr w:type="spellStart"/>
            <w:r>
              <w:t>Barrell</w:t>
            </w:r>
            <w:proofErr w:type="spellEnd"/>
            <w:r>
              <w:t>, B. Calpini, Secretariat (LPR)</w:t>
            </w:r>
          </w:p>
        </w:tc>
      </w:tr>
      <w:tr w:rsidR="00956EC7" w:rsidRPr="00464F79" w:rsidTr="005F26CF">
        <w:tc>
          <w:tcPr>
            <w:tcW w:w="1908" w:type="dxa"/>
          </w:tcPr>
          <w:p w:rsidR="00956EC7" w:rsidRPr="00464F79" w:rsidRDefault="00956EC7" w:rsidP="005F26CF">
            <w:r w:rsidRPr="00464F79">
              <w:t>May 2017</w:t>
            </w:r>
          </w:p>
        </w:tc>
        <w:tc>
          <w:tcPr>
            <w:tcW w:w="6570" w:type="dxa"/>
          </w:tcPr>
          <w:p w:rsidR="00956EC7" w:rsidRPr="00464F79" w:rsidRDefault="00956EC7" w:rsidP="005F26CF">
            <w:r w:rsidRPr="00464F79">
              <w:t>to note availability of first draft and provides further guidance (work in progress). This will be followed by consultation of the stakeholders</w:t>
            </w:r>
          </w:p>
        </w:tc>
        <w:tc>
          <w:tcPr>
            <w:tcW w:w="2610" w:type="dxa"/>
          </w:tcPr>
          <w:p w:rsidR="00956EC7" w:rsidRPr="00464F79" w:rsidRDefault="00956EC7" w:rsidP="005F26CF">
            <w:r w:rsidRPr="00464F79">
              <w:t>EC-69</w:t>
            </w:r>
          </w:p>
        </w:tc>
        <w:tc>
          <w:tcPr>
            <w:tcW w:w="2953" w:type="dxa"/>
          </w:tcPr>
          <w:p w:rsidR="00956EC7" w:rsidRPr="00464F79" w:rsidRDefault="00956EC7" w:rsidP="005F26CF">
            <w:r>
              <w:t>Secretariat</w:t>
            </w:r>
          </w:p>
        </w:tc>
      </w:tr>
      <w:tr w:rsidR="00956EC7" w:rsidRPr="00464F79" w:rsidTr="005F26CF">
        <w:tc>
          <w:tcPr>
            <w:tcW w:w="1908" w:type="dxa"/>
          </w:tcPr>
          <w:p w:rsidR="00956EC7" w:rsidRPr="00464F79" w:rsidRDefault="00956EC7" w:rsidP="005F26CF">
            <w:r w:rsidRPr="00464F79">
              <w:t>Jan. 2018</w:t>
            </w:r>
          </w:p>
        </w:tc>
        <w:tc>
          <w:tcPr>
            <w:tcW w:w="6570" w:type="dxa"/>
          </w:tcPr>
          <w:p w:rsidR="00956EC7" w:rsidRPr="00464F79" w:rsidRDefault="00956EC7" w:rsidP="005F26CF">
            <w:r w:rsidRPr="00464F79">
              <w:t xml:space="preserve"> to make a final review of the draft and approves its submission to EC-70, while inviting the CBS through IPET-OSDE and ICT-IOS to make some adjustments.</w:t>
            </w:r>
          </w:p>
        </w:tc>
        <w:tc>
          <w:tcPr>
            <w:tcW w:w="2610" w:type="dxa"/>
          </w:tcPr>
          <w:p w:rsidR="00956EC7" w:rsidRPr="00464F79" w:rsidRDefault="00956EC7" w:rsidP="005F26CF">
            <w:r w:rsidRPr="00464F79">
              <w:t>ICG-WIGOS-7</w:t>
            </w:r>
          </w:p>
        </w:tc>
        <w:tc>
          <w:tcPr>
            <w:tcW w:w="2953" w:type="dxa"/>
          </w:tcPr>
          <w:p w:rsidR="00956EC7" w:rsidRPr="00464F79" w:rsidRDefault="00956EC7" w:rsidP="005F26CF">
            <w:r>
              <w:t xml:space="preserve">S. </w:t>
            </w:r>
            <w:proofErr w:type="spellStart"/>
            <w:r>
              <w:t>Barrell</w:t>
            </w:r>
            <w:proofErr w:type="spellEnd"/>
            <w:r>
              <w:t>, B. Calpini, Secretariat (LPR)</w:t>
            </w:r>
          </w:p>
        </w:tc>
      </w:tr>
      <w:tr w:rsidR="00956EC7" w:rsidRPr="00464F79" w:rsidTr="005F26CF">
        <w:tc>
          <w:tcPr>
            <w:tcW w:w="1908" w:type="dxa"/>
          </w:tcPr>
          <w:p w:rsidR="00956EC7" w:rsidRPr="00464F79" w:rsidRDefault="00956EC7" w:rsidP="005F26CF">
            <w:r w:rsidRPr="00464F79">
              <w:t>April 2018</w:t>
            </w:r>
          </w:p>
        </w:tc>
        <w:tc>
          <w:tcPr>
            <w:tcW w:w="6570" w:type="dxa"/>
          </w:tcPr>
          <w:p w:rsidR="00956EC7" w:rsidRPr="00464F79" w:rsidRDefault="00956EC7" w:rsidP="005F26CF">
            <w:r w:rsidRPr="00464F79">
              <w:t>to further review the draft according to EC-69 and ICG-WIGOS-7 guidance.</w:t>
            </w:r>
          </w:p>
        </w:tc>
        <w:tc>
          <w:tcPr>
            <w:tcW w:w="2610" w:type="dxa"/>
          </w:tcPr>
          <w:p w:rsidR="00956EC7" w:rsidRPr="00464F79" w:rsidRDefault="00956EC7" w:rsidP="005F26CF">
            <w:r w:rsidRPr="00464F79">
              <w:t>IPET-OSDE-3 and ICT-IOS-10</w:t>
            </w:r>
          </w:p>
        </w:tc>
        <w:tc>
          <w:tcPr>
            <w:tcW w:w="2953" w:type="dxa"/>
          </w:tcPr>
          <w:p w:rsidR="00956EC7" w:rsidRPr="00464F79" w:rsidRDefault="00956EC7" w:rsidP="005F26CF">
            <w:r>
              <w:t>IPET-OSDE &amp; ICT-IOS Chairs</w:t>
            </w:r>
          </w:p>
        </w:tc>
      </w:tr>
      <w:tr w:rsidR="00956EC7" w:rsidRPr="00464F79" w:rsidTr="005F26CF">
        <w:tc>
          <w:tcPr>
            <w:tcW w:w="1908" w:type="dxa"/>
          </w:tcPr>
          <w:p w:rsidR="00956EC7" w:rsidRPr="00464F79" w:rsidRDefault="00956EC7" w:rsidP="005F26CF">
            <w:r w:rsidRPr="00464F79">
              <w:t>May 2018</w:t>
            </w:r>
          </w:p>
        </w:tc>
        <w:tc>
          <w:tcPr>
            <w:tcW w:w="6570" w:type="dxa"/>
          </w:tcPr>
          <w:p w:rsidR="00956EC7" w:rsidRPr="00464F79" w:rsidRDefault="00956EC7" w:rsidP="005F26CF">
            <w:r w:rsidRPr="00464F79">
              <w:t>agrees that the available draft is good enough for submission to Cg-18.</w:t>
            </w:r>
          </w:p>
        </w:tc>
        <w:tc>
          <w:tcPr>
            <w:tcW w:w="2610" w:type="dxa"/>
          </w:tcPr>
          <w:p w:rsidR="00956EC7" w:rsidRPr="00464F79" w:rsidRDefault="00956EC7" w:rsidP="005F26CF">
            <w:r w:rsidRPr="00464F79">
              <w:t>EC-70</w:t>
            </w:r>
          </w:p>
        </w:tc>
        <w:tc>
          <w:tcPr>
            <w:tcW w:w="2953" w:type="dxa"/>
          </w:tcPr>
          <w:p w:rsidR="00956EC7" w:rsidRPr="00464F79" w:rsidRDefault="00956EC7" w:rsidP="005F26CF">
            <w:r>
              <w:t>Secretariat</w:t>
            </w:r>
          </w:p>
        </w:tc>
      </w:tr>
      <w:tr w:rsidR="00956EC7" w:rsidRPr="00464F79" w:rsidTr="005F26CF">
        <w:tc>
          <w:tcPr>
            <w:tcW w:w="1908" w:type="dxa"/>
          </w:tcPr>
          <w:p w:rsidR="00956EC7" w:rsidRPr="00464F79" w:rsidRDefault="00956EC7" w:rsidP="005F26CF">
            <w:r w:rsidRPr="00464F79">
              <w:t>Mid-2018</w:t>
            </w:r>
          </w:p>
        </w:tc>
        <w:tc>
          <w:tcPr>
            <w:tcW w:w="6570" w:type="dxa"/>
          </w:tcPr>
          <w:p w:rsidR="00956EC7" w:rsidRPr="00464F79" w:rsidRDefault="00956EC7" w:rsidP="005F26CF">
            <w:r w:rsidRPr="00464F79">
              <w:t>CIMO Session to review the draft.</w:t>
            </w:r>
          </w:p>
        </w:tc>
        <w:tc>
          <w:tcPr>
            <w:tcW w:w="2610" w:type="dxa"/>
          </w:tcPr>
          <w:p w:rsidR="00956EC7" w:rsidRPr="00464F79" w:rsidRDefault="00956EC7" w:rsidP="005F26CF">
            <w:r w:rsidRPr="00464F79">
              <w:t xml:space="preserve">CIMO-17 </w:t>
            </w:r>
          </w:p>
        </w:tc>
        <w:tc>
          <w:tcPr>
            <w:tcW w:w="2953" w:type="dxa"/>
          </w:tcPr>
          <w:p w:rsidR="00956EC7" w:rsidRPr="00464F79" w:rsidRDefault="00956EC7" w:rsidP="005F26CF">
            <w:r>
              <w:t>B. Calpini, Secretariat</w:t>
            </w:r>
          </w:p>
        </w:tc>
      </w:tr>
      <w:tr w:rsidR="00956EC7" w:rsidRPr="00464F79" w:rsidTr="005F26CF">
        <w:tc>
          <w:tcPr>
            <w:tcW w:w="1908" w:type="dxa"/>
          </w:tcPr>
          <w:p w:rsidR="00956EC7" w:rsidRPr="00464F79" w:rsidRDefault="00956EC7" w:rsidP="005F26CF">
            <w:r>
              <w:t>Early-2018</w:t>
            </w:r>
          </w:p>
        </w:tc>
        <w:tc>
          <w:tcPr>
            <w:tcW w:w="6570" w:type="dxa"/>
          </w:tcPr>
          <w:p w:rsidR="00956EC7" w:rsidRPr="00464F79" w:rsidRDefault="00956EC7" w:rsidP="005F26CF">
            <w:r>
              <w:t>ICG-WIGOS to consider latest changes, and consider version to be submitted to Congress</w:t>
            </w:r>
          </w:p>
        </w:tc>
        <w:tc>
          <w:tcPr>
            <w:tcW w:w="2610" w:type="dxa"/>
          </w:tcPr>
          <w:p w:rsidR="00956EC7" w:rsidRPr="00464F79" w:rsidRDefault="00956EC7" w:rsidP="005F26CF">
            <w:r>
              <w:t>ICG-WIGOS</w:t>
            </w:r>
          </w:p>
        </w:tc>
        <w:tc>
          <w:tcPr>
            <w:tcW w:w="2953" w:type="dxa"/>
          </w:tcPr>
          <w:p w:rsidR="00956EC7" w:rsidRDefault="00956EC7" w:rsidP="005F26CF">
            <w:r>
              <w:t xml:space="preserve">S. </w:t>
            </w:r>
            <w:proofErr w:type="spellStart"/>
            <w:r>
              <w:t>Barrell</w:t>
            </w:r>
            <w:proofErr w:type="spellEnd"/>
            <w:r>
              <w:t>, B. Calpini, Secretariat (LPR)</w:t>
            </w:r>
          </w:p>
        </w:tc>
      </w:tr>
      <w:tr w:rsidR="00956EC7" w:rsidRPr="00464F79" w:rsidTr="005F26CF">
        <w:tc>
          <w:tcPr>
            <w:tcW w:w="1908" w:type="dxa"/>
          </w:tcPr>
          <w:p w:rsidR="00956EC7" w:rsidRPr="00464F79" w:rsidRDefault="00956EC7" w:rsidP="005F26CF">
            <w:r w:rsidRPr="00464F79">
              <w:t>End 2018</w:t>
            </w:r>
          </w:p>
        </w:tc>
        <w:tc>
          <w:tcPr>
            <w:tcW w:w="6570" w:type="dxa"/>
          </w:tcPr>
          <w:p w:rsidR="00956EC7" w:rsidRPr="00464F79" w:rsidRDefault="00956EC7" w:rsidP="005F26CF">
            <w:r w:rsidRPr="00464F79">
              <w:t>If there is a CBS-Ext(2018) Session, the CBS to review and recommend the draft to be submitted to EC-70 and Cg-18.</w:t>
            </w:r>
          </w:p>
        </w:tc>
        <w:tc>
          <w:tcPr>
            <w:tcW w:w="2610" w:type="dxa"/>
          </w:tcPr>
          <w:p w:rsidR="00956EC7" w:rsidRPr="00464F79" w:rsidRDefault="00956EC7" w:rsidP="005F26CF">
            <w:r w:rsidRPr="00464F79">
              <w:t>CBS Ext.(2018)</w:t>
            </w:r>
          </w:p>
        </w:tc>
        <w:tc>
          <w:tcPr>
            <w:tcW w:w="2953" w:type="dxa"/>
          </w:tcPr>
          <w:p w:rsidR="00956EC7" w:rsidRPr="00464F79" w:rsidRDefault="00956EC7" w:rsidP="005F26CF">
            <w:r>
              <w:t>Secretariat</w:t>
            </w:r>
          </w:p>
        </w:tc>
      </w:tr>
      <w:tr w:rsidR="00956EC7" w:rsidRPr="00464F79" w:rsidTr="005F26CF">
        <w:tc>
          <w:tcPr>
            <w:tcW w:w="1908" w:type="dxa"/>
          </w:tcPr>
          <w:p w:rsidR="00956EC7" w:rsidRPr="00464F79" w:rsidRDefault="00956EC7" w:rsidP="005F26CF">
            <w:r w:rsidRPr="00464F79">
              <w:t>May 2019</w:t>
            </w:r>
          </w:p>
        </w:tc>
        <w:tc>
          <w:tcPr>
            <w:tcW w:w="6570" w:type="dxa"/>
          </w:tcPr>
          <w:p w:rsidR="00956EC7" w:rsidRPr="00464F79" w:rsidRDefault="00956EC7" w:rsidP="005F26CF">
            <w:r w:rsidRPr="00464F79">
              <w:t>Congress approves the WIGOS Vision for 2040.</w:t>
            </w:r>
          </w:p>
        </w:tc>
        <w:tc>
          <w:tcPr>
            <w:tcW w:w="2610" w:type="dxa"/>
          </w:tcPr>
          <w:p w:rsidR="00956EC7" w:rsidRPr="00464F79" w:rsidRDefault="00956EC7" w:rsidP="005F26CF">
            <w:r w:rsidRPr="00464F79">
              <w:t>Cg-18</w:t>
            </w:r>
          </w:p>
        </w:tc>
        <w:tc>
          <w:tcPr>
            <w:tcW w:w="2953" w:type="dxa"/>
          </w:tcPr>
          <w:p w:rsidR="00956EC7" w:rsidRPr="00464F79" w:rsidRDefault="00956EC7" w:rsidP="005F26CF">
            <w:r>
              <w:t>Secretariat</w:t>
            </w:r>
          </w:p>
        </w:tc>
      </w:tr>
    </w:tbl>
    <w:p w:rsidR="00956EC7" w:rsidRDefault="00956EC7" w:rsidP="00956EC7">
      <w:pPr>
        <w:pStyle w:val="NormalWeb"/>
        <w:spacing w:before="0" w:beforeAutospacing="0" w:after="0" w:afterAutospacing="0"/>
        <w:rPr>
          <w:rFonts w:ascii="Arial" w:hAnsi="Arial" w:cs="Arial"/>
          <w:sz w:val="22"/>
          <w:szCs w:val="22"/>
        </w:rPr>
      </w:pPr>
    </w:p>
    <w:p w:rsidR="00956EC7" w:rsidRPr="0069534A" w:rsidRDefault="00956EC7" w:rsidP="00956EC7">
      <w:pPr>
        <w:jc w:val="center"/>
        <w:rPr>
          <w:rFonts w:cs="Arial"/>
          <w:b/>
          <w:szCs w:val="20"/>
          <w:lang w:val="en-GB"/>
        </w:rPr>
      </w:pPr>
      <w:r w:rsidRPr="0069534A">
        <w:rPr>
          <w:rFonts w:cs="Arial"/>
          <w:b/>
          <w:szCs w:val="20"/>
          <w:lang w:val="en-GB"/>
        </w:rPr>
        <w:t>____________</w:t>
      </w:r>
    </w:p>
    <w:p w:rsidR="000779FA" w:rsidRPr="00916735" w:rsidRDefault="000779FA" w:rsidP="00DE1CF9">
      <w:bookmarkStart w:id="1" w:name="_GoBack"/>
      <w:bookmarkEnd w:id="1"/>
    </w:p>
    <w:sectPr w:rsidR="000779FA" w:rsidRPr="00916735" w:rsidSect="00956EC7">
      <w:pgSz w:w="16839" w:h="11907"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4E6" w:rsidRDefault="001964E6" w:rsidP="003E2ED3">
      <w:r>
        <w:separator/>
      </w:r>
    </w:p>
  </w:endnote>
  <w:endnote w:type="continuationSeparator" w:id="0">
    <w:p w:rsidR="001964E6" w:rsidRDefault="001964E6" w:rsidP="003E2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4E6" w:rsidRDefault="001964E6" w:rsidP="003E2ED3">
      <w:r>
        <w:separator/>
      </w:r>
    </w:p>
  </w:footnote>
  <w:footnote w:type="continuationSeparator" w:id="0">
    <w:p w:rsidR="001964E6" w:rsidRDefault="001964E6" w:rsidP="003E2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EC7"/>
    <w:rsid w:val="00024991"/>
    <w:rsid w:val="000779FA"/>
    <w:rsid w:val="000D0518"/>
    <w:rsid w:val="001964E6"/>
    <w:rsid w:val="00252DEF"/>
    <w:rsid w:val="00275557"/>
    <w:rsid w:val="002C2244"/>
    <w:rsid w:val="00381A46"/>
    <w:rsid w:val="003B6850"/>
    <w:rsid w:val="003E2ED3"/>
    <w:rsid w:val="005C1961"/>
    <w:rsid w:val="0061201D"/>
    <w:rsid w:val="0068389C"/>
    <w:rsid w:val="00755B21"/>
    <w:rsid w:val="008072F5"/>
    <w:rsid w:val="00892048"/>
    <w:rsid w:val="00916735"/>
    <w:rsid w:val="00956EC7"/>
    <w:rsid w:val="009D6F74"/>
    <w:rsid w:val="00A60538"/>
    <w:rsid w:val="00AE5EF8"/>
    <w:rsid w:val="00B524A6"/>
    <w:rsid w:val="00D14906"/>
    <w:rsid w:val="00DA75AE"/>
    <w:rsid w:val="00DE1CF9"/>
    <w:rsid w:val="00F936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C7"/>
    <w:pPr>
      <w:widowControl w:val="0"/>
      <w:spacing w:after="0" w:line="240" w:lineRule="auto"/>
    </w:pPr>
    <w:rPr>
      <w:rFonts w:ascii="Verdana" w:eastAsia="Times New Roman" w:hAnsi="Verdana" w:cs="Times New Roman"/>
      <w:snapToGrid w:val="0"/>
      <w:sz w:val="20"/>
      <w:lang w:eastAsia="en-US"/>
    </w:rPr>
  </w:style>
  <w:style w:type="paragraph" w:styleId="Heading1">
    <w:name w:val="heading 1"/>
    <w:basedOn w:val="Normal"/>
    <w:next w:val="Normal"/>
    <w:link w:val="Heading1Char"/>
    <w:uiPriority w:val="9"/>
    <w:qFormat/>
    <w:rsid w:val="003B6850"/>
    <w:pPr>
      <w:keepNext/>
      <w:keepLines/>
      <w:widowControl/>
      <w:spacing w:before="480" w:line="276" w:lineRule="auto"/>
      <w:outlineLvl w:val="0"/>
    </w:pPr>
    <w:rPr>
      <w:rFonts w:eastAsiaTheme="majorEastAsia" w:cstheme="majorBidi"/>
      <w:b/>
      <w:bCs/>
      <w:snapToGrid/>
      <w:color w:val="365F91" w:themeColor="accent1" w:themeShade="BF"/>
      <w:sz w:val="28"/>
      <w:szCs w:val="28"/>
      <w:lang w:val="en-GB" w:eastAsia="zh-CN"/>
    </w:rPr>
  </w:style>
  <w:style w:type="paragraph" w:styleId="Heading2">
    <w:name w:val="heading 2"/>
    <w:basedOn w:val="Normal"/>
    <w:next w:val="Normal"/>
    <w:link w:val="Heading2Char"/>
    <w:uiPriority w:val="9"/>
    <w:semiHidden/>
    <w:unhideWhenUsed/>
    <w:qFormat/>
    <w:rsid w:val="003B6850"/>
    <w:pPr>
      <w:keepNext/>
      <w:keepLines/>
      <w:widowControl/>
      <w:spacing w:before="200" w:line="276" w:lineRule="auto"/>
      <w:outlineLvl w:val="1"/>
    </w:pPr>
    <w:rPr>
      <w:rFonts w:eastAsiaTheme="majorEastAsia" w:cstheme="majorBidi"/>
      <w:b/>
      <w:bCs/>
      <w:snapToGrid/>
      <w:color w:val="4F81BD" w:themeColor="accent1"/>
      <w:sz w:val="26"/>
      <w:szCs w:val="2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widowControl/>
      <w:tabs>
        <w:tab w:val="center" w:pos="4680"/>
        <w:tab w:val="right" w:pos="9360"/>
      </w:tabs>
    </w:pPr>
    <w:rPr>
      <w:rFonts w:eastAsiaTheme="minorEastAsia" w:cstheme="minorBidi"/>
      <w:snapToGrid/>
      <w:lang w:val="en-GB" w:eastAsia="zh-CN"/>
    </w:r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widowControl/>
      <w:tabs>
        <w:tab w:val="center" w:pos="4680"/>
        <w:tab w:val="right" w:pos="9360"/>
      </w:tabs>
    </w:pPr>
    <w:rPr>
      <w:rFonts w:eastAsiaTheme="minorEastAsia" w:cstheme="minorBidi"/>
      <w:snapToGrid/>
      <w:lang w:val="en-GB" w:eastAsia="zh-CN"/>
    </w:r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widowControl/>
      <w:pBdr>
        <w:bottom w:val="single" w:sz="8" w:space="4" w:color="4F81BD" w:themeColor="accent1"/>
      </w:pBdr>
      <w:spacing w:after="300"/>
      <w:contextualSpacing/>
    </w:pPr>
    <w:rPr>
      <w:rFonts w:eastAsiaTheme="majorEastAsia" w:cstheme="majorBidi"/>
      <w:snapToGrid/>
      <w:color w:val="17365D" w:themeColor="text2" w:themeShade="BF"/>
      <w:spacing w:val="5"/>
      <w:kern w:val="28"/>
      <w:sz w:val="52"/>
      <w:szCs w:val="52"/>
      <w:lang w:val="en-GB" w:eastAsia="zh-CN"/>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widowControl/>
      <w:numPr>
        <w:ilvl w:val="1"/>
      </w:numPr>
      <w:spacing w:after="200" w:line="276" w:lineRule="auto"/>
    </w:pPr>
    <w:rPr>
      <w:rFonts w:eastAsiaTheme="majorEastAsia" w:cstheme="majorBidi"/>
      <w:i/>
      <w:iCs/>
      <w:snapToGrid/>
      <w:color w:val="4F81BD" w:themeColor="accent1"/>
      <w:spacing w:val="15"/>
      <w:sz w:val="24"/>
      <w:szCs w:val="24"/>
      <w:lang w:val="en-GB" w:eastAsia="zh-CN"/>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styleId="NormalWeb">
    <w:name w:val="Normal (Web)"/>
    <w:basedOn w:val="Normal"/>
    <w:rsid w:val="00956EC7"/>
    <w:pPr>
      <w:widowControl/>
      <w:spacing w:before="100" w:beforeAutospacing="1" w:after="100" w:afterAutospacing="1"/>
    </w:pPr>
    <w:rPr>
      <w:rFonts w:ascii="Times New Roman" w:eastAsia="SimSun" w:hAnsi="Times New Roman"/>
      <w:snapToGrid/>
      <w:sz w:val="24"/>
      <w:szCs w:val="24"/>
      <w:lang w:eastAsia="zh-CN"/>
    </w:rPr>
  </w:style>
  <w:style w:type="table" w:styleId="TableGrid">
    <w:name w:val="Table Grid"/>
    <w:basedOn w:val="TableNormal"/>
    <w:uiPriority w:val="59"/>
    <w:rsid w:val="00956EC7"/>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C7"/>
    <w:pPr>
      <w:widowControl w:val="0"/>
      <w:spacing w:after="0" w:line="240" w:lineRule="auto"/>
    </w:pPr>
    <w:rPr>
      <w:rFonts w:ascii="Verdana" w:eastAsia="Times New Roman" w:hAnsi="Verdana" w:cs="Times New Roman"/>
      <w:snapToGrid w:val="0"/>
      <w:sz w:val="20"/>
      <w:lang w:eastAsia="en-US"/>
    </w:rPr>
  </w:style>
  <w:style w:type="paragraph" w:styleId="Heading1">
    <w:name w:val="heading 1"/>
    <w:basedOn w:val="Normal"/>
    <w:next w:val="Normal"/>
    <w:link w:val="Heading1Char"/>
    <w:uiPriority w:val="9"/>
    <w:qFormat/>
    <w:rsid w:val="003B6850"/>
    <w:pPr>
      <w:keepNext/>
      <w:keepLines/>
      <w:widowControl/>
      <w:spacing w:before="480" w:line="276" w:lineRule="auto"/>
      <w:outlineLvl w:val="0"/>
    </w:pPr>
    <w:rPr>
      <w:rFonts w:eastAsiaTheme="majorEastAsia" w:cstheme="majorBidi"/>
      <w:b/>
      <w:bCs/>
      <w:snapToGrid/>
      <w:color w:val="365F91" w:themeColor="accent1" w:themeShade="BF"/>
      <w:sz w:val="28"/>
      <w:szCs w:val="28"/>
      <w:lang w:val="en-GB" w:eastAsia="zh-CN"/>
    </w:rPr>
  </w:style>
  <w:style w:type="paragraph" w:styleId="Heading2">
    <w:name w:val="heading 2"/>
    <w:basedOn w:val="Normal"/>
    <w:next w:val="Normal"/>
    <w:link w:val="Heading2Char"/>
    <w:uiPriority w:val="9"/>
    <w:semiHidden/>
    <w:unhideWhenUsed/>
    <w:qFormat/>
    <w:rsid w:val="003B6850"/>
    <w:pPr>
      <w:keepNext/>
      <w:keepLines/>
      <w:widowControl/>
      <w:spacing w:before="200" w:line="276" w:lineRule="auto"/>
      <w:outlineLvl w:val="1"/>
    </w:pPr>
    <w:rPr>
      <w:rFonts w:eastAsiaTheme="majorEastAsia" w:cstheme="majorBidi"/>
      <w:b/>
      <w:bCs/>
      <w:snapToGrid/>
      <w:color w:val="4F81BD" w:themeColor="accent1"/>
      <w:sz w:val="26"/>
      <w:szCs w:val="2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widowControl/>
      <w:tabs>
        <w:tab w:val="center" w:pos="4680"/>
        <w:tab w:val="right" w:pos="9360"/>
      </w:tabs>
    </w:pPr>
    <w:rPr>
      <w:rFonts w:eastAsiaTheme="minorEastAsia" w:cstheme="minorBidi"/>
      <w:snapToGrid/>
      <w:lang w:val="en-GB" w:eastAsia="zh-CN"/>
    </w:r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widowControl/>
      <w:tabs>
        <w:tab w:val="center" w:pos="4680"/>
        <w:tab w:val="right" w:pos="9360"/>
      </w:tabs>
    </w:pPr>
    <w:rPr>
      <w:rFonts w:eastAsiaTheme="minorEastAsia" w:cstheme="minorBidi"/>
      <w:snapToGrid/>
      <w:lang w:val="en-GB" w:eastAsia="zh-CN"/>
    </w:r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widowControl/>
      <w:pBdr>
        <w:bottom w:val="single" w:sz="8" w:space="4" w:color="4F81BD" w:themeColor="accent1"/>
      </w:pBdr>
      <w:spacing w:after="300"/>
      <w:contextualSpacing/>
    </w:pPr>
    <w:rPr>
      <w:rFonts w:eastAsiaTheme="majorEastAsia" w:cstheme="majorBidi"/>
      <w:snapToGrid/>
      <w:color w:val="17365D" w:themeColor="text2" w:themeShade="BF"/>
      <w:spacing w:val="5"/>
      <w:kern w:val="28"/>
      <w:sz w:val="52"/>
      <w:szCs w:val="52"/>
      <w:lang w:val="en-GB" w:eastAsia="zh-CN"/>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widowControl/>
      <w:numPr>
        <w:ilvl w:val="1"/>
      </w:numPr>
      <w:spacing w:after="200" w:line="276" w:lineRule="auto"/>
    </w:pPr>
    <w:rPr>
      <w:rFonts w:eastAsiaTheme="majorEastAsia" w:cstheme="majorBidi"/>
      <w:i/>
      <w:iCs/>
      <w:snapToGrid/>
      <w:color w:val="4F81BD" w:themeColor="accent1"/>
      <w:spacing w:val="15"/>
      <w:sz w:val="24"/>
      <w:szCs w:val="24"/>
      <w:lang w:val="en-GB" w:eastAsia="zh-CN"/>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styleId="NormalWeb">
    <w:name w:val="Normal (Web)"/>
    <w:basedOn w:val="Normal"/>
    <w:rsid w:val="00956EC7"/>
    <w:pPr>
      <w:widowControl/>
      <w:spacing w:before="100" w:beforeAutospacing="1" w:after="100" w:afterAutospacing="1"/>
    </w:pPr>
    <w:rPr>
      <w:rFonts w:ascii="Times New Roman" w:eastAsia="SimSun" w:hAnsi="Times New Roman"/>
      <w:snapToGrid/>
      <w:sz w:val="24"/>
      <w:szCs w:val="24"/>
      <w:lang w:eastAsia="zh-CN"/>
    </w:rPr>
  </w:style>
  <w:style w:type="table" w:styleId="TableGrid">
    <w:name w:val="Table Grid"/>
    <w:basedOn w:val="TableNormal"/>
    <w:uiPriority w:val="59"/>
    <w:rsid w:val="00956EC7"/>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F19DA-5BC1-491B-B3D4-B537FA5E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Charpentier</dc:creator>
  <cp:lastModifiedBy>Etienne Charpentier</cp:lastModifiedBy>
  <cp:revision>1</cp:revision>
  <dcterms:created xsi:type="dcterms:W3CDTF">2016-10-13T10:06:00Z</dcterms:created>
  <dcterms:modified xsi:type="dcterms:W3CDTF">2016-10-13T10:07:00Z</dcterms:modified>
</cp:coreProperties>
</file>