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7C3FB8" w:rsidRPr="009A7B43" w:rsidRDefault="007C3FB8" w:rsidP="007C3FB8">
            <w:pPr>
              <w:tabs>
                <w:tab w:val="left" w:pos="6946"/>
              </w:tabs>
              <w:suppressAutoHyphens/>
              <w:spacing w:after="120" w:line="252" w:lineRule="auto"/>
              <w:ind w:left="1134"/>
              <w:jc w:val="left"/>
              <w:rPr>
                <w:rFonts w:cs="Tahoma"/>
                <w:b/>
                <w:color w:val="365F91" w:themeColor="accent1" w:themeShade="BF"/>
                <w:spacing w:val="-2"/>
              </w:rPr>
            </w:pPr>
            <w:r w:rsidRPr="009A7B43">
              <w:rPr>
                <w:rFonts w:cs="Tahoma"/>
                <w:b/>
                <w:color w:val="365F91" w:themeColor="accent1" w:themeShade="BF"/>
                <w:spacing w:val="-2"/>
              </w:rPr>
              <w:fldChar w:fldCharType="begin"/>
            </w:r>
            <w:r w:rsidRPr="009A7B43">
              <w:rPr>
                <w:rFonts w:cs="Tahoma"/>
                <w:b/>
                <w:color w:val="365F91" w:themeColor="accent1" w:themeShade="BF"/>
                <w:spacing w:val="-2"/>
              </w:rPr>
              <w:instrText xml:space="preserve"> COMMENTS   \* MERGEFORMAT </w:instrText>
            </w:r>
            <w:r w:rsidRPr="009A7B43">
              <w:rPr>
                <w:rFonts w:cs="Tahoma"/>
                <w:b/>
                <w:color w:val="365F91" w:themeColor="accent1" w:themeShade="BF"/>
                <w:spacing w:val="-2"/>
              </w:rPr>
              <w:fldChar w:fldCharType="separate"/>
            </w:r>
            <w:r w:rsidRPr="009A7B43">
              <w:rPr>
                <w:rFonts w:cs="Tahoma"/>
                <w:b/>
                <w:color w:val="365F91" w:themeColor="accent1" w:themeShade="BF"/>
                <w:spacing w:val="-2"/>
              </w:rPr>
              <w:t>Inter-Commission Coordination Group On WIGOS/WIGOS Editorial Board (</w:t>
            </w:r>
            <w:proofErr w:type="spellStart"/>
            <w:r w:rsidRPr="009A7B43">
              <w:rPr>
                <w:rFonts w:cs="Tahoma"/>
                <w:b/>
                <w:color w:val="365F91" w:themeColor="accent1" w:themeShade="BF"/>
                <w:spacing w:val="-2"/>
              </w:rPr>
              <w:t>WEdB</w:t>
            </w:r>
            <w:proofErr w:type="spellEnd"/>
            <w:r w:rsidRPr="009A7B43">
              <w:rPr>
                <w:rFonts w:cs="Tahoma"/>
                <w:b/>
                <w:color w:val="365F91" w:themeColor="accent1" w:themeShade="BF"/>
                <w:spacing w:val="-2"/>
              </w:rPr>
              <w:t xml:space="preserve">) </w:t>
            </w:r>
            <w:r w:rsidRPr="009A7B43">
              <w:rPr>
                <w:rFonts w:cs="Tahoma"/>
                <w:b/>
                <w:color w:val="365F91" w:themeColor="accent1" w:themeShade="BF"/>
                <w:spacing w:val="-2"/>
              </w:rPr>
              <w:fldChar w:fldCharType="end"/>
            </w:r>
          </w:p>
          <w:p w:rsidR="00993581" w:rsidRPr="003B6DFC" w:rsidRDefault="00AF149A" w:rsidP="00AF149A">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rPr>
              <w:t>Third</w:t>
            </w:r>
            <w:r w:rsidR="007C3FB8" w:rsidRPr="009A7B43">
              <w:rPr>
                <w:rFonts w:cstheme="minorBidi"/>
                <w:b/>
                <w:snapToGrid w:val="0"/>
                <w:color w:val="365F91" w:themeColor="accent1" w:themeShade="BF"/>
              </w:rPr>
              <w:t xml:space="preserve"> Session</w:t>
            </w:r>
            <w:r w:rsidR="007C3FB8" w:rsidRPr="009A7B43">
              <w:rPr>
                <w:rFonts w:cstheme="minorBidi"/>
                <w:b/>
                <w:snapToGrid w:val="0"/>
                <w:color w:val="365F91" w:themeColor="accent1" w:themeShade="BF"/>
              </w:rPr>
              <w:br/>
            </w:r>
            <w:r w:rsidR="007C3FB8" w:rsidRPr="009A7B43">
              <w:rPr>
                <w:snapToGrid w:val="0"/>
                <w:color w:val="365F91" w:themeColor="accent1" w:themeShade="BF"/>
              </w:rPr>
              <w:fldChar w:fldCharType="begin"/>
            </w:r>
            <w:r w:rsidR="007C3FB8" w:rsidRPr="009A7B43">
              <w:rPr>
                <w:snapToGrid w:val="0"/>
                <w:color w:val="365F91" w:themeColor="accent1" w:themeShade="BF"/>
              </w:rPr>
              <w:instrText xml:space="preserve"> SUBJECT   \* MERGEFORMAT </w:instrText>
            </w:r>
            <w:r w:rsidR="007C3FB8" w:rsidRPr="009A7B43">
              <w:rPr>
                <w:snapToGrid w:val="0"/>
                <w:color w:val="365F91" w:themeColor="accent1" w:themeShade="BF"/>
              </w:rPr>
              <w:fldChar w:fldCharType="separate"/>
            </w:r>
            <w:r w:rsidR="007C3FB8" w:rsidRPr="009A7B43">
              <w:rPr>
                <w:snapToGrid w:val="0"/>
                <w:color w:val="365F91" w:themeColor="accent1" w:themeShade="BF"/>
              </w:rPr>
              <w:t xml:space="preserve">Geneva, Switzerland, </w:t>
            </w:r>
            <w:r>
              <w:rPr>
                <w:snapToGrid w:val="0"/>
                <w:color w:val="365F91" w:themeColor="accent1" w:themeShade="BF"/>
              </w:rPr>
              <w:t>17</w:t>
            </w:r>
            <w:r w:rsidR="007C3FB8" w:rsidRPr="009A7B43">
              <w:rPr>
                <w:snapToGrid w:val="0"/>
                <w:color w:val="365F91" w:themeColor="accent1" w:themeShade="BF"/>
              </w:rPr>
              <w:t xml:space="preserve"> - </w:t>
            </w:r>
            <w:r>
              <w:rPr>
                <w:snapToGrid w:val="0"/>
                <w:color w:val="365F91" w:themeColor="accent1" w:themeShade="BF"/>
              </w:rPr>
              <w:t>19</w:t>
            </w:r>
            <w:r w:rsidR="007C3FB8" w:rsidRPr="009A7B43">
              <w:rPr>
                <w:snapToGrid w:val="0"/>
                <w:color w:val="365F91" w:themeColor="accent1" w:themeShade="BF"/>
              </w:rPr>
              <w:t xml:space="preserve"> </w:t>
            </w:r>
            <w:r>
              <w:rPr>
                <w:snapToGrid w:val="0"/>
                <w:color w:val="365F91" w:themeColor="accent1" w:themeShade="BF"/>
              </w:rPr>
              <w:t>Jan</w:t>
            </w:r>
            <w:r w:rsidR="007C3FB8" w:rsidRPr="009A7B43">
              <w:rPr>
                <w:snapToGrid w:val="0"/>
                <w:color w:val="365F91" w:themeColor="accent1" w:themeShade="BF"/>
              </w:rPr>
              <w:t xml:space="preserve"> 201</w:t>
            </w:r>
            <w:r w:rsidR="007C3FB8" w:rsidRPr="009A7B43">
              <w:rPr>
                <w:snapToGrid w:val="0"/>
                <w:color w:val="365F91" w:themeColor="accent1" w:themeShade="BF"/>
              </w:rPr>
              <w:fldChar w:fldCharType="end"/>
            </w:r>
            <w:r>
              <w:rPr>
                <w:snapToGrid w:val="0"/>
                <w:color w:val="365F91" w:themeColor="accent1" w:themeShade="BF"/>
              </w:rPr>
              <w:t>8</w:t>
            </w:r>
          </w:p>
        </w:tc>
        <w:tc>
          <w:tcPr>
            <w:tcW w:w="3402" w:type="dxa"/>
          </w:tcPr>
          <w:p w:rsidR="00993581" w:rsidRPr="001B235A" w:rsidRDefault="00785A61" w:rsidP="00374B86">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E05DD3">
                  <w:rPr>
                    <w:rFonts w:cs="Tahoma"/>
                    <w:b/>
                    <w:bCs/>
                    <w:color w:val="365F91" w:themeColor="accent1" w:themeShade="BF"/>
                  </w:rPr>
                  <w:t>WEdB</w:t>
                </w:r>
                <w:r w:rsidR="001B235A" w:rsidRPr="001B235A">
                  <w:rPr>
                    <w:rFonts w:cs="Tahoma"/>
                    <w:b/>
                    <w:bCs/>
                    <w:color w:val="365F91" w:themeColor="accent1" w:themeShade="BF"/>
                  </w:rPr>
                  <w:t>-</w:t>
                </w:r>
                <w:r w:rsidR="00AF149A">
                  <w:rPr>
                    <w:rFonts w:cs="Tahoma"/>
                    <w:b/>
                    <w:bCs/>
                    <w:color w:val="365F91" w:themeColor="accent1" w:themeShade="BF"/>
                  </w:rPr>
                  <w:t>3</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374B86">
                  <w:rPr>
                    <w:rFonts w:cs="Tahoma"/>
                    <w:b/>
                    <w:bCs/>
                    <w:color w:val="365F91" w:themeColor="accent1" w:themeShade="BF"/>
                  </w:rPr>
                  <w:t>INF</w:t>
                </w:r>
                <w:r w:rsidR="000D4FA3" w:rsidRPr="001B235A">
                  <w:rPr>
                    <w:rFonts w:cs="Tahoma"/>
                    <w:b/>
                    <w:bCs/>
                    <w:color w:val="365F91" w:themeColor="accent1" w:themeShade="BF"/>
                  </w:rPr>
                  <w:t xml:space="preserve">. </w:t>
                </w:r>
                <w:r w:rsidR="00374B86">
                  <w:rPr>
                    <w:rFonts w:cs="Tahoma"/>
                    <w:b/>
                    <w:bCs/>
                    <w:color w:val="365F91" w:themeColor="accent1" w:themeShade="BF"/>
                  </w:rPr>
                  <w:t>5.2</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374B86">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74B86">
                  <w:rPr>
                    <w:rFonts w:cs="Tahoma"/>
                    <w:color w:val="365F91" w:themeColor="accent1" w:themeShade="BF"/>
                    <w:lang w:val="en-US"/>
                  </w:rPr>
                  <w:t>tkurino</w:t>
                </w:r>
                <w:r w:rsidR="008C49A8">
                  <w:rPr>
                    <w:rFonts w:cs="Tahoma"/>
                    <w:color w:val="365F91" w:themeColor="accent1" w:themeShade="BF"/>
                    <w:lang w:val="en-US"/>
                  </w:rPr>
                  <w:t>@wmo.int</w:t>
                </w:r>
              </w:sdtContent>
            </w:sdt>
          </w:p>
          <w:p w:rsidR="00993581" w:rsidRPr="003B6DFC" w:rsidRDefault="00E17F18" w:rsidP="00AF149A">
            <w:pPr>
              <w:tabs>
                <w:tab w:val="clear" w:pos="1134"/>
              </w:tabs>
              <w:spacing w:after="60"/>
              <w:ind w:right="-108"/>
              <w:jc w:val="right"/>
              <w:rPr>
                <w:rFonts w:cs="Tahoma"/>
                <w:color w:val="365F91" w:themeColor="accent1" w:themeShade="BF"/>
              </w:rPr>
            </w:pPr>
            <w:r>
              <w:rPr>
                <w:rFonts w:cs="Tahoma"/>
                <w:color w:val="365F91" w:themeColor="accent1" w:themeShade="BF"/>
              </w:rPr>
              <w:t>13</w:t>
            </w:r>
            <w:r w:rsidR="000D4FA3" w:rsidRPr="003B6DFC">
              <w:rPr>
                <w:rFonts w:cs="Tahoma"/>
                <w:color w:val="365F91" w:themeColor="accent1" w:themeShade="BF"/>
              </w:rPr>
              <w:t>.</w:t>
            </w:r>
            <w:r w:rsidR="006F4489" w:rsidRPr="003B6DFC">
              <w:rPr>
                <w:rFonts w:cs="Tahoma"/>
                <w:color w:val="365F91" w:themeColor="accent1" w:themeShade="BF"/>
              </w:rPr>
              <w:t>0</w:t>
            </w:r>
            <w:r w:rsidR="00AF149A">
              <w:rPr>
                <w:rFonts w:cs="Tahoma"/>
                <w:color w:val="365F91" w:themeColor="accent1" w:themeShade="BF"/>
              </w:rPr>
              <w:t>1</w:t>
            </w:r>
            <w:r w:rsidR="000D4FA3" w:rsidRPr="003B6DFC">
              <w:rPr>
                <w:rFonts w:cs="Tahoma"/>
                <w:color w:val="365F91" w:themeColor="accent1" w:themeShade="BF"/>
              </w:rPr>
              <w:t>.</w:t>
            </w:r>
            <w:r w:rsidR="0050695F" w:rsidRPr="003B6DFC">
              <w:rPr>
                <w:rFonts w:cs="Tahoma"/>
                <w:color w:val="365F91" w:themeColor="accent1" w:themeShade="BF"/>
              </w:rPr>
              <w:t>201</w:t>
            </w:r>
            <w:r w:rsidR="00AF149A">
              <w:rPr>
                <w:rFonts w:cs="Tahoma"/>
                <w:color w:val="365F91" w:themeColor="accent1" w:themeShade="BF"/>
              </w:rPr>
              <w:t>8</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374B86" w:rsidRPr="00374B86" w:rsidRDefault="00374B86" w:rsidP="00374B86">
      <w:pPr>
        <w:jc w:val="center"/>
        <w:rPr>
          <w:b/>
          <w:bCs/>
        </w:rPr>
      </w:pPr>
      <w:bookmarkStart w:id="1" w:name="_Toc319327009"/>
      <w:r w:rsidRPr="00374B86">
        <w:rPr>
          <w:b/>
          <w:bCs/>
        </w:rPr>
        <w:t>OTHER WIGOS RELATED GUIDANCE (NON-REGULATORY) MATERIAL UNDER DEVELOPMENT/FINALIZATION FOR PUBLICATION</w:t>
      </w:r>
    </w:p>
    <w:p w:rsidR="001E7EBA" w:rsidRDefault="001E7EBA" w:rsidP="005A65D8">
      <w:pPr>
        <w:jc w:val="center"/>
        <w:rPr>
          <w:i/>
          <w:iCs/>
        </w:rPr>
      </w:pPr>
    </w:p>
    <w:p w:rsidR="005A65D8" w:rsidRPr="00060D20" w:rsidRDefault="00374B86" w:rsidP="005A65D8">
      <w:pPr>
        <w:jc w:val="center"/>
        <w:rPr>
          <w:i/>
          <w:iCs/>
        </w:rPr>
      </w:pPr>
      <w:r w:rsidRPr="00060D20">
        <w:rPr>
          <w:i/>
          <w:iCs/>
        </w:rPr>
        <w:t xml:space="preserve"> </w:t>
      </w:r>
      <w:r w:rsidR="005A65D8" w:rsidRPr="00060D20">
        <w:rPr>
          <w:i/>
          <w:iCs/>
        </w:rPr>
        <w:t xml:space="preserve">(Submitted by </w:t>
      </w:r>
      <w:bookmarkStart w:id="2" w:name="Submitted_by"/>
      <w:r w:rsidR="005A65D8" w:rsidRPr="00060D20">
        <w:rPr>
          <w:i/>
          <w:iCs/>
        </w:rPr>
        <w:fldChar w:fldCharType="begin">
          <w:ffData>
            <w:name w:val="Submitted_by"/>
            <w:enabled/>
            <w:calcOnExit w:val="0"/>
            <w:textInput>
              <w:default w:val="the Secretariat"/>
            </w:textInput>
          </w:ffData>
        </w:fldChar>
      </w:r>
      <w:r w:rsidR="005A65D8" w:rsidRPr="00060D20">
        <w:rPr>
          <w:i/>
          <w:iCs/>
        </w:rPr>
        <w:instrText xml:space="preserve"> FORMTEXT </w:instrText>
      </w:r>
      <w:r w:rsidR="005A65D8" w:rsidRPr="00060D20">
        <w:rPr>
          <w:i/>
          <w:iCs/>
        </w:rPr>
      </w:r>
      <w:r w:rsidR="005A65D8" w:rsidRPr="00060D20">
        <w:rPr>
          <w:i/>
          <w:iCs/>
        </w:rPr>
        <w:fldChar w:fldCharType="separate"/>
      </w:r>
      <w:r w:rsidR="005A65D8" w:rsidRPr="00060D20">
        <w:rPr>
          <w:i/>
          <w:iCs/>
          <w:noProof/>
        </w:rPr>
        <w:t>the Secretariat</w:t>
      </w:r>
      <w:r w:rsidR="005A65D8" w:rsidRPr="00060D20">
        <w:rPr>
          <w:i/>
          <w:iCs/>
        </w:rPr>
        <w:fldChar w:fldCharType="end"/>
      </w:r>
      <w:bookmarkEnd w:id="2"/>
      <w:r w:rsidR="005A65D8" w:rsidRPr="00060D20">
        <w:rPr>
          <w:i/>
          <w:iCs/>
        </w:rPr>
        <w:t>)</w:t>
      </w:r>
    </w:p>
    <w:p w:rsidR="005A65D8" w:rsidRPr="00060D20" w:rsidRDefault="005A65D8" w:rsidP="005A65D8"/>
    <w:p w:rsidR="001E7EBA" w:rsidRPr="002601C2" w:rsidRDefault="00785A61" w:rsidP="00785A61">
      <w:pPr>
        <w:pStyle w:val="Heading1"/>
        <w:spacing w:before="240"/>
        <w:rPr>
          <w:sz w:val="20"/>
          <w:szCs w:val="20"/>
          <w:lang w:eastAsia="en-US"/>
        </w:rPr>
      </w:pPr>
      <w:r>
        <w:rPr>
          <w:sz w:val="20"/>
          <w:szCs w:val="20"/>
          <w:lang w:eastAsia="en-US"/>
        </w:rPr>
        <w:t>The Calibration SCHEM of</w:t>
      </w:r>
      <w:r w:rsidR="00E000F7">
        <w:rPr>
          <w:sz w:val="20"/>
          <w:szCs w:val="20"/>
          <w:lang w:eastAsia="en-US"/>
        </w:rPr>
        <w:t xml:space="preserve"> </w:t>
      </w:r>
      <w:r w:rsidR="006D239D" w:rsidRPr="006D239D">
        <w:rPr>
          <w:sz w:val="20"/>
          <w:szCs w:val="20"/>
          <w:lang w:eastAsia="en-US"/>
        </w:rPr>
        <w:t>The Global Space Based Inter-calibration System</w:t>
      </w:r>
      <w:r w:rsidR="006D239D">
        <w:rPr>
          <w:sz w:val="20"/>
          <w:szCs w:val="20"/>
          <w:lang w:eastAsia="en-US"/>
        </w:rPr>
        <w:t xml:space="preserve"> (GSICS) </w:t>
      </w:r>
      <w:r w:rsidR="006D239D" w:rsidRPr="006D239D">
        <w:rPr>
          <w:sz w:val="20"/>
          <w:szCs w:val="20"/>
        </w:rPr>
        <w:t xml:space="preserve">To be </w:t>
      </w:r>
      <w:r w:rsidR="00957723" w:rsidRPr="002601C2">
        <w:rPr>
          <w:sz w:val="20"/>
          <w:szCs w:val="20"/>
        </w:rPr>
        <w:t>referred in THE WMO DOCUME</w:t>
      </w:r>
      <w:r w:rsidR="00237AD9">
        <w:rPr>
          <w:sz w:val="20"/>
          <w:szCs w:val="20"/>
        </w:rPr>
        <w:t>N</w:t>
      </w:r>
      <w:r w:rsidR="00957723" w:rsidRPr="002601C2">
        <w:rPr>
          <w:sz w:val="20"/>
          <w:szCs w:val="20"/>
        </w:rPr>
        <w:t>T “</w:t>
      </w:r>
      <w:r w:rsidR="001E7EBA" w:rsidRPr="002601C2">
        <w:rPr>
          <w:sz w:val="20"/>
          <w:szCs w:val="20"/>
        </w:rPr>
        <w:t xml:space="preserve">Guide to the </w:t>
      </w:r>
      <w:r w:rsidR="006D239D" w:rsidRPr="002601C2">
        <w:rPr>
          <w:sz w:val="20"/>
          <w:szCs w:val="20"/>
        </w:rPr>
        <w:t>WIGOS</w:t>
      </w:r>
      <w:r w:rsidR="00957723" w:rsidRPr="002601C2">
        <w:rPr>
          <w:sz w:val="20"/>
          <w:szCs w:val="20"/>
        </w:rPr>
        <w:t>”</w:t>
      </w:r>
    </w:p>
    <w:p w:rsidR="00B123B0" w:rsidRDefault="00B123B0" w:rsidP="001E7EBA"/>
    <w:p w:rsidR="00B123B0" w:rsidRDefault="00B123B0" w:rsidP="00B123B0">
      <w:pPr>
        <w:pStyle w:val="ListParagraph"/>
        <w:numPr>
          <w:ilvl w:val="0"/>
          <w:numId w:val="26"/>
        </w:numPr>
        <w:rPr>
          <w:b/>
          <w:bCs/>
        </w:rPr>
      </w:pPr>
      <w:r>
        <w:rPr>
          <w:b/>
          <w:bCs/>
        </w:rPr>
        <w:t>Introduction</w:t>
      </w:r>
    </w:p>
    <w:p w:rsidR="003C1191" w:rsidRPr="00957723" w:rsidRDefault="003C1191" w:rsidP="001445E9">
      <w:pPr>
        <w:pStyle w:val="WMOBodyText"/>
        <w:rPr>
          <w:szCs w:val="20"/>
          <w:lang w:eastAsia="en-US"/>
        </w:rPr>
      </w:pPr>
      <w:r w:rsidRPr="00957723">
        <w:rPr>
          <w:szCs w:val="20"/>
          <w:lang w:eastAsia="en-US"/>
        </w:rPr>
        <w:t xml:space="preserve">The Global Space Based Inter-calibration System (GSICS) is an international collaborative effort of satellite operators initiated in 2005 by WMO and the Coordination Group for Meteorological Satellites (CGMS) to monitor, improve and harmonize the quality of observations from operational weather and environmental satellites of </w:t>
      </w:r>
      <w:r w:rsidR="00C9161F" w:rsidRPr="00957723">
        <w:rPr>
          <w:szCs w:val="20"/>
        </w:rPr>
        <w:t>the WMO Integrated Global Observing System (WIGOS)</w:t>
      </w:r>
      <w:r w:rsidRPr="00957723">
        <w:rPr>
          <w:szCs w:val="20"/>
          <w:lang w:eastAsia="en-US"/>
        </w:rPr>
        <w:t xml:space="preserve">.  GSICS delivers calibration products corrections needed for accurately integrating data from multiple observing systems into products, applications and services.  This is achieved through a comprehensive calibration strategy which involves: </w:t>
      </w:r>
      <w:r w:rsidR="001445E9">
        <w:rPr>
          <w:szCs w:val="20"/>
          <w:lang w:eastAsia="en-US"/>
        </w:rPr>
        <w:t xml:space="preserve">1) </w:t>
      </w:r>
      <w:r w:rsidRPr="00957723">
        <w:rPr>
          <w:szCs w:val="20"/>
          <w:lang w:eastAsia="en-US"/>
        </w:rPr>
        <w:t xml:space="preserve">Monitoring instrument performances; 2) Operational inter-calibration of satellite instruments; 3) </w:t>
      </w:r>
      <w:r w:rsidR="001445E9">
        <w:rPr>
          <w:szCs w:val="20"/>
          <w:lang w:eastAsia="en-US"/>
        </w:rPr>
        <w:t>A</w:t>
      </w:r>
      <w:r w:rsidRPr="00957723">
        <w:rPr>
          <w:szCs w:val="20"/>
          <w:lang w:eastAsia="en-US"/>
        </w:rPr>
        <w:t>bsolute references and standards and recalibration of archived data.</w:t>
      </w:r>
    </w:p>
    <w:p w:rsidR="003C1191" w:rsidRPr="00957723" w:rsidRDefault="00533587" w:rsidP="003C1191">
      <w:pPr>
        <w:pStyle w:val="WMOBodyText"/>
        <w:numPr>
          <w:ilvl w:val="0"/>
          <w:numId w:val="26"/>
        </w:numPr>
        <w:rPr>
          <w:b/>
          <w:bCs/>
          <w:szCs w:val="20"/>
          <w:lang w:eastAsia="en-US"/>
        </w:rPr>
      </w:pPr>
      <w:r>
        <w:rPr>
          <w:b/>
          <w:bCs/>
          <w:szCs w:val="20"/>
          <w:lang w:eastAsia="en-US"/>
        </w:rPr>
        <w:t>Space-based Observing System in WIGOS Document</w:t>
      </w:r>
    </w:p>
    <w:p w:rsidR="00322E69" w:rsidRPr="00533587" w:rsidRDefault="00322E69" w:rsidP="00533587">
      <w:pPr>
        <w:pStyle w:val="WMOBodyText"/>
        <w:rPr>
          <w:szCs w:val="20"/>
          <w:lang w:eastAsia="en-US"/>
        </w:rPr>
      </w:pPr>
      <w:r w:rsidRPr="00BD4B66">
        <w:rPr>
          <w:rFonts w:cs="Stone Sans ITC"/>
          <w:i/>
          <w:iCs/>
          <w:color w:val="000000"/>
          <w:szCs w:val="20"/>
        </w:rPr>
        <w:t xml:space="preserve">Manual on the WMO Integrated Global Observing System </w:t>
      </w:r>
      <w:r w:rsidRPr="00BD4B66">
        <w:rPr>
          <w:rFonts w:cs="Stone Sans ITC"/>
          <w:color w:val="000000"/>
          <w:szCs w:val="20"/>
        </w:rPr>
        <w:t>(WMO-No. 1160)</w:t>
      </w:r>
      <w:r w:rsidRPr="00533587">
        <w:rPr>
          <w:rFonts w:cs="Stone Sans ITC"/>
          <w:szCs w:val="20"/>
        </w:rPr>
        <w:t xml:space="preserve"> </w:t>
      </w:r>
      <w:r w:rsidR="00533587">
        <w:rPr>
          <w:rFonts w:cs="Stone Sans ITC"/>
          <w:color w:val="000000"/>
        </w:rPr>
        <w:t xml:space="preserve">provides </w:t>
      </w:r>
      <w:r w:rsidR="00533587" w:rsidRPr="00533587">
        <w:rPr>
          <w:rFonts w:cs="Stone Sans ITC"/>
          <w:color w:val="000000"/>
          <w:szCs w:val="20"/>
        </w:rPr>
        <w:t xml:space="preserve">information applicable to the space-based subsystem of </w:t>
      </w:r>
      <w:r w:rsidR="00533587" w:rsidRPr="00533587">
        <w:rPr>
          <w:rFonts w:cs="Stone Sans ITC"/>
          <w:szCs w:val="20"/>
        </w:rPr>
        <w:t>WIGOS, including GSICS calibration scheme in</w:t>
      </w:r>
      <w:r w:rsidR="00533587" w:rsidRPr="00533587">
        <w:rPr>
          <w:rFonts w:cs="Stone Sans ITC"/>
        </w:rPr>
        <w:t xml:space="preserve"> </w:t>
      </w:r>
      <w:r w:rsidR="00533587">
        <w:rPr>
          <w:rFonts w:cs="Stone Sans ITC"/>
        </w:rPr>
        <w:t>Chapter 4</w:t>
      </w:r>
      <w:r w:rsidR="00541A8B">
        <w:rPr>
          <w:rFonts w:cs="Stone Sans ITC"/>
        </w:rPr>
        <w:t>.</w:t>
      </w:r>
      <w:r w:rsidRPr="00533587">
        <w:rPr>
          <w:rFonts w:cs="Stone Sans ITC"/>
          <w:szCs w:val="20"/>
        </w:rPr>
        <w:t xml:space="preserve"> “</w:t>
      </w:r>
      <w:r w:rsidRPr="00533587">
        <w:rPr>
          <w:rFonts w:cs="Stone Sans ITC"/>
          <w:color w:val="000000"/>
          <w:szCs w:val="20"/>
        </w:rPr>
        <w:t>ATTRIBUTES SPECIFIC TO THE SPACE-BASED SUBSYSTEM OF WIGOS</w:t>
      </w:r>
      <w:r w:rsidRPr="00533587">
        <w:rPr>
          <w:rFonts w:cs="Stone Sans ITC"/>
          <w:szCs w:val="20"/>
        </w:rPr>
        <w:t>”</w:t>
      </w:r>
      <w:r w:rsidR="00BD4B66">
        <w:rPr>
          <w:rFonts w:cs="Stone Sans ITC"/>
          <w:szCs w:val="20"/>
        </w:rPr>
        <w:t xml:space="preserve"> </w:t>
      </w:r>
      <w:r w:rsidR="00533587">
        <w:rPr>
          <w:rFonts w:cs="Stone Sans ITC"/>
        </w:rPr>
        <w:t>/</w:t>
      </w:r>
      <w:r w:rsidR="00BD4B66">
        <w:rPr>
          <w:rFonts w:cs="Stone Sans ITC"/>
        </w:rPr>
        <w:t xml:space="preserve"> </w:t>
      </w:r>
      <w:r w:rsidR="00533587">
        <w:rPr>
          <w:rFonts w:cs="Stone Sans ITC"/>
          <w:color w:val="000000"/>
        </w:rPr>
        <w:t>4.3. “</w:t>
      </w:r>
      <w:r w:rsidRPr="00533587">
        <w:rPr>
          <w:rFonts w:cs="Stone Sans ITC"/>
          <w:color w:val="000000"/>
          <w:szCs w:val="20"/>
        </w:rPr>
        <w:t>INSTRUMENTS AND METHODS OF OBSERVATION</w:t>
      </w:r>
      <w:r w:rsidR="00541A8B">
        <w:rPr>
          <w:rFonts w:cs="Stone Sans ITC"/>
          <w:color w:val="000000"/>
          <w:szCs w:val="20"/>
        </w:rPr>
        <w:t>”</w:t>
      </w:r>
      <w:r w:rsidR="00BD4B66">
        <w:rPr>
          <w:rFonts w:cs="Stone Sans ITC"/>
          <w:color w:val="000000"/>
          <w:szCs w:val="20"/>
        </w:rPr>
        <w:t xml:space="preserve"> </w:t>
      </w:r>
      <w:r w:rsidRPr="00533587">
        <w:rPr>
          <w:rFonts w:cs="Stone Sans ITC"/>
          <w:szCs w:val="20"/>
        </w:rPr>
        <w:t>/</w:t>
      </w:r>
      <w:r w:rsidR="00BD4B66">
        <w:rPr>
          <w:rFonts w:cs="Stone Sans ITC"/>
          <w:szCs w:val="20"/>
        </w:rPr>
        <w:t xml:space="preserve"> </w:t>
      </w:r>
      <w:r w:rsidRPr="00533587">
        <w:rPr>
          <w:rFonts w:cs="Stone Sans ITC"/>
          <w:color w:val="000000"/>
          <w:szCs w:val="20"/>
        </w:rPr>
        <w:t>4.3.1</w:t>
      </w:r>
      <w:r w:rsidR="00533587">
        <w:rPr>
          <w:rFonts w:cs="Stone Sans ITC"/>
          <w:color w:val="000000"/>
        </w:rPr>
        <w:t>.</w:t>
      </w:r>
      <w:r w:rsidRPr="00533587">
        <w:rPr>
          <w:rFonts w:cs="Stone Sans ITC"/>
          <w:color w:val="000000"/>
          <w:szCs w:val="20"/>
        </w:rPr>
        <w:t xml:space="preserve"> </w:t>
      </w:r>
      <w:r w:rsidR="00541A8B">
        <w:rPr>
          <w:rFonts w:cs="Stone Sans ITC"/>
          <w:color w:val="000000"/>
          <w:szCs w:val="20"/>
        </w:rPr>
        <w:t>“</w:t>
      </w:r>
      <w:r w:rsidRPr="00533587">
        <w:rPr>
          <w:rFonts w:cs="Stone Sans ITC"/>
          <w:color w:val="000000"/>
          <w:szCs w:val="20"/>
        </w:rPr>
        <w:t>Calibration and traceability</w:t>
      </w:r>
      <w:r w:rsidR="00533587">
        <w:rPr>
          <w:rFonts w:cs="Stone Sans ITC"/>
          <w:color w:val="000000"/>
        </w:rPr>
        <w:t>”</w:t>
      </w:r>
      <w:r w:rsidR="00533587">
        <w:rPr>
          <w:rFonts w:cs="Stone Sans ITC"/>
        </w:rPr>
        <w:t xml:space="preserve">.  </w:t>
      </w:r>
      <w:r w:rsidRPr="00533587">
        <w:rPr>
          <w:szCs w:val="20"/>
        </w:rPr>
        <w:t xml:space="preserve">However, little mentioned on the calibration </w:t>
      </w:r>
      <w:r w:rsidR="00541A8B">
        <w:rPr>
          <w:szCs w:val="20"/>
        </w:rPr>
        <w:t xml:space="preserve">scheme </w:t>
      </w:r>
      <w:r w:rsidRPr="00533587">
        <w:rPr>
          <w:szCs w:val="20"/>
        </w:rPr>
        <w:t>for space-based instruments</w:t>
      </w:r>
      <w:r w:rsidR="00533587">
        <w:t xml:space="preserve"> in </w:t>
      </w:r>
      <w:r w:rsidR="00533587" w:rsidRPr="00BD4B66">
        <w:rPr>
          <w:i/>
          <w:iCs/>
          <w:szCs w:val="20"/>
        </w:rPr>
        <w:t>Guide to the WMO Integrated Global Observing System</w:t>
      </w:r>
      <w:r w:rsidR="00533587" w:rsidRPr="00BD4B66">
        <w:rPr>
          <w:szCs w:val="20"/>
        </w:rPr>
        <w:t xml:space="preserve"> (WMO-No. 1165)</w:t>
      </w:r>
      <w:r w:rsidRPr="00BD4B66">
        <w:rPr>
          <w:szCs w:val="20"/>
        </w:rPr>
        <w:t>.</w:t>
      </w:r>
    </w:p>
    <w:p w:rsidR="00322E69" w:rsidRDefault="00322E69" w:rsidP="00322E69">
      <w:pPr>
        <w:pStyle w:val="Default"/>
        <w:rPr>
          <w:rFonts w:ascii="Verdana" w:hAnsi="Verdana"/>
          <w:sz w:val="20"/>
          <w:szCs w:val="20"/>
        </w:rPr>
      </w:pPr>
    </w:p>
    <w:p w:rsidR="00533587" w:rsidRPr="00957723" w:rsidRDefault="00533587" w:rsidP="00533587">
      <w:pPr>
        <w:pStyle w:val="WMOBodyText"/>
        <w:numPr>
          <w:ilvl w:val="0"/>
          <w:numId w:val="26"/>
        </w:numPr>
        <w:rPr>
          <w:b/>
          <w:bCs/>
          <w:szCs w:val="20"/>
          <w:lang w:eastAsia="en-US"/>
        </w:rPr>
      </w:pPr>
      <w:r w:rsidRPr="00957723">
        <w:rPr>
          <w:b/>
          <w:bCs/>
          <w:szCs w:val="20"/>
        </w:rPr>
        <w:t>Guide to the WMO Integrated Global Observing System (WMO-No. 1165)</w:t>
      </w:r>
    </w:p>
    <w:p w:rsidR="00322E69" w:rsidRDefault="00322E69" w:rsidP="003B6C75">
      <w:pPr>
        <w:pStyle w:val="Default"/>
        <w:rPr>
          <w:rFonts w:ascii="Verdana" w:hAnsi="Verdana"/>
          <w:sz w:val="20"/>
          <w:szCs w:val="20"/>
        </w:rPr>
      </w:pPr>
    </w:p>
    <w:p w:rsidR="00957723" w:rsidRPr="00CC0E25" w:rsidRDefault="00957723" w:rsidP="00533587">
      <w:pPr>
        <w:rPr>
          <w:rFonts w:cs="Stone Sans ITC"/>
          <w:color w:val="000000"/>
        </w:rPr>
      </w:pPr>
      <w:r w:rsidRPr="00957723">
        <w:t xml:space="preserve">The topics in the </w:t>
      </w:r>
      <w:r w:rsidR="003B6C75" w:rsidRPr="00957723">
        <w:t>“Guide to WIGOS”</w:t>
      </w:r>
      <w:r w:rsidRPr="00957723">
        <w:t xml:space="preserve"> </w:t>
      </w:r>
      <w:r w:rsidRPr="00957723">
        <w:rPr>
          <w:rFonts w:cs="Stone Sans ITC"/>
          <w:color w:val="000000"/>
        </w:rPr>
        <w:t>cover the new system of WIGOS station identifiers, the new requirements to record and make available metadata as specified in the WIGOS Metadata Standard, the new Observing Systems Capability Analysis and Review (OSCAR) tool to be used by Members to submit metadata for WMO global compilation, and the new observing network design principles</w:t>
      </w:r>
      <w:r w:rsidR="00CC0E25">
        <w:rPr>
          <w:rFonts w:cs="Stone Sans ITC"/>
          <w:color w:val="000000"/>
        </w:rPr>
        <w:t xml:space="preserve"> for the surface and space based observation, and </w:t>
      </w:r>
      <w:r w:rsidR="001445E9">
        <w:t xml:space="preserve">Chapter 3 of the Guide describes WIGOS </w:t>
      </w:r>
      <w:r w:rsidR="00312192">
        <w:t xml:space="preserve">metadata including instrument calibration for ground stations.  </w:t>
      </w:r>
    </w:p>
    <w:p w:rsidR="00312192" w:rsidRDefault="00312192" w:rsidP="003B6C75"/>
    <w:p w:rsidR="001E7EBA" w:rsidRPr="00CC0E25" w:rsidRDefault="00312192" w:rsidP="002601C2">
      <w:r w:rsidRPr="00CC0E25">
        <w:t xml:space="preserve">The </w:t>
      </w:r>
      <w:r w:rsidR="00CC0E25" w:rsidRPr="00CC0E25">
        <w:t>additional description will be</w:t>
      </w:r>
      <w:r w:rsidR="002601C2">
        <w:t xml:space="preserve"> proposed</w:t>
      </w:r>
      <w:r w:rsidR="00CC0E25" w:rsidRPr="00CC0E25">
        <w:t xml:space="preserve"> for covering the </w:t>
      </w:r>
      <w:r w:rsidR="00CC0E25">
        <w:t>calibration scheme of the</w:t>
      </w:r>
      <w:r w:rsidR="00CC0E25" w:rsidRPr="00CC0E25">
        <w:t xml:space="preserve"> space-based observation </w:t>
      </w:r>
      <w:r w:rsidR="003B0C67">
        <w:t xml:space="preserve">to be included (highlighted in red) </w:t>
      </w:r>
      <w:r w:rsidR="00CC0E25" w:rsidRPr="00CC0E25">
        <w:t>in “3.3.7 Satellites”;</w:t>
      </w:r>
    </w:p>
    <w:p w:rsidR="001E7EBA" w:rsidRPr="00CC0E25" w:rsidRDefault="001E7EBA" w:rsidP="00CC0E25">
      <w:pPr>
        <w:spacing w:before="120" w:after="120"/>
        <w:ind w:left="1134"/>
        <w:rPr>
          <w:b/>
          <w:bCs/>
        </w:rPr>
      </w:pPr>
      <w:r w:rsidRPr="00CC0E25">
        <w:rPr>
          <w:b/>
          <w:bCs/>
        </w:rPr>
        <w:t>3.</w:t>
      </w:r>
      <w:r w:rsidR="003B6C75" w:rsidRPr="00CC0E25">
        <w:rPr>
          <w:b/>
          <w:bCs/>
        </w:rPr>
        <w:t>3.</w:t>
      </w:r>
      <w:r w:rsidRPr="00CC0E25">
        <w:rPr>
          <w:b/>
          <w:bCs/>
        </w:rPr>
        <w:t>7</w:t>
      </w:r>
      <w:r w:rsidR="003B6C75" w:rsidRPr="00CC0E25">
        <w:rPr>
          <w:b/>
          <w:bCs/>
        </w:rPr>
        <w:t>.</w:t>
      </w:r>
      <w:r w:rsidRPr="00CC0E25">
        <w:rPr>
          <w:b/>
          <w:bCs/>
        </w:rPr>
        <w:t xml:space="preserve"> Satellites</w:t>
      </w:r>
    </w:p>
    <w:p w:rsidR="001E7EBA" w:rsidRDefault="001E7EBA" w:rsidP="00CC0E25">
      <w:pPr>
        <w:spacing w:before="120" w:after="120"/>
        <w:ind w:left="1134"/>
      </w:pPr>
      <w:r>
        <w:rPr>
          <w:rFonts w:ascii="Arial" w:hAnsi="Arial"/>
        </w:rPr>
        <w:t xml:space="preserve">Satellite observations provide information from all areas of the world. These observations provide information on surface characteristics as well as atmospheric conditions depending on the instrument type. Essential information about satellites are orbit and type of orbit (geostationary or polar orbiting) including height of the satellite, local observation intervals, types of technologies applied (active/passive, optical/microwave, imager/sounder,) including </w:t>
      </w:r>
      <w:r>
        <w:rPr>
          <w:rFonts w:ascii="Arial" w:hAnsi="Arial"/>
        </w:rPr>
        <w:lastRenderedPageBreak/>
        <w:t xml:space="preserve">instrument characteristics (bands measured, footprint, measurement approach like scanning versus push broom or similar, swath size if applicable, return period, etc.). </w:t>
      </w:r>
    </w:p>
    <w:p w:rsidR="001E7EBA" w:rsidRDefault="001E7EBA" w:rsidP="002601C2">
      <w:pPr>
        <w:keepNext/>
        <w:spacing w:before="120" w:after="120"/>
        <w:ind w:left="1134"/>
      </w:pPr>
      <w:r>
        <w:rPr>
          <w:rFonts w:ascii="Arial" w:hAnsi="Arial"/>
        </w:rPr>
        <w:br/>
      </w:r>
      <w:r>
        <w:rPr>
          <w:rFonts w:ascii="Arial" w:hAnsi="Arial"/>
          <w:color w:val="FF0000"/>
        </w:rPr>
        <w:t>For ensuring consistent accuracy among space-based observations from operational weather and environmental satellites of the Global Observing System (GOS) for climate monitoring, weather forecasting, and environmental applications, the Global Space-based Inter-Calibration System (</w:t>
      </w:r>
      <w:r>
        <w:rPr>
          <w:rStyle w:val="il"/>
          <w:rFonts w:ascii="Arial" w:hAnsi="Arial"/>
          <w:color w:val="FF0000"/>
        </w:rPr>
        <w:t>GSICS</w:t>
      </w:r>
      <w:r>
        <w:rPr>
          <w:rFonts w:ascii="Arial" w:hAnsi="Arial"/>
          <w:color w:val="FF0000"/>
        </w:rPr>
        <w:t xml:space="preserve">), an international collaborative effort initiated in 2005 by WMO and </w:t>
      </w:r>
      <w:r w:rsidR="002601C2">
        <w:rPr>
          <w:rFonts w:ascii="Arial" w:hAnsi="Arial"/>
          <w:color w:val="FF0000"/>
        </w:rPr>
        <w:t>the Coordination Group for Meteorological Satellites (</w:t>
      </w:r>
      <w:r>
        <w:rPr>
          <w:rFonts w:ascii="Arial" w:hAnsi="Arial"/>
          <w:color w:val="FF0000"/>
        </w:rPr>
        <w:t>CGMS</w:t>
      </w:r>
      <w:r w:rsidR="002601C2">
        <w:rPr>
          <w:rFonts w:ascii="Arial" w:hAnsi="Arial"/>
          <w:color w:val="FF0000"/>
        </w:rPr>
        <w:t>)</w:t>
      </w:r>
      <w:r>
        <w:rPr>
          <w:rFonts w:ascii="Arial" w:hAnsi="Arial"/>
          <w:color w:val="FF0000"/>
        </w:rPr>
        <w:t>, develops common methodologies and implements operational procedures to ensure quality and comparability of satellite measurements taken at different times and locations, by different instruments, operated by various satellite agencies.  This is achieved through a comprehensive calibration strategy which involves: 1) monitoring instrument performances, 2)</w:t>
      </w:r>
      <w:r w:rsidR="00957723">
        <w:rPr>
          <w:rFonts w:ascii="Arial" w:hAnsi="Arial"/>
          <w:color w:val="FF0000"/>
        </w:rPr>
        <w:t xml:space="preserve"> </w:t>
      </w:r>
      <w:r>
        <w:rPr>
          <w:rFonts w:ascii="Arial" w:hAnsi="Arial"/>
          <w:color w:val="FF0000"/>
        </w:rPr>
        <w:t xml:space="preserve">operational inter-calibration of satellite instruments, 3) tying the measurements to absolute references and standards, and 4) recalibration of archived data.  </w:t>
      </w:r>
      <w:r>
        <w:rPr>
          <w:rStyle w:val="il"/>
          <w:rFonts w:ascii="Arial" w:hAnsi="Arial"/>
          <w:color w:val="FF0000"/>
        </w:rPr>
        <w:t>GSICS</w:t>
      </w:r>
      <w:r>
        <w:rPr>
          <w:rFonts w:ascii="Arial" w:hAnsi="Arial"/>
          <w:color w:val="FF0000"/>
        </w:rPr>
        <w:t xml:space="preserve"> contributes to the integration of satellite data within the WMO Integrated Global Observing Systems (</w:t>
      </w:r>
      <w:r>
        <w:rPr>
          <w:rStyle w:val="il"/>
          <w:rFonts w:ascii="Arial" w:hAnsi="Arial"/>
          <w:color w:val="FF0000"/>
        </w:rPr>
        <w:t>WIGOS</w:t>
      </w:r>
      <w:r>
        <w:rPr>
          <w:rFonts w:ascii="Arial" w:hAnsi="Arial"/>
          <w:color w:val="FF0000"/>
        </w:rPr>
        <w:t>).</w:t>
      </w:r>
    </w:p>
    <w:p w:rsidR="001E7EBA" w:rsidRDefault="001E7EBA" w:rsidP="00CC0E25">
      <w:pPr>
        <w:keepNext/>
        <w:spacing w:before="120" w:after="120"/>
        <w:ind w:left="1134"/>
      </w:pPr>
    </w:p>
    <w:p w:rsidR="001E7EBA" w:rsidRDefault="001E7EBA" w:rsidP="00CC0E25">
      <w:pPr>
        <w:keepNext/>
        <w:spacing w:before="120" w:after="120"/>
        <w:ind w:left="1134"/>
      </w:pPr>
      <w:bookmarkStart w:id="3" w:name="m_-496934239923872508_m_-433361078352689"/>
      <w:r>
        <w:rPr>
          <w:rFonts w:ascii="Arial" w:hAnsi="Arial"/>
        </w:rPr>
        <w:t xml:space="preserve">Meteorological satellites usually transport a variety of different instruments, each mounted for specific applications required by a diverse user community. In fact, due to this variety of instruments, the specific observation programme chosen, the related metadata have a different nature then with the classical surface based observations (see the </w:t>
      </w:r>
      <w:r>
        <w:rPr>
          <w:rFonts w:ascii="Arial" w:hAnsi="Arial"/>
          <w:i/>
          <w:iCs/>
        </w:rPr>
        <w:t>Guide to Instruments and Methods of Observation</w:t>
      </w:r>
      <w:r>
        <w:rPr>
          <w:rFonts w:ascii="Arial" w:hAnsi="Arial"/>
        </w:rPr>
        <w:t xml:space="preserve"> (WMO-No. 8), 2014 edition). As a consequence, </w:t>
      </w:r>
      <w:bookmarkEnd w:id="3"/>
      <w:r>
        <w:rPr>
          <w:rFonts w:ascii="Arial" w:hAnsi="Arial"/>
        </w:rPr>
        <w:t xml:space="preserve">metadata for satellite observations </w:t>
      </w:r>
      <w:r w:rsidR="00957723">
        <w:rPr>
          <w:rFonts w:ascii="Arial" w:hAnsi="Arial"/>
        </w:rPr>
        <w:t xml:space="preserve">with calibration information </w:t>
      </w:r>
      <w:r>
        <w:rPr>
          <w:rFonts w:ascii="Arial" w:hAnsi="Arial"/>
        </w:rPr>
        <w:t xml:space="preserve">are collected as a separate database, </w:t>
      </w:r>
      <w:hyperlink r:id="rId13" w:tgtFrame="_blank" w:history="1">
        <w:r>
          <w:rPr>
            <w:rStyle w:val="Hyperlink"/>
            <w:rFonts w:ascii="Arial" w:hAnsi="Arial"/>
            <w:color w:val="1155CC"/>
          </w:rPr>
          <w:t>OSCAR/Space</w:t>
        </w:r>
      </w:hyperlink>
      <w:r>
        <w:rPr>
          <w:rFonts w:ascii="Arial" w:hAnsi="Arial"/>
        </w:rPr>
        <w:t>.</w:t>
      </w:r>
    </w:p>
    <w:p w:rsidR="00533587" w:rsidRDefault="00533587" w:rsidP="00533587">
      <w:pPr>
        <w:pStyle w:val="Default"/>
        <w:rPr>
          <w:rFonts w:ascii="Verdana" w:eastAsia="Arial" w:hAnsi="Verdana" w:cs="Arial"/>
          <w:caps/>
          <w:color w:val="auto"/>
          <w:kern w:val="32"/>
          <w:sz w:val="20"/>
          <w:szCs w:val="20"/>
          <w:lang w:val="en-GB"/>
        </w:rPr>
      </w:pPr>
    </w:p>
    <w:p w:rsidR="00BD4B66" w:rsidRDefault="00533587" w:rsidP="00785A61">
      <w:pPr>
        <w:pStyle w:val="Default"/>
        <w:rPr>
          <w:rFonts w:ascii="Verdana" w:hAnsi="Verdana" w:cs="Stone Sans ITC"/>
          <w:sz w:val="20"/>
          <w:szCs w:val="20"/>
        </w:rPr>
      </w:pPr>
      <w:r w:rsidRPr="00BD4B66">
        <w:rPr>
          <w:rFonts w:ascii="Verdana" w:hAnsi="Verdana"/>
          <w:sz w:val="20"/>
          <w:szCs w:val="20"/>
        </w:rPr>
        <w:t xml:space="preserve">Furthermore, the following </w:t>
      </w:r>
      <w:r w:rsidR="00541A8B">
        <w:rPr>
          <w:rFonts w:ascii="Verdana" w:hAnsi="Verdana"/>
          <w:sz w:val="20"/>
          <w:szCs w:val="20"/>
        </w:rPr>
        <w:t xml:space="preserve">three </w:t>
      </w:r>
      <w:r w:rsidRPr="00BD4B66">
        <w:rPr>
          <w:rFonts w:ascii="Verdana" w:hAnsi="Verdana"/>
          <w:sz w:val="20"/>
          <w:szCs w:val="20"/>
        </w:rPr>
        <w:t>GSICS documentation provides material relevant to GSICS with topics cover the GSICS  organization, GSICS technical standards and best practices, GSICS services and tools, GSI</w:t>
      </w:r>
      <w:r w:rsidR="00541A8B">
        <w:rPr>
          <w:rFonts w:ascii="Verdana" w:hAnsi="Verdana"/>
          <w:sz w:val="20"/>
          <w:szCs w:val="20"/>
        </w:rPr>
        <w:t>CS products, and GSICS outreach</w:t>
      </w:r>
      <w:r w:rsidR="00785A61">
        <w:rPr>
          <w:rFonts w:ascii="Verdana" w:hAnsi="Verdana"/>
          <w:sz w:val="20"/>
          <w:szCs w:val="20"/>
        </w:rPr>
        <w:t>.  Thus it will be proposed</w:t>
      </w:r>
      <w:r w:rsidR="00BD4B66" w:rsidRPr="00BD4B66">
        <w:rPr>
          <w:rFonts w:ascii="Verdana" w:hAnsi="Verdana"/>
          <w:sz w:val="20"/>
          <w:szCs w:val="20"/>
        </w:rPr>
        <w:t xml:space="preserve"> to be included in </w:t>
      </w:r>
      <w:r w:rsidR="00BD4B66" w:rsidRPr="00BD4B66">
        <w:rPr>
          <w:rFonts w:ascii="Verdana" w:hAnsi="Verdana" w:cs="Stone Sans ITC"/>
          <w:sz w:val="20"/>
          <w:szCs w:val="20"/>
        </w:rPr>
        <w:t xml:space="preserve">the list of the publications related to </w:t>
      </w:r>
      <w:r w:rsidR="00BD4B66" w:rsidRPr="00BD4B66">
        <w:rPr>
          <w:rFonts w:ascii="Verdana" w:hAnsi="Verdana"/>
          <w:sz w:val="20"/>
          <w:szCs w:val="20"/>
        </w:rPr>
        <w:t xml:space="preserve">the “Guide to WIGOS” in </w:t>
      </w:r>
      <w:r w:rsidR="00BD4B66" w:rsidRPr="00BD4B66">
        <w:rPr>
          <w:rFonts w:ascii="Verdana" w:hAnsi="Verdana" w:cs="Stone Sans ITC"/>
          <w:sz w:val="20"/>
          <w:szCs w:val="20"/>
        </w:rPr>
        <w:t>“INTRODUCTION / List of related publications / (e) Guidelines and other related publications:”</w:t>
      </w:r>
    </w:p>
    <w:p w:rsidR="00541A8B" w:rsidRDefault="00541A8B" w:rsidP="00541A8B">
      <w:pPr>
        <w:pStyle w:val="Default"/>
        <w:rPr>
          <w:rFonts w:ascii="Verdana" w:hAnsi="Verdana" w:cs="Stone Sans ITC"/>
          <w:sz w:val="20"/>
          <w:szCs w:val="20"/>
        </w:rPr>
      </w:pPr>
    </w:p>
    <w:p w:rsidR="00541A8B" w:rsidRDefault="00541A8B" w:rsidP="00541A8B">
      <w:pPr>
        <w:pStyle w:val="Default"/>
        <w:rPr>
          <w:rFonts w:ascii="Verdana" w:hAnsi="Verdana"/>
          <w:sz w:val="20"/>
          <w:szCs w:val="20"/>
        </w:rPr>
      </w:pPr>
      <w:r w:rsidRPr="00957723">
        <w:rPr>
          <w:szCs w:val="20"/>
          <w:lang w:eastAsia="en-US"/>
        </w:rPr>
        <w:t>Global Space Based Inter-calibration System (GSICS)</w:t>
      </w:r>
      <w:r>
        <w:rPr>
          <w:szCs w:val="20"/>
          <w:lang w:eastAsia="en-US"/>
        </w:rPr>
        <w:t xml:space="preserve"> manuals: </w:t>
      </w:r>
      <w:r w:rsidRPr="00BD4B66">
        <w:rPr>
          <w:rFonts w:ascii="Verdana" w:hAnsi="Verdana"/>
          <w:i/>
          <w:iCs/>
          <w:sz w:val="20"/>
          <w:szCs w:val="20"/>
        </w:rPr>
        <w:t>Introduction to GSICS</w:t>
      </w:r>
      <w:r>
        <w:rPr>
          <w:rFonts w:ascii="Verdana" w:hAnsi="Verdana"/>
          <w:i/>
          <w:iCs/>
          <w:sz w:val="20"/>
          <w:szCs w:val="20"/>
        </w:rPr>
        <w:t xml:space="preserve">; </w:t>
      </w:r>
      <w:r w:rsidRPr="00BD4B66">
        <w:rPr>
          <w:rFonts w:ascii="Verdana" w:hAnsi="Verdana"/>
          <w:i/>
          <w:iCs/>
          <w:sz w:val="20"/>
          <w:szCs w:val="20"/>
        </w:rPr>
        <w:t>Vision of GSICS</w:t>
      </w:r>
      <w:r>
        <w:rPr>
          <w:rFonts w:ascii="Verdana" w:hAnsi="Verdana"/>
          <w:i/>
          <w:iCs/>
          <w:sz w:val="20"/>
          <w:szCs w:val="20"/>
        </w:rPr>
        <w:t xml:space="preserve">; </w:t>
      </w:r>
      <w:r w:rsidRPr="00BD4B66">
        <w:rPr>
          <w:rFonts w:ascii="Verdana" w:hAnsi="Verdana"/>
          <w:i/>
          <w:iCs/>
          <w:sz w:val="20"/>
          <w:szCs w:val="20"/>
        </w:rPr>
        <w:t>Guide to GSICS Products and Services</w:t>
      </w:r>
      <w:bookmarkStart w:id="4" w:name="_GoBack"/>
      <w:bookmarkEnd w:id="4"/>
    </w:p>
    <w:p w:rsidR="00541A8B" w:rsidRDefault="00541A8B" w:rsidP="00541A8B">
      <w:pPr>
        <w:pStyle w:val="Default"/>
        <w:rPr>
          <w:rFonts w:ascii="Verdana" w:hAnsi="Verdana"/>
          <w:sz w:val="20"/>
          <w:szCs w:val="20"/>
        </w:rPr>
      </w:pPr>
    </w:p>
    <w:p w:rsidR="00541A8B" w:rsidRPr="00BD4B66" w:rsidRDefault="00541A8B" w:rsidP="00541A8B">
      <w:pPr>
        <w:pStyle w:val="Default"/>
        <w:rPr>
          <w:rFonts w:ascii="Verdana" w:hAnsi="Verdana"/>
          <w:sz w:val="20"/>
          <w:szCs w:val="20"/>
        </w:rPr>
      </w:pPr>
    </w:p>
    <w:p w:rsidR="00D702F3" w:rsidRPr="00BD4B66" w:rsidRDefault="00D702F3" w:rsidP="005639F0">
      <w:pPr>
        <w:pStyle w:val="Heading1"/>
        <w:spacing w:before="240"/>
        <w:rPr>
          <w:b w:val="0"/>
          <w:bCs w:val="0"/>
          <w:sz w:val="20"/>
          <w:szCs w:val="20"/>
        </w:rPr>
      </w:pPr>
      <w:r w:rsidRPr="00BD4B66">
        <w:rPr>
          <w:b w:val="0"/>
          <w:bCs w:val="0"/>
          <w:sz w:val="20"/>
          <w:szCs w:val="20"/>
        </w:rPr>
        <w:t>__________</w:t>
      </w:r>
    </w:p>
    <w:bookmarkEnd w:id="1"/>
    <w:p w:rsidR="00306445" w:rsidRPr="003B6DFC" w:rsidRDefault="00306445" w:rsidP="00306445">
      <w:pPr>
        <w:pStyle w:val="WMOBodyText"/>
        <w:rPr>
          <w:szCs w:val="20"/>
          <w:lang w:eastAsia="en-US"/>
        </w:rPr>
      </w:pPr>
    </w:p>
    <w:sectPr w:rsidR="00306445" w:rsidRPr="003B6DFC" w:rsidSect="006533FF">
      <w:headerReference w:type="first" r:id="rId1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CB" w:rsidRDefault="007921CB">
      <w:r>
        <w:separator/>
      </w:r>
    </w:p>
    <w:p w:rsidR="007921CB" w:rsidRDefault="007921CB"/>
    <w:p w:rsidR="007921CB" w:rsidRDefault="007921CB"/>
  </w:endnote>
  <w:endnote w:type="continuationSeparator" w:id="0">
    <w:p w:rsidR="007921CB" w:rsidRDefault="007921CB">
      <w:r>
        <w:continuationSeparator/>
      </w:r>
    </w:p>
    <w:p w:rsidR="007921CB" w:rsidRDefault="007921CB"/>
    <w:p w:rsidR="007921CB" w:rsidRDefault="0079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CB" w:rsidRDefault="007921CB">
      <w:r>
        <w:separator/>
      </w:r>
    </w:p>
  </w:footnote>
  <w:footnote w:type="continuationSeparator" w:id="0">
    <w:p w:rsidR="007921CB" w:rsidRDefault="007921CB">
      <w:r>
        <w:continuationSeparator/>
      </w:r>
    </w:p>
    <w:p w:rsidR="007921CB" w:rsidRDefault="007921CB"/>
    <w:p w:rsidR="007921CB" w:rsidRDefault="00792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86" w:rsidRDefault="008C49A8" w:rsidP="00374B86">
    <w:pPr>
      <w:pStyle w:val="Header"/>
    </w:pPr>
    <w:r>
      <w:t>WEdB</w:t>
    </w:r>
    <w:r w:rsidR="00AF149A">
      <w:t>-3</w:t>
    </w:r>
    <w:r w:rsidR="00DD2392">
      <w:t>/INF</w:t>
    </w:r>
    <w:r w:rsidR="00374B86">
      <w:t>.</w:t>
    </w:r>
    <w:r w:rsidR="00785A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0;margin-top:0;width:50pt;height:50pt;z-index:251667968;visibility:hidden;mso-position-horizontal-relative:text;mso-position-vertical-relative:text">
          <v:path gradientshapeok="f"/>
          <o:lock v:ext="edit" selection="t"/>
        </v:shape>
      </w:pict>
    </w:r>
    <w:r w:rsidR="00785A61">
      <w:pict>
        <v:shape id="_x0000_s2084" type="#_x0000_t75" style="position:absolute;left:0;text-align:left;margin-left:0;margin-top:0;width:50pt;height:50pt;z-index:251665920;visibility:hidden;mso-position-horizontal-relative:text;mso-position-vertical-relative:text">
          <v:path gradientshapeok="f"/>
          <o:lock v:ext="edit" selection="t"/>
        </v:shape>
      </w:pict>
    </w:r>
    <w:r w:rsidR="00785A61">
      <w:pict>
        <v:shape id="_x0000_s2085" type="#_x0000_t75" style="position:absolute;left:0;text-align:left;margin-left:0;margin-top:0;width:50pt;height:50pt;z-index:251666944;visibility:hidden;mso-position-horizontal-relative:text;mso-position-vertical-relative:text">
          <v:path gradientshapeok="f"/>
          <o:lock v:ext="edit" selection="t"/>
        </v:shape>
      </w:pict>
    </w:r>
    <w:r w:rsidR="00374B86">
      <w:t>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3A2CD8"/>
    <w:multiLevelType w:val="hybridMultilevel"/>
    <w:tmpl w:val="AED48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D5F26"/>
    <w:multiLevelType w:val="hybridMultilevel"/>
    <w:tmpl w:val="02AA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1">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2"/>
  </w:num>
  <w:num w:numId="9">
    <w:abstractNumId w:val="4"/>
  </w:num>
  <w:num w:numId="10">
    <w:abstractNumId w:val="9"/>
  </w:num>
  <w:num w:numId="11">
    <w:abstractNumId w:val="13"/>
  </w:num>
  <w:num w:numId="12">
    <w:abstractNumId w:val="0"/>
  </w:num>
  <w:num w:numId="13">
    <w:abstractNumId w:val="18"/>
  </w:num>
  <w:num w:numId="14">
    <w:abstractNumId w:val="17"/>
  </w:num>
  <w:num w:numId="15">
    <w:abstractNumId w:val="19"/>
  </w:num>
  <w:num w:numId="16">
    <w:abstractNumId w:val="1"/>
  </w:num>
  <w:num w:numId="17">
    <w:abstractNumId w:val="8"/>
  </w:num>
  <w:num w:numId="18">
    <w:abstractNumId w:val="15"/>
  </w:num>
  <w:num w:numId="19">
    <w:abstractNumId w:val="2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0"/>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16"/>
  </w:num>
  <w:num w:numId="24">
    <w:abstractNumId w:val="11"/>
  </w:num>
  <w:num w:numId="25">
    <w:abstractNumId w:val="3"/>
  </w:num>
  <w:num w:numId="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72F17"/>
    <w:rsid w:val="000737B6"/>
    <w:rsid w:val="0007688B"/>
    <w:rsid w:val="000806D8"/>
    <w:rsid w:val="00082C80"/>
    <w:rsid w:val="00083847"/>
    <w:rsid w:val="00083C36"/>
    <w:rsid w:val="00085B5B"/>
    <w:rsid w:val="000A69BF"/>
    <w:rsid w:val="000C1833"/>
    <w:rsid w:val="000C225A"/>
    <w:rsid w:val="000C5D81"/>
    <w:rsid w:val="000C6781"/>
    <w:rsid w:val="000D3C65"/>
    <w:rsid w:val="000D4FA3"/>
    <w:rsid w:val="000F1874"/>
    <w:rsid w:val="000F5E49"/>
    <w:rsid w:val="000F5FA2"/>
    <w:rsid w:val="000F7A87"/>
    <w:rsid w:val="00101B85"/>
    <w:rsid w:val="00111BFD"/>
    <w:rsid w:val="0011498B"/>
    <w:rsid w:val="00120147"/>
    <w:rsid w:val="00123140"/>
    <w:rsid w:val="00135830"/>
    <w:rsid w:val="001426E3"/>
    <w:rsid w:val="001445E9"/>
    <w:rsid w:val="00145C34"/>
    <w:rsid w:val="00163BA3"/>
    <w:rsid w:val="00166B31"/>
    <w:rsid w:val="0017786A"/>
    <w:rsid w:val="00180771"/>
    <w:rsid w:val="001809DE"/>
    <w:rsid w:val="00186C06"/>
    <w:rsid w:val="001930A3"/>
    <w:rsid w:val="00194CB6"/>
    <w:rsid w:val="001A341E"/>
    <w:rsid w:val="001A751F"/>
    <w:rsid w:val="001B0EA6"/>
    <w:rsid w:val="001B1CDF"/>
    <w:rsid w:val="001B235A"/>
    <w:rsid w:val="001B56F4"/>
    <w:rsid w:val="001C5462"/>
    <w:rsid w:val="001D0190"/>
    <w:rsid w:val="001D6302"/>
    <w:rsid w:val="001E4B11"/>
    <w:rsid w:val="001E4D4F"/>
    <w:rsid w:val="001E7DD0"/>
    <w:rsid w:val="001E7EBA"/>
    <w:rsid w:val="001F1BDA"/>
    <w:rsid w:val="0020095E"/>
    <w:rsid w:val="00210D30"/>
    <w:rsid w:val="00213AF4"/>
    <w:rsid w:val="00214938"/>
    <w:rsid w:val="00222151"/>
    <w:rsid w:val="00231E93"/>
    <w:rsid w:val="00234A34"/>
    <w:rsid w:val="002363F1"/>
    <w:rsid w:val="00237AD9"/>
    <w:rsid w:val="0025255D"/>
    <w:rsid w:val="002601C2"/>
    <w:rsid w:val="002614CE"/>
    <w:rsid w:val="002660F3"/>
    <w:rsid w:val="002703F4"/>
    <w:rsid w:val="00270480"/>
    <w:rsid w:val="002779AF"/>
    <w:rsid w:val="002823D8"/>
    <w:rsid w:val="0028531A"/>
    <w:rsid w:val="00285446"/>
    <w:rsid w:val="00295593"/>
    <w:rsid w:val="002A3483"/>
    <w:rsid w:val="002A352A"/>
    <w:rsid w:val="002A386C"/>
    <w:rsid w:val="002A7A9F"/>
    <w:rsid w:val="002B790C"/>
    <w:rsid w:val="002C30BC"/>
    <w:rsid w:val="002C7A88"/>
    <w:rsid w:val="002D232B"/>
    <w:rsid w:val="002D5E00"/>
    <w:rsid w:val="002D6DAC"/>
    <w:rsid w:val="002D7AD9"/>
    <w:rsid w:val="002E3FAD"/>
    <w:rsid w:val="002E4E16"/>
    <w:rsid w:val="002E7D0E"/>
    <w:rsid w:val="002F5517"/>
    <w:rsid w:val="00301E8C"/>
    <w:rsid w:val="00306445"/>
    <w:rsid w:val="00307AC6"/>
    <w:rsid w:val="00311855"/>
    <w:rsid w:val="00312192"/>
    <w:rsid w:val="00316AA8"/>
    <w:rsid w:val="00320009"/>
    <w:rsid w:val="00320BA2"/>
    <w:rsid w:val="003210F3"/>
    <w:rsid w:val="00322E69"/>
    <w:rsid w:val="0032424A"/>
    <w:rsid w:val="00331328"/>
    <w:rsid w:val="0034264B"/>
    <w:rsid w:val="00344E6F"/>
    <w:rsid w:val="00374B86"/>
    <w:rsid w:val="0037548B"/>
    <w:rsid w:val="0037623A"/>
    <w:rsid w:val="00380AF7"/>
    <w:rsid w:val="00381331"/>
    <w:rsid w:val="0038191F"/>
    <w:rsid w:val="00394A05"/>
    <w:rsid w:val="00397770"/>
    <w:rsid w:val="00397880"/>
    <w:rsid w:val="003A7016"/>
    <w:rsid w:val="003B0C67"/>
    <w:rsid w:val="003B6C75"/>
    <w:rsid w:val="003B6DFC"/>
    <w:rsid w:val="003C1191"/>
    <w:rsid w:val="003C3871"/>
    <w:rsid w:val="003E09D0"/>
    <w:rsid w:val="003E4046"/>
    <w:rsid w:val="003F125B"/>
    <w:rsid w:val="003F6655"/>
    <w:rsid w:val="003F78CB"/>
    <w:rsid w:val="003F7B3F"/>
    <w:rsid w:val="00400A34"/>
    <w:rsid w:val="0040787C"/>
    <w:rsid w:val="0041078D"/>
    <w:rsid w:val="00410A71"/>
    <w:rsid w:val="00416F8A"/>
    <w:rsid w:val="00416F97"/>
    <w:rsid w:val="00417A88"/>
    <w:rsid w:val="00420378"/>
    <w:rsid w:val="00425CE4"/>
    <w:rsid w:val="00427307"/>
    <w:rsid w:val="0043039B"/>
    <w:rsid w:val="004423FE"/>
    <w:rsid w:val="0044282E"/>
    <w:rsid w:val="00445C35"/>
    <w:rsid w:val="00465972"/>
    <w:rsid w:val="004667E7"/>
    <w:rsid w:val="00475797"/>
    <w:rsid w:val="004811DD"/>
    <w:rsid w:val="00491766"/>
    <w:rsid w:val="0049242F"/>
    <w:rsid w:val="0049253B"/>
    <w:rsid w:val="004A140B"/>
    <w:rsid w:val="004A30DD"/>
    <w:rsid w:val="004B7BAA"/>
    <w:rsid w:val="004B7CEC"/>
    <w:rsid w:val="004C2DF7"/>
    <w:rsid w:val="004C4E0B"/>
    <w:rsid w:val="004C6920"/>
    <w:rsid w:val="004D497E"/>
    <w:rsid w:val="004D7202"/>
    <w:rsid w:val="004E2FC5"/>
    <w:rsid w:val="004E4809"/>
    <w:rsid w:val="004E6352"/>
    <w:rsid w:val="004E6460"/>
    <w:rsid w:val="004F6B46"/>
    <w:rsid w:val="0050058D"/>
    <w:rsid w:val="0050421B"/>
    <w:rsid w:val="0050695F"/>
    <w:rsid w:val="00507C4B"/>
    <w:rsid w:val="00525B80"/>
    <w:rsid w:val="0053098F"/>
    <w:rsid w:val="00533587"/>
    <w:rsid w:val="00541A8B"/>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A65D8"/>
    <w:rsid w:val="005B0AE2"/>
    <w:rsid w:val="005B1F2C"/>
    <w:rsid w:val="005C1031"/>
    <w:rsid w:val="005C505D"/>
    <w:rsid w:val="005C53A6"/>
    <w:rsid w:val="005D03D9"/>
    <w:rsid w:val="005D666D"/>
    <w:rsid w:val="005E1F4C"/>
    <w:rsid w:val="006108ED"/>
    <w:rsid w:val="00615AB0"/>
    <w:rsid w:val="0061778C"/>
    <w:rsid w:val="00630753"/>
    <w:rsid w:val="00636B90"/>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239D"/>
    <w:rsid w:val="006D5576"/>
    <w:rsid w:val="006D635A"/>
    <w:rsid w:val="006D71E9"/>
    <w:rsid w:val="006D78F0"/>
    <w:rsid w:val="006E5FE9"/>
    <w:rsid w:val="006E766D"/>
    <w:rsid w:val="006F38E1"/>
    <w:rsid w:val="006F4489"/>
    <w:rsid w:val="006F501F"/>
    <w:rsid w:val="00703E99"/>
    <w:rsid w:val="00705C9F"/>
    <w:rsid w:val="007111CC"/>
    <w:rsid w:val="00716951"/>
    <w:rsid w:val="007200F1"/>
    <w:rsid w:val="00725988"/>
    <w:rsid w:val="00735D9E"/>
    <w:rsid w:val="0075136C"/>
    <w:rsid w:val="00754CF7"/>
    <w:rsid w:val="007555A7"/>
    <w:rsid w:val="00771A68"/>
    <w:rsid w:val="00777D58"/>
    <w:rsid w:val="00780B62"/>
    <w:rsid w:val="00785318"/>
    <w:rsid w:val="00785A61"/>
    <w:rsid w:val="0078790E"/>
    <w:rsid w:val="00787E2F"/>
    <w:rsid w:val="0079155A"/>
    <w:rsid w:val="007921CB"/>
    <w:rsid w:val="007928B4"/>
    <w:rsid w:val="007973EC"/>
    <w:rsid w:val="007B2260"/>
    <w:rsid w:val="007C212A"/>
    <w:rsid w:val="007C3FB8"/>
    <w:rsid w:val="007C6931"/>
    <w:rsid w:val="007E2023"/>
    <w:rsid w:val="007E7D21"/>
    <w:rsid w:val="007F482F"/>
    <w:rsid w:val="007F739B"/>
    <w:rsid w:val="00807CC5"/>
    <w:rsid w:val="00823B49"/>
    <w:rsid w:val="00831751"/>
    <w:rsid w:val="00835B42"/>
    <w:rsid w:val="00837E38"/>
    <w:rsid w:val="008427AD"/>
    <w:rsid w:val="00843072"/>
    <w:rsid w:val="00847D99"/>
    <w:rsid w:val="0085038E"/>
    <w:rsid w:val="0085575D"/>
    <w:rsid w:val="0086271D"/>
    <w:rsid w:val="0086420B"/>
    <w:rsid w:val="00864DBF"/>
    <w:rsid w:val="00865AE2"/>
    <w:rsid w:val="0087047A"/>
    <w:rsid w:val="008729C0"/>
    <w:rsid w:val="00893AE4"/>
    <w:rsid w:val="00895358"/>
    <w:rsid w:val="008A2519"/>
    <w:rsid w:val="008A362F"/>
    <w:rsid w:val="008A722F"/>
    <w:rsid w:val="008A7313"/>
    <w:rsid w:val="008A7D91"/>
    <w:rsid w:val="008B7FC7"/>
    <w:rsid w:val="008C17A4"/>
    <w:rsid w:val="008C49A8"/>
    <w:rsid w:val="008E1B4D"/>
    <w:rsid w:val="008E1E4A"/>
    <w:rsid w:val="008F0615"/>
    <w:rsid w:val="008F1FDB"/>
    <w:rsid w:val="0093156B"/>
    <w:rsid w:val="00935E09"/>
    <w:rsid w:val="0093637D"/>
    <w:rsid w:val="00943D0F"/>
    <w:rsid w:val="00950605"/>
    <w:rsid w:val="00951ED4"/>
    <w:rsid w:val="00952233"/>
    <w:rsid w:val="00954D66"/>
    <w:rsid w:val="00957723"/>
    <w:rsid w:val="0096121C"/>
    <w:rsid w:val="009670F2"/>
    <w:rsid w:val="00975D76"/>
    <w:rsid w:val="00982E51"/>
    <w:rsid w:val="009874B9"/>
    <w:rsid w:val="00990844"/>
    <w:rsid w:val="00993581"/>
    <w:rsid w:val="009A288C"/>
    <w:rsid w:val="009A65F7"/>
    <w:rsid w:val="009A73A3"/>
    <w:rsid w:val="009B6697"/>
    <w:rsid w:val="009C4C04"/>
    <w:rsid w:val="009C7CE0"/>
    <w:rsid w:val="009C7EEA"/>
    <w:rsid w:val="009F7566"/>
    <w:rsid w:val="00A04B9D"/>
    <w:rsid w:val="00A06BFE"/>
    <w:rsid w:val="00A10F5D"/>
    <w:rsid w:val="00A14AF1"/>
    <w:rsid w:val="00A16891"/>
    <w:rsid w:val="00A20859"/>
    <w:rsid w:val="00A21F2E"/>
    <w:rsid w:val="00A332E8"/>
    <w:rsid w:val="00A3416E"/>
    <w:rsid w:val="00A35911"/>
    <w:rsid w:val="00A35AF5"/>
    <w:rsid w:val="00A35DDF"/>
    <w:rsid w:val="00A36CBA"/>
    <w:rsid w:val="00A50291"/>
    <w:rsid w:val="00A503E5"/>
    <w:rsid w:val="00A56595"/>
    <w:rsid w:val="00A604CD"/>
    <w:rsid w:val="00A60FE6"/>
    <w:rsid w:val="00A654BE"/>
    <w:rsid w:val="00A7348D"/>
    <w:rsid w:val="00A7683B"/>
    <w:rsid w:val="00A83046"/>
    <w:rsid w:val="00A874EF"/>
    <w:rsid w:val="00A92D53"/>
    <w:rsid w:val="00A95415"/>
    <w:rsid w:val="00AA3C89"/>
    <w:rsid w:val="00AC4CDB"/>
    <w:rsid w:val="00AE5A18"/>
    <w:rsid w:val="00AF149A"/>
    <w:rsid w:val="00AF5EE5"/>
    <w:rsid w:val="00AF638A"/>
    <w:rsid w:val="00B00141"/>
    <w:rsid w:val="00B009AA"/>
    <w:rsid w:val="00B030C8"/>
    <w:rsid w:val="00B056E7"/>
    <w:rsid w:val="00B05B71"/>
    <w:rsid w:val="00B10035"/>
    <w:rsid w:val="00B123B0"/>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B35A9"/>
    <w:rsid w:val="00BD4B66"/>
    <w:rsid w:val="00BD5720"/>
    <w:rsid w:val="00BE475B"/>
    <w:rsid w:val="00BE64B3"/>
    <w:rsid w:val="00C03F8F"/>
    <w:rsid w:val="00C04BD2"/>
    <w:rsid w:val="00C13EEC"/>
    <w:rsid w:val="00C156A4"/>
    <w:rsid w:val="00C20FAA"/>
    <w:rsid w:val="00C2459D"/>
    <w:rsid w:val="00C354A2"/>
    <w:rsid w:val="00C360EF"/>
    <w:rsid w:val="00C42C95"/>
    <w:rsid w:val="00C439C9"/>
    <w:rsid w:val="00C55166"/>
    <w:rsid w:val="00C55E5B"/>
    <w:rsid w:val="00C720A4"/>
    <w:rsid w:val="00C7611C"/>
    <w:rsid w:val="00C83893"/>
    <w:rsid w:val="00C90F1A"/>
    <w:rsid w:val="00C9161F"/>
    <w:rsid w:val="00C93633"/>
    <w:rsid w:val="00C94097"/>
    <w:rsid w:val="00CA4269"/>
    <w:rsid w:val="00CA6A8D"/>
    <w:rsid w:val="00CA7330"/>
    <w:rsid w:val="00CB64F0"/>
    <w:rsid w:val="00CC0E25"/>
    <w:rsid w:val="00CC2909"/>
    <w:rsid w:val="00CD1BBA"/>
    <w:rsid w:val="00D032A3"/>
    <w:rsid w:val="00D05E6F"/>
    <w:rsid w:val="00D33442"/>
    <w:rsid w:val="00D44BAD"/>
    <w:rsid w:val="00D4569B"/>
    <w:rsid w:val="00D45B55"/>
    <w:rsid w:val="00D702F3"/>
    <w:rsid w:val="00D7097B"/>
    <w:rsid w:val="00D866DB"/>
    <w:rsid w:val="00D870B3"/>
    <w:rsid w:val="00D91DFA"/>
    <w:rsid w:val="00DB1AB2"/>
    <w:rsid w:val="00DC0DA2"/>
    <w:rsid w:val="00DD1EB7"/>
    <w:rsid w:val="00DD2392"/>
    <w:rsid w:val="00DD3A65"/>
    <w:rsid w:val="00DD62C6"/>
    <w:rsid w:val="00E000F7"/>
    <w:rsid w:val="00E00498"/>
    <w:rsid w:val="00E05DD3"/>
    <w:rsid w:val="00E17F18"/>
    <w:rsid w:val="00E2617A"/>
    <w:rsid w:val="00E52E2F"/>
    <w:rsid w:val="00E538E6"/>
    <w:rsid w:val="00E72DA0"/>
    <w:rsid w:val="00E802A2"/>
    <w:rsid w:val="00E82E7A"/>
    <w:rsid w:val="00E85C0B"/>
    <w:rsid w:val="00E93730"/>
    <w:rsid w:val="00EA39E6"/>
    <w:rsid w:val="00EA5F9B"/>
    <w:rsid w:val="00EB4E90"/>
    <w:rsid w:val="00ED2EFB"/>
    <w:rsid w:val="00ED67AF"/>
    <w:rsid w:val="00EE128C"/>
    <w:rsid w:val="00EE3F26"/>
    <w:rsid w:val="00EF66D9"/>
    <w:rsid w:val="00EF6BA5"/>
    <w:rsid w:val="00EF780D"/>
    <w:rsid w:val="00EF7A98"/>
    <w:rsid w:val="00F0267E"/>
    <w:rsid w:val="00F2163C"/>
    <w:rsid w:val="00F36E85"/>
    <w:rsid w:val="00F474C9"/>
    <w:rsid w:val="00F61675"/>
    <w:rsid w:val="00F6686B"/>
    <w:rsid w:val="00F677A0"/>
    <w:rsid w:val="00F67F74"/>
    <w:rsid w:val="00F73DE3"/>
    <w:rsid w:val="00F817AB"/>
    <w:rsid w:val="00F84DD2"/>
    <w:rsid w:val="00F84FAC"/>
    <w:rsid w:val="00F86BA9"/>
    <w:rsid w:val="00FA26DF"/>
    <w:rsid w:val="00FA3535"/>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character" w:customStyle="1" w:styleId="il">
    <w:name w:val="il"/>
    <w:basedOn w:val="DefaultParagraphFont"/>
    <w:rsid w:val="001E7EBA"/>
  </w:style>
  <w:style w:type="paragraph" w:customStyle="1" w:styleId="Default">
    <w:name w:val="Default"/>
    <w:rsid w:val="00A21F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character" w:customStyle="1" w:styleId="il">
    <w:name w:val="il"/>
    <w:basedOn w:val="DefaultParagraphFont"/>
    <w:rsid w:val="001E7EBA"/>
  </w:style>
  <w:style w:type="paragraph" w:customStyle="1" w:styleId="Default">
    <w:name w:val="Default"/>
    <w:rsid w:val="00A21F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419375052">
      <w:bodyDiv w:val="1"/>
      <w:marLeft w:val="0"/>
      <w:marRight w:val="0"/>
      <w:marTop w:val="0"/>
      <w:marBottom w:val="0"/>
      <w:divBdr>
        <w:top w:val="none" w:sz="0" w:space="0" w:color="auto"/>
        <w:left w:val="none" w:sz="0" w:space="0" w:color="auto"/>
        <w:bottom w:val="none" w:sz="0" w:space="0" w:color="auto"/>
        <w:right w:val="none" w:sz="0" w:space="0" w:color="auto"/>
      </w:divBdr>
      <w:divsChild>
        <w:div w:id="1784689112">
          <w:marLeft w:val="0"/>
          <w:marRight w:val="0"/>
          <w:marTop w:val="0"/>
          <w:marBottom w:val="0"/>
          <w:divBdr>
            <w:top w:val="none" w:sz="0" w:space="0" w:color="auto"/>
            <w:left w:val="none" w:sz="0" w:space="0" w:color="auto"/>
            <w:bottom w:val="none" w:sz="0" w:space="0" w:color="auto"/>
            <w:right w:val="none" w:sz="0" w:space="0" w:color="auto"/>
          </w:divBdr>
        </w:div>
        <w:div w:id="1220165666">
          <w:marLeft w:val="0"/>
          <w:marRight w:val="0"/>
          <w:marTop w:val="0"/>
          <w:marBottom w:val="0"/>
          <w:divBdr>
            <w:top w:val="none" w:sz="0" w:space="0" w:color="auto"/>
            <w:left w:val="none" w:sz="0" w:space="0" w:color="auto"/>
            <w:bottom w:val="none" w:sz="0" w:space="0" w:color="auto"/>
            <w:right w:val="none" w:sz="0" w:space="0" w:color="auto"/>
          </w:divBdr>
        </w:div>
        <w:div w:id="92865346">
          <w:marLeft w:val="0"/>
          <w:marRight w:val="0"/>
          <w:marTop w:val="0"/>
          <w:marBottom w:val="0"/>
          <w:divBdr>
            <w:top w:val="none" w:sz="0" w:space="0" w:color="auto"/>
            <w:left w:val="none" w:sz="0" w:space="0" w:color="auto"/>
            <w:bottom w:val="none" w:sz="0" w:space="0" w:color="auto"/>
            <w:right w:val="none" w:sz="0" w:space="0" w:color="auto"/>
          </w:divBdr>
        </w:div>
        <w:div w:id="352193815">
          <w:marLeft w:val="0"/>
          <w:marRight w:val="0"/>
          <w:marTop w:val="0"/>
          <w:marBottom w:val="0"/>
          <w:divBdr>
            <w:top w:val="none" w:sz="0" w:space="0" w:color="auto"/>
            <w:left w:val="none" w:sz="0" w:space="0" w:color="auto"/>
            <w:bottom w:val="none" w:sz="0" w:space="0" w:color="auto"/>
            <w:right w:val="none" w:sz="0" w:space="0" w:color="auto"/>
          </w:divBdr>
        </w:div>
        <w:div w:id="883558603">
          <w:marLeft w:val="0"/>
          <w:marRight w:val="0"/>
          <w:marTop w:val="0"/>
          <w:marBottom w:val="0"/>
          <w:divBdr>
            <w:top w:val="none" w:sz="0" w:space="0" w:color="auto"/>
            <w:left w:val="none" w:sz="0" w:space="0" w:color="auto"/>
            <w:bottom w:val="none" w:sz="0" w:space="0" w:color="auto"/>
            <w:right w:val="none" w:sz="0" w:space="0" w:color="auto"/>
          </w:divBdr>
        </w:div>
        <w:div w:id="1610700382">
          <w:marLeft w:val="0"/>
          <w:marRight w:val="0"/>
          <w:marTop w:val="0"/>
          <w:marBottom w:val="0"/>
          <w:divBdr>
            <w:top w:val="none" w:sz="0" w:space="0" w:color="auto"/>
            <w:left w:val="none" w:sz="0" w:space="0" w:color="auto"/>
            <w:bottom w:val="none" w:sz="0" w:space="0" w:color="auto"/>
            <w:right w:val="none" w:sz="0" w:space="0" w:color="auto"/>
          </w:divBdr>
        </w:div>
        <w:div w:id="87969701">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mo-sat.info/oscar/spacecapabiliti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5C6CB3"/>
    <w:rsid w:val="005F35A4"/>
    <w:rsid w:val="0061495B"/>
    <w:rsid w:val="00A03886"/>
    <w:rsid w:val="00AA02FE"/>
    <w:rsid w:val="00DD3DBF"/>
    <w:rsid w:val="00FF3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 and guidance</Subject_x0020_>
    <Project_x0020_Identification_x0020__x002f__x0020_Reference xmlns="0e656187-b300-4fb0-8bf4-3a50f872073c">WIGOS</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D0D65B4-25F3-4AC8-B1E2-94BC4E4ED3C7}">
  <ds:schemaRef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0e656187-b300-4fb0-8bf4-3a50f872073c"/>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4.xml><?xml version="1.0" encoding="utf-8"?>
<ds:datastoreItem xmlns:ds="http://schemas.openxmlformats.org/officeDocument/2006/customXml" ds:itemID="{A3776303-C9B8-4FBE-A8E4-2D7316DDD61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Inter-Commission Coordination Group on WIGOS/WIGOS Editorial Board (WEdB-2)</vt:lpstr>
    </vt:vector>
  </TitlesOfParts>
  <Company>WMO</Company>
  <LinksUpToDate>false</LinksUpToDate>
  <CharactersWithSpaces>5623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WIGOS/WIGOS Editorial Board (WEdB-2)</dc:title>
  <dc:subject>GENEVA, SWITZERLAND, 31 Oct 3 November 2017</dc:subject>
  <dc:creator>tkurino@wmo.int</dc:creator>
  <cp:keywords>WEdB-3</cp:keywords>
  <cp:lastModifiedBy>Toshiyuki Kurino</cp:lastModifiedBy>
  <cp:revision>3</cp:revision>
  <cp:lastPrinted>2017-06-14T09:31:00Z</cp:lastPrinted>
  <dcterms:created xsi:type="dcterms:W3CDTF">2018-01-14T13:07:00Z</dcterms:created>
  <dcterms:modified xsi:type="dcterms:W3CDTF">2018-01-14T13:33:00Z</dcterms:modified>
  <cp:category>INF. 5.2</cp:category>
  <cp:contentStatus>DRAFT 1</cp:contentStatus>
</cp:coreProperties>
</file>