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B4" w:rsidRPr="00F11DE3" w:rsidRDefault="004E26B4" w:rsidP="00DA50FA">
      <w:pPr>
        <w:widowControl/>
        <w:numPr>
          <w:ilvl w:val="0"/>
          <w:numId w:val="1"/>
        </w:numPr>
        <w:autoSpaceDE w:val="0"/>
        <w:autoSpaceDN w:val="0"/>
        <w:adjustRightInd w:val="0"/>
        <w:spacing w:before="120" w:after="120"/>
        <w:rPr>
          <w:rFonts w:ascii="ArialMT" w:eastAsia="SimSun" w:hAnsi="ArialMT" w:cs="ArialMT"/>
          <w:b/>
          <w:bCs/>
          <w:lang w:val="en-GB" w:eastAsia="zh-CN"/>
        </w:rPr>
      </w:pPr>
      <w:r w:rsidRPr="00F11DE3">
        <w:rPr>
          <w:rFonts w:ascii="ArialMT" w:eastAsia="SimSun" w:hAnsi="ArialMT" w:cs="ArialMT"/>
          <w:b/>
          <w:bCs/>
          <w:lang w:val="en-GB" w:eastAsia="zh-CN"/>
        </w:rPr>
        <w:t>OBSERVING COMPONENT OF THE GLOBAL ATMOSPHERE WATCH (GAW)</w:t>
      </w:r>
    </w:p>
    <w:p w:rsidR="004E26B4" w:rsidRPr="00F11DE3" w:rsidRDefault="004E26B4" w:rsidP="00EF10BE">
      <w:pPr>
        <w:autoSpaceDE w:val="0"/>
        <w:autoSpaceDN w:val="0"/>
        <w:adjustRightInd w:val="0"/>
        <w:spacing w:before="120" w:after="120"/>
        <w:rPr>
          <w:rFonts w:ascii="ArialMT" w:eastAsia="SimSun" w:hAnsi="ArialMT" w:cs="ArialMT"/>
          <w:b/>
          <w:bCs/>
          <w:sz w:val="20"/>
          <w:szCs w:val="20"/>
          <w:lang w:val="en-GB" w:eastAsia="zh-CN"/>
        </w:rPr>
      </w:pPr>
      <w:r w:rsidRPr="00F11DE3">
        <w:rPr>
          <w:rFonts w:ascii="ArialMT" w:hAnsi="ArialMT" w:cs="ArialMT"/>
          <w:b/>
          <w:bCs/>
          <w:lang w:val="en-GB"/>
        </w:rPr>
        <w:t xml:space="preserve">                                                                                </w:t>
      </w:r>
      <w:r w:rsidRPr="00F11DE3">
        <w:rPr>
          <w:rFonts w:ascii="ArialMT" w:eastAsia="SimSun" w:hAnsi="ArialMT" w:cs="ArialMT"/>
          <w:b/>
          <w:bCs/>
          <w:sz w:val="20"/>
          <w:szCs w:val="20"/>
          <w:lang w:val="en-GB" w:eastAsia="zh-CN"/>
        </w:rPr>
        <w:t>[Lead Compiler Ann Webb / L.Jalkanen and team]</w:t>
      </w:r>
    </w:p>
    <w:p w:rsidR="004E26B4" w:rsidRPr="00F11DE3" w:rsidRDefault="004E26B4" w:rsidP="00EF10BE">
      <w:pPr>
        <w:autoSpaceDE w:val="0"/>
        <w:autoSpaceDN w:val="0"/>
        <w:adjustRightInd w:val="0"/>
        <w:spacing w:before="120" w:after="120"/>
        <w:rPr>
          <w:rFonts w:ascii="ArialMT" w:eastAsia="SimSun" w:hAnsi="ArialMT" w:cs="ArialMT"/>
          <w:b/>
          <w:bCs/>
          <w:lang w:val="en-GB" w:eastAsia="zh-CN"/>
        </w:rPr>
      </w:pPr>
      <w:r w:rsidRPr="00F11DE3">
        <w:rPr>
          <w:rFonts w:ascii="ArialMT" w:eastAsia="SimSun" w:hAnsi="ArialMT" w:cs="ArialMT"/>
          <w:b/>
          <w:bCs/>
          <w:sz w:val="20"/>
          <w:szCs w:val="20"/>
          <w:lang w:val="en-GB" w:eastAsia="zh-CN"/>
        </w:rPr>
        <w:t>(…. The following headings provide a starting point, with an aim of consistency with other chapters, however adjustments can be made if necessary to cover this specific component observing system)</w:t>
      </w:r>
    </w:p>
    <w:p w:rsidR="004E26B4" w:rsidRDefault="004E26B4" w:rsidP="00EF10BE">
      <w:pPr>
        <w:widowControl/>
        <w:numPr>
          <w:ilvl w:val="1"/>
          <w:numId w:val="1"/>
        </w:numPr>
        <w:tabs>
          <w:tab w:val="clear" w:pos="495"/>
        </w:tabs>
        <w:autoSpaceDE w:val="0"/>
        <w:autoSpaceDN w:val="0"/>
        <w:adjustRightInd w:val="0"/>
        <w:spacing w:before="120" w:after="120"/>
        <w:ind w:left="1080"/>
        <w:rPr>
          <w:rFonts w:ascii="ArialMT" w:eastAsia="SimSun" w:hAnsi="ArialMT" w:cs="ArialMT"/>
          <w:b/>
          <w:bCs/>
          <w:lang w:val="en-GB" w:eastAsia="zh-CN"/>
        </w:rPr>
      </w:pPr>
      <w:r w:rsidRPr="00F11DE3">
        <w:rPr>
          <w:rFonts w:ascii="ArialMT" w:eastAsia="SimSun" w:hAnsi="ArialMT" w:cs="ArialMT"/>
          <w:b/>
          <w:bCs/>
          <w:lang w:val="en-GB" w:eastAsia="zh-CN"/>
        </w:rPr>
        <w:t>Requirements</w:t>
      </w:r>
      <w:r w:rsidRPr="00F11DE3">
        <w:rPr>
          <w:rFonts w:ascii="ArialMT" w:eastAsia="SimSun" w:hAnsi="ArialMT" w:cs="ArialMT"/>
          <w:b/>
          <w:bCs/>
          <w:lang w:val="en-GB" w:eastAsia="zh-CN"/>
        </w:rPr>
        <w:tab/>
      </w:r>
    </w:p>
    <w:p w:rsidR="004E26B4" w:rsidRPr="001F7F85" w:rsidRDefault="004E26B4" w:rsidP="001D030F">
      <w:pPr>
        <w:widowControl/>
        <w:autoSpaceDE w:val="0"/>
        <w:autoSpaceDN w:val="0"/>
        <w:adjustRightInd w:val="0"/>
        <w:spacing w:before="120" w:after="120"/>
        <w:rPr>
          <w:sz w:val="20"/>
          <w:szCs w:val="20"/>
          <w:lang w:val="en-GB"/>
        </w:rPr>
      </w:pPr>
      <w:r w:rsidRPr="001F7F85">
        <w:rPr>
          <w:sz w:val="20"/>
          <w:szCs w:val="20"/>
        </w:rPr>
        <w:t>The rationale for the Global Atmosphere Watch (</w:t>
      </w:r>
      <w:hyperlink r:id="rId5" w:history="1">
        <w:r w:rsidRPr="001F7F85">
          <w:rPr>
            <w:rStyle w:val="Hyperlink"/>
            <w:sz w:val="20"/>
            <w:szCs w:val="20"/>
          </w:rPr>
          <w:t>as formulated in the GAW Strategic Plan: 2008-2015)</w:t>
        </w:r>
      </w:hyperlink>
      <w:r w:rsidRPr="001F7F85">
        <w:rPr>
          <w:sz w:val="20"/>
          <w:szCs w:val="20"/>
        </w:rPr>
        <w:t xml:space="preserve"> is the need to understand and control the increasing influence of human activity on the global atmosphere. </w:t>
      </w:r>
      <w:r w:rsidRPr="001F7F85">
        <w:rPr>
          <w:sz w:val="20"/>
          <w:szCs w:val="20"/>
          <w:lang w:val="en-GB"/>
        </w:rPr>
        <w:t>The mission of GAW, taking into account the Integrated Global Atmospheric Chemistry Observations (IGACO) strategy, is to</w:t>
      </w:r>
    </w:p>
    <w:p w:rsidR="004E26B4" w:rsidRPr="001F7F85" w:rsidRDefault="004E26B4" w:rsidP="001D030F">
      <w:pPr>
        <w:widowControl/>
        <w:autoSpaceDE w:val="0"/>
        <w:autoSpaceDN w:val="0"/>
        <w:adjustRightInd w:val="0"/>
        <w:spacing w:before="120" w:after="120"/>
        <w:rPr>
          <w:sz w:val="20"/>
          <w:szCs w:val="20"/>
          <w:lang w:val="en-GB"/>
        </w:rPr>
      </w:pPr>
      <w:r w:rsidRPr="001F7F85">
        <w:rPr>
          <w:sz w:val="20"/>
          <w:szCs w:val="20"/>
          <w:lang w:val="en-GB"/>
        </w:rPr>
        <w:t>Reduce environmental risks to society and meet the requirements of environmental conventions.</w:t>
      </w:r>
    </w:p>
    <w:p w:rsidR="004E26B4" w:rsidRPr="001F7F85" w:rsidRDefault="004E26B4" w:rsidP="001D030F">
      <w:pPr>
        <w:widowControl/>
        <w:autoSpaceDE w:val="0"/>
        <w:autoSpaceDN w:val="0"/>
        <w:adjustRightInd w:val="0"/>
        <w:spacing w:before="120" w:after="120"/>
        <w:rPr>
          <w:sz w:val="20"/>
          <w:szCs w:val="20"/>
          <w:lang w:val="en-GB"/>
        </w:rPr>
      </w:pPr>
      <w:r w:rsidRPr="001F7F85">
        <w:rPr>
          <w:sz w:val="20"/>
          <w:szCs w:val="20"/>
          <w:lang w:val="en-GB"/>
        </w:rPr>
        <w:t>Strengthen capabilities to predict climate, weather and air quality.</w:t>
      </w:r>
    </w:p>
    <w:p w:rsidR="004E26B4" w:rsidRPr="001F7F85" w:rsidRDefault="004E26B4" w:rsidP="001D030F">
      <w:pPr>
        <w:widowControl/>
        <w:autoSpaceDE w:val="0"/>
        <w:autoSpaceDN w:val="0"/>
        <w:adjustRightInd w:val="0"/>
        <w:spacing w:before="120" w:after="120"/>
        <w:rPr>
          <w:sz w:val="20"/>
          <w:szCs w:val="20"/>
          <w:lang w:val="en-GB"/>
        </w:rPr>
      </w:pPr>
      <w:r>
        <w:rPr>
          <w:sz w:val="20"/>
          <w:szCs w:val="20"/>
          <w:lang w:val="en-GB"/>
        </w:rPr>
        <w:t>C</w:t>
      </w:r>
      <w:r w:rsidRPr="001F7F85">
        <w:rPr>
          <w:sz w:val="20"/>
          <w:szCs w:val="20"/>
          <w:lang w:val="en-GB"/>
        </w:rPr>
        <w:t>ontribute to scientific assessments in support of environmental policy.</w:t>
      </w:r>
    </w:p>
    <w:p w:rsidR="004E26B4" w:rsidRPr="001F7F85" w:rsidRDefault="004E26B4" w:rsidP="001D030F">
      <w:pPr>
        <w:widowControl/>
        <w:autoSpaceDE w:val="0"/>
        <w:autoSpaceDN w:val="0"/>
        <w:adjustRightInd w:val="0"/>
        <w:spacing w:before="120" w:after="120"/>
        <w:rPr>
          <w:sz w:val="20"/>
          <w:szCs w:val="20"/>
          <w:lang w:val="en-GB"/>
        </w:rPr>
      </w:pPr>
      <w:r w:rsidRPr="001F7F85">
        <w:rPr>
          <w:sz w:val="20"/>
          <w:szCs w:val="20"/>
          <w:lang w:val="en-GB"/>
        </w:rPr>
        <w:t>through</w:t>
      </w:r>
    </w:p>
    <w:p w:rsidR="004E26B4" w:rsidRPr="001F7F85" w:rsidRDefault="004E26B4" w:rsidP="001D030F">
      <w:pPr>
        <w:widowControl/>
        <w:autoSpaceDE w:val="0"/>
        <w:autoSpaceDN w:val="0"/>
        <w:adjustRightInd w:val="0"/>
        <w:spacing w:before="120" w:after="120"/>
        <w:rPr>
          <w:sz w:val="20"/>
          <w:szCs w:val="20"/>
          <w:lang w:val="en-GB"/>
        </w:rPr>
      </w:pPr>
      <w:r w:rsidRPr="001F7F85">
        <w:rPr>
          <w:sz w:val="20"/>
          <w:szCs w:val="20"/>
          <w:lang w:val="en-GB"/>
        </w:rPr>
        <w:t>Maintaining and applying global, long-term observations of the chemical composition and selected physical characteristics of the atmosphere.</w:t>
      </w:r>
    </w:p>
    <w:p w:rsidR="004E26B4" w:rsidRPr="001F7F85" w:rsidRDefault="004E26B4" w:rsidP="001D030F">
      <w:pPr>
        <w:widowControl/>
        <w:autoSpaceDE w:val="0"/>
        <w:autoSpaceDN w:val="0"/>
        <w:adjustRightInd w:val="0"/>
        <w:spacing w:before="120" w:after="120"/>
        <w:rPr>
          <w:sz w:val="20"/>
          <w:szCs w:val="20"/>
          <w:lang w:val="en-GB"/>
        </w:rPr>
      </w:pPr>
      <w:r w:rsidRPr="001F7F85">
        <w:rPr>
          <w:sz w:val="20"/>
          <w:szCs w:val="20"/>
          <w:lang w:val="en-GB"/>
        </w:rPr>
        <w:t>Emphasising quality assurance and quality control.</w:t>
      </w:r>
    </w:p>
    <w:p w:rsidR="004E26B4" w:rsidRPr="001F7F85" w:rsidRDefault="004E26B4" w:rsidP="001D030F">
      <w:pPr>
        <w:widowControl/>
        <w:autoSpaceDE w:val="0"/>
        <w:autoSpaceDN w:val="0"/>
        <w:adjustRightInd w:val="0"/>
        <w:spacing w:before="120" w:after="120"/>
        <w:rPr>
          <w:sz w:val="20"/>
          <w:szCs w:val="20"/>
          <w:lang w:val="en-GB"/>
        </w:rPr>
      </w:pPr>
      <w:r w:rsidRPr="001F7F85">
        <w:rPr>
          <w:sz w:val="20"/>
          <w:szCs w:val="20"/>
          <w:lang w:val="en-GB"/>
        </w:rPr>
        <w:t>Delivering integrated products and services of relevance to users.</w:t>
      </w:r>
    </w:p>
    <w:p w:rsidR="004E26B4" w:rsidRPr="001F7F85" w:rsidRDefault="004E26B4" w:rsidP="001D030F">
      <w:pPr>
        <w:widowControl/>
        <w:autoSpaceDE w:val="0"/>
        <w:autoSpaceDN w:val="0"/>
        <w:adjustRightInd w:val="0"/>
        <w:spacing w:before="120" w:after="120"/>
        <w:rPr>
          <w:sz w:val="20"/>
          <w:szCs w:val="20"/>
          <w:lang w:val="en-GB"/>
        </w:rPr>
      </w:pPr>
      <w:r w:rsidRPr="001F7F85">
        <w:rPr>
          <w:sz w:val="20"/>
          <w:szCs w:val="20"/>
          <w:lang w:val="en-GB"/>
        </w:rPr>
        <w:t>GAW also fulfils a mandate from WMO Members by responding to the needs and clearly linking to the plans of national, regional, and international observing projects, programmes, systems and strategies</w:t>
      </w:r>
    </w:p>
    <w:p w:rsidR="004E26B4" w:rsidRPr="001F7F85" w:rsidRDefault="004E26B4" w:rsidP="00ED1046">
      <w:pPr>
        <w:widowControl/>
        <w:autoSpaceDE w:val="0"/>
        <w:autoSpaceDN w:val="0"/>
        <w:adjustRightInd w:val="0"/>
        <w:spacing w:before="120" w:after="120"/>
        <w:ind w:left="1080"/>
        <w:rPr>
          <w:rFonts w:ascii="ArialMT" w:eastAsia="SimSun" w:hAnsi="ArialMT" w:cs="ArialMT"/>
          <w:b/>
          <w:bCs/>
          <w:sz w:val="20"/>
          <w:szCs w:val="20"/>
          <w:lang w:val="en-GB" w:eastAsia="zh-CN"/>
        </w:rPr>
      </w:pPr>
      <w:r w:rsidRPr="001F7F85">
        <w:rPr>
          <w:rFonts w:ascii="ArialMT" w:eastAsia="SimSun" w:hAnsi="ArialMT" w:cs="ArialMT"/>
          <w:b/>
          <w:bCs/>
          <w:sz w:val="20"/>
          <w:szCs w:val="20"/>
          <w:lang w:val="en-GB" w:eastAsia="zh-CN"/>
        </w:rPr>
        <w:tab/>
      </w:r>
    </w:p>
    <w:p w:rsidR="004E26B4" w:rsidRPr="00ED1046" w:rsidRDefault="004E26B4" w:rsidP="00ED1046">
      <w:pPr>
        <w:widowControl/>
        <w:numPr>
          <w:ilvl w:val="1"/>
          <w:numId w:val="1"/>
        </w:numPr>
        <w:tabs>
          <w:tab w:val="clear" w:pos="495"/>
        </w:tabs>
        <w:autoSpaceDE w:val="0"/>
        <w:autoSpaceDN w:val="0"/>
        <w:adjustRightInd w:val="0"/>
        <w:spacing w:before="120" w:after="120"/>
        <w:ind w:left="1080"/>
        <w:rPr>
          <w:rFonts w:cs="Arial"/>
          <w:color w:val="000000"/>
          <w:sz w:val="20"/>
          <w:szCs w:val="20"/>
          <w:lang w:val="en-GB" w:eastAsia="en-GB"/>
        </w:rPr>
      </w:pPr>
      <w:r w:rsidRPr="00F11DE3">
        <w:rPr>
          <w:rFonts w:ascii="ArialMT" w:eastAsia="SimSun" w:hAnsi="ArialMT" w:cs="ArialMT"/>
          <w:b/>
          <w:bCs/>
          <w:lang w:val="en-GB" w:eastAsia="zh-CN"/>
        </w:rPr>
        <w:t>Design, planning and evolution</w:t>
      </w:r>
    </w:p>
    <w:p w:rsidR="004E26B4" w:rsidRPr="00DE4AB1" w:rsidRDefault="004E26B4" w:rsidP="001D030F">
      <w:pPr>
        <w:widowControl/>
        <w:autoSpaceDE w:val="0"/>
        <w:autoSpaceDN w:val="0"/>
        <w:adjustRightInd w:val="0"/>
        <w:spacing w:before="120" w:after="120"/>
        <w:rPr>
          <w:rFonts w:cs="Arial"/>
          <w:color w:val="000000"/>
          <w:sz w:val="20"/>
          <w:szCs w:val="20"/>
          <w:lang w:val="en-GB" w:eastAsia="en-GB"/>
        </w:rPr>
      </w:pPr>
      <w:r w:rsidRPr="00DE4AB1">
        <w:rPr>
          <w:rFonts w:cs="Arial"/>
          <w:color w:val="000000"/>
          <w:sz w:val="20"/>
          <w:szCs w:val="20"/>
          <w:lang w:val="en-GB" w:eastAsia="en-GB"/>
        </w:rPr>
        <w:t>Since its inception in 1992, GAW has matured and developed into a programme with support</w:t>
      </w:r>
      <w:r>
        <w:rPr>
          <w:rFonts w:cs="Arial"/>
          <w:color w:val="000000"/>
          <w:sz w:val="20"/>
          <w:szCs w:val="20"/>
          <w:lang w:val="en-GB" w:eastAsia="en-GB"/>
        </w:rPr>
        <w:t xml:space="preserve"> </w:t>
      </w:r>
      <w:r w:rsidRPr="00DE4AB1">
        <w:rPr>
          <w:rFonts w:cs="Arial"/>
          <w:color w:val="000000"/>
          <w:sz w:val="20"/>
          <w:szCs w:val="20"/>
          <w:lang w:val="en-GB" w:eastAsia="en-GB"/>
        </w:rPr>
        <w:t xml:space="preserve">from a large number of WMO Members. More than 100 countries have registered more than 800 stations with the GAW Station Information System (GAWSIS). </w:t>
      </w:r>
    </w:p>
    <w:p w:rsidR="004E26B4" w:rsidRPr="00DE4AB1" w:rsidRDefault="004E26B4" w:rsidP="001D030F">
      <w:pPr>
        <w:widowControl/>
        <w:rPr>
          <w:rFonts w:cs="Arial"/>
          <w:color w:val="000000"/>
          <w:sz w:val="20"/>
          <w:szCs w:val="20"/>
          <w:lang w:val="en-GB" w:eastAsia="en-GB"/>
        </w:rPr>
      </w:pPr>
      <w:r w:rsidRPr="00DE4AB1">
        <w:rPr>
          <w:rFonts w:cs="Arial"/>
          <w:color w:val="000000"/>
          <w:sz w:val="20"/>
          <w:szCs w:val="20"/>
          <w:lang w:val="en-GB" w:eastAsia="en-GB"/>
        </w:rPr>
        <w:t>Various GAW expert groups and central facilities exist under the oversight of the WMO Commission for Atmospheric Sciences (CAS) and its Joint Scientific Committee of the WMO Open Programme Area Group on Environmental Pollution and Atmospheric Chemistry</w:t>
      </w:r>
      <w:r w:rsidRPr="00DE4AB1">
        <w:rPr>
          <w:rFonts w:cs="Arial"/>
          <w:color w:val="000000"/>
          <w:sz w:val="20"/>
          <w:szCs w:val="20"/>
          <w:lang w:val="en-GB" w:eastAsia="en-GB"/>
        </w:rPr>
        <w:br/>
        <w:t>(JSC OPAG-EPAC)</w:t>
      </w:r>
      <w:r>
        <w:rPr>
          <w:rFonts w:cs="Arial"/>
          <w:color w:val="000000"/>
          <w:sz w:val="20"/>
          <w:szCs w:val="20"/>
          <w:lang w:val="en-GB" w:eastAsia="en-GB"/>
        </w:rPr>
        <w:t xml:space="preserve">. These include </w:t>
      </w:r>
      <w:r w:rsidRPr="00DE4AB1">
        <w:rPr>
          <w:rFonts w:cs="Arial"/>
          <w:color w:val="000000"/>
          <w:sz w:val="20"/>
          <w:szCs w:val="20"/>
          <w:lang w:val="en-GB" w:eastAsia="en-GB"/>
        </w:rPr>
        <w:t>7 Scientific Advisory Groups (SAGs) to organise and co-ordinate GAW activities by</w:t>
      </w:r>
      <w:r>
        <w:rPr>
          <w:rFonts w:cs="Arial"/>
          <w:color w:val="000000"/>
          <w:sz w:val="20"/>
          <w:szCs w:val="20"/>
          <w:lang w:val="en-GB" w:eastAsia="en-GB"/>
        </w:rPr>
        <w:t xml:space="preserve"> </w:t>
      </w:r>
      <w:r w:rsidRPr="00DE4AB1">
        <w:rPr>
          <w:rFonts w:cs="Arial"/>
          <w:color w:val="000000"/>
          <w:sz w:val="20"/>
          <w:szCs w:val="20"/>
          <w:lang w:val="en-GB" w:eastAsia="en-GB"/>
        </w:rPr>
        <w:t>parameter, and the Expert Teams on World Data Centres (ET-WDC) and Near-Real-Time</w:t>
      </w:r>
      <w:r>
        <w:rPr>
          <w:rFonts w:cs="Arial"/>
          <w:color w:val="000000"/>
          <w:sz w:val="20"/>
          <w:szCs w:val="20"/>
          <w:lang w:val="en-GB" w:eastAsia="en-GB"/>
        </w:rPr>
        <w:t xml:space="preserve"> </w:t>
      </w:r>
      <w:r w:rsidRPr="00DE4AB1">
        <w:rPr>
          <w:rFonts w:cs="Arial"/>
          <w:color w:val="000000"/>
          <w:sz w:val="20"/>
          <w:szCs w:val="20"/>
          <w:lang w:val="en-GB" w:eastAsia="en-GB"/>
        </w:rPr>
        <w:t>Chemical Data Transfer (ET-NRT CDT).</w:t>
      </w:r>
    </w:p>
    <w:p w:rsidR="004E26B4" w:rsidRDefault="004E26B4" w:rsidP="00EF10BE">
      <w:pPr>
        <w:widowControl/>
        <w:numPr>
          <w:ilvl w:val="2"/>
          <w:numId w:val="1"/>
        </w:numPr>
        <w:tabs>
          <w:tab w:val="clear" w:pos="5010"/>
        </w:tabs>
        <w:autoSpaceDE w:val="0"/>
        <w:autoSpaceDN w:val="0"/>
        <w:adjustRightInd w:val="0"/>
        <w:spacing w:before="120" w:after="120"/>
        <w:ind w:left="1800"/>
        <w:rPr>
          <w:rFonts w:cs="Arial"/>
          <w:b/>
          <w:bCs/>
          <w:sz w:val="20"/>
          <w:szCs w:val="20"/>
          <w:lang w:val="en-GB"/>
        </w:rPr>
      </w:pPr>
      <w:r w:rsidRPr="00F11DE3">
        <w:rPr>
          <w:rFonts w:cs="Arial"/>
          <w:b/>
          <w:bCs/>
          <w:sz w:val="20"/>
          <w:szCs w:val="20"/>
          <w:lang w:val="en-GB"/>
        </w:rPr>
        <w:t>Review of observational user requirements</w:t>
      </w:r>
    </w:p>
    <w:p w:rsidR="004E26B4" w:rsidRPr="00BE1352" w:rsidRDefault="004E26B4" w:rsidP="00BE1352">
      <w:pPr>
        <w:widowControl/>
        <w:rPr>
          <w:rFonts w:cs="Arial"/>
          <w:color w:val="000000"/>
          <w:sz w:val="20"/>
          <w:szCs w:val="20"/>
          <w:lang w:val="en-GB" w:eastAsia="en-GB"/>
        </w:rPr>
      </w:pPr>
      <w:r w:rsidRPr="00BE1352">
        <w:rPr>
          <w:rFonts w:cs="Arial"/>
          <w:color w:val="000000"/>
          <w:sz w:val="20"/>
          <w:szCs w:val="20"/>
          <w:lang w:val="en-GB" w:eastAsia="en-GB"/>
        </w:rPr>
        <w:t>The</w:t>
      </w:r>
      <w:r w:rsidRPr="00BE1352">
        <w:rPr>
          <w:rFonts w:cs="Arial"/>
          <w:b/>
          <w:bCs/>
          <w:color w:val="000000"/>
          <w:sz w:val="20"/>
          <w:szCs w:val="20"/>
          <w:lang w:val="en-GB" w:eastAsia="en-GB"/>
        </w:rPr>
        <w:t xml:space="preserve"> Global Atmosphere Watch (GAW)</w:t>
      </w:r>
      <w:r w:rsidRPr="00BE1352">
        <w:rPr>
          <w:rFonts w:cs="Arial"/>
          <w:color w:val="000000"/>
          <w:sz w:val="20"/>
          <w:szCs w:val="20"/>
          <w:lang w:val="en-GB" w:eastAsia="en-GB"/>
        </w:rPr>
        <w:t xml:space="preserve"> programme of WMO is a partnership that provides reliable scientific data and information on the chemical composition of the atmosphere, its natural and anthropogenic change, and helps to improve the understanding of interactions between the atmosphere, the oceans and the biosphere.GAW is considered the atmospheric chemistry component of the Global Climate Observing System (</w:t>
      </w:r>
      <w:hyperlink r:id="rId6" w:history="1">
        <w:r w:rsidRPr="00BE1352">
          <w:rPr>
            <w:rStyle w:val="Hyperlink"/>
            <w:rFonts w:cs="Arial"/>
            <w:sz w:val="20"/>
            <w:szCs w:val="20"/>
            <w:lang w:val="en-GB" w:eastAsia="en-GB"/>
          </w:rPr>
          <w:t>GCOS</w:t>
        </w:r>
      </w:hyperlink>
      <w:r w:rsidRPr="00BE1352">
        <w:rPr>
          <w:rFonts w:cs="Arial"/>
          <w:color w:val="000000"/>
          <w:sz w:val="20"/>
          <w:szCs w:val="20"/>
          <w:lang w:val="en-GB" w:eastAsia="en-GB"/>
        </w:rPr>
        <w:t>).</w:t>
      </w:r>
    </w:p>
    <w:p w:rsidR="004E26B4" w:rsidRDefault="004E26B4" w:rsidP="00BE1352">
      <w:pPr>
        <w:widowControl/>
        <w:rPr>
          <w:rFonts w:cs="Arial"/>
          <w:color w:val="000000"/>
          <w:sz w:val="20"/>
          <w:szCs w:val="20"/>
          <w:lang w:val="en-GB" w:eastAsia="en-GB"/>
        </w:rPr>
      </w:pPr>
      <w:r w:rsidRPr="00BE1352">
        <w:rPr>
          <w:rFonts w:cs="Arial"/>
          <w:color w:val="000000"/>
          <w:sz w:val="20"/>
          <w:szCs w:val="20"/>
          <w:lang w:val="en-GB" w:eastAsia="en-GB"/>
        </w:rPr>
        <w:t xml:space="preserve">The GAW programme supports global networks that deliver observations which are then used to address gaps in understanding of climate, weather and air pollution issues and to deliver services and products required by WMO Members in fulfilling their national mandate. </w:t>
      </w:r>
    </w:p>
    <w:p w:rsidR="004E26B4" w:rsidRDefault="004E26B4" w:rsidP="00BE1352">
      <w:pPr>
        <w:widowControl/>
        <w:rPr>
          <w:rFonts w:cs="Arial"/>
          <w:color w:val="000000"/>
          <w:sz w:val="20"/>
          <w:szCs w:val="20"/>
          <w:lang w:val="en-GB" w:eastAsia="en-GB"/>
        </w:rPr>
      </w:pPr>
      <w:r w:rsidRPr="00BE1352">
        <w:rPr>
          <w:rFonts w:cs="Arial"/>
          <w:color w:val="000000"/>
          <w:sz w:val="20"/>
          <w:szCs w:val="20"/>
          <w:lang w:val="en-GB" w:eastAsia="en-GB"/>
        </w:rPr>
        <w:t>The GAW monitoring system focuses on six classes of variables (i.e. ozone, UV radiation, greenhouse gases, aerosols, selected reactive gases and precipitation chemistry). For these variables, GAW acts as a “steward of global coordination” supporting all components needed for a rational observing system. Each of the six variable groups has a SAG and GAW Central Facilities responsible for scientific guidance and technical details of the global network. An additional SAG exists for the GAW Urban Research and Meteorology Experiment (GURME).</w:t>
      </w:r>
    </w:p>
    <w:p w:rsidR="004E26B4" w:rsidRPr="00F11DE3" w:rsidRDefault="004E26B4" w:rsidP="00BE1352">
      <w:pPr>
        <w:widowControl/>
        <w:rPr>
          <w:rFonts w:cs="Arial"/>
          <w:b/>
          <w:bCs/>
          <w:sz w:val="20"/>
          <w:szCs w:val="20"/>
          <w:lang w:val="en-GB"/>
        </w:rPr>
      </w:pPr>
      <w:r>
        <w:rPr>
          <w:rFonts w:cs="Arial"/>
          <w:color w:val="000000"/>
          <w:sz w:val="20"/>
          <w:szCs w:val="20"/>
          <w:lang w:val="en-GB" w:eastAsia="en-GB"/>
        </w:rPr>
        <w:t>At the core of the GAW mission is the identification of change, and understanding of its cause and effect. Users therefore require long-term data sets and stability, while GAW is looking for long-term commitments from its partners and stations.</w:t>
      </w:r>
    </w:p>
    <w:p w:rsidR="004E26B4" w:rsidRDefault="004E26B4" w:rsidP="00EF10BE">
      <w:pPr>
        <w:widowControl/>
        <w:numPr>
          <w:ilvl w:val="2"/>
          <w:numId w:val="1"/>
        </w:numPr>
        <w:tabs>
          <w:tab w:val="clear" w:pos="5010"/>
        </w:tabs>
        <w:autoSpaceDE w:val="0"/>
        <w:autoSpaceDN w:val="0"/>
        <w:adjustRightInd w:val="0"/>
        <w:spacing w:before="120" w:after="120"/>
        <w:ind w:left="1800"/>
        <w:rPr>
          <w:rFonts w:cs="Arial"/>
          <w:b/>
          <w:bCs/>
          <w:sz w:val="20"/>
          <w:szCs w:val="20"/>
          <w:lang w:val="en-GB"/>
        </w:rPr>
      </w:pPr>
      <w:r w:rsidRPr="00F11DE3">
        <w:rPr>
          <w:rFonts w:cs="Arial"/>
          <w:b/>
          <w:bCs/>
          <w:sz w:val="20"/>
          <w:szCs w:val="20"/>
          <w:lang w:val="en-GB"/>
        </w:rPr>
        <w:t>Review of current and planned observing systems capabilities</w:t>
      </w:r>
      <w:r>
        <w:rPr>
          <w:rFonts w:cs="Arial"/>
          <w:b/>
          <w:bCs/>
          <w:sz w:val="20"/>
          <w:szCs w:val="20"/>
          <w:lang w:val="en-GB"/>
        </w:rPr>
        <w:t xml:space="preserve"> </w:t>
      </w:r>
    </w:p>
    <w:p w:rsidR="004E26B4" w:rsidRDefault="004E26B4" w:rsidP="001D030F">
      <w:pPr>
        <w:widowControl/>
        <w:autoSpaceDE w:val="0"/>
        <w:autoSpaceDN w:val="0"/>
        <w:adjustRightInd w:val="0"/>
        <w:spacing w:before="120" w:after="120"/>
        <w:rPr>
          <w:rFonts w:cs="Arial"/>
          <w:bCs/>
          <w:sz w:val="20"/>
          <w:szCs w:val="20"/>
        </w:rPr>
      </w:pPr>
      <w:r w:rsidRPr="009D3FA2">
        <w:rPr>
          <w:rFonts w:cs="Arial"/>
          <w:bCs/>
          <w:sz w:val="20"/>
          <w:szCs w:val="20"/>
        </w:rPr>
        <w:t xml:space="preserve">Currently GAW coordinates activities and data from 28 </w:t>
      </w:r>
      <w:hyperlink r:id="rId7" w:history="1">
        <w:r w:rsidRPr="009D3FA2">
          <w:rPr>
            <w:rStyle w:val="Hyperlink"/>
            <w:rFonts w:cs="Arial"/>
            <w:bCs/>
            <w:sz w:val="20"/>
            <w:szCs w:val="20"/>
          </w:rPr>
          <w:t>Global stations</w:t>
        </w:r>
      </w:hyperlink>
      <w:r w:rsidRPr="009D3FA2">
        <w:rPr>
          <w:rFonts w:cs="Arial"/>
          <w:bCs/>
          <w:sz w:val="20"/>
          <w:szCs w:val="20"/>
        </w:rPr>
        <w:t xml:space="preserve">, 410 Regional stations, and 81 Contributing stations operated by </w:t>
      </w:r>
      <w:hyperlink r:id="rId8" w:history="1">
        <w:r w:rsidRPr="009D3FA2">
          <w:rPr>
            <w:rStyle w:val="Hyperlink"/>
            <w:rFonts w:cs="Arial"/>
            <w:bCs/>
            <w:sz w:val="20"/>
            <w:szCs w:val="20"/>
          </w:rPr>
          <w:t>Contributing networks</w:t>
        </w:r>
      </w:hyperlink>
      <w:r w:rsidRPr="009D3FA2">
        <w:rPr>
          <w:rFonts w:cs="Arial"/>
          <w:bCs/>
          <w:sz w:val="20"/>
          <w:szCs w:val="20"/>
        </w:rPr>
        <w:t xml:space="preserve"> (see </w:t>
      </w:r>
      <w:hyperlink r:id="rId9" w:history="1">
        <w:r w:rsidRPr="009D3FA2">
          <w:rPr>
            <w:rStyle w:val="Hyperlink"/>
            <w:rFonts w:cs="Arial"/>
            <w:bCs/>
            <w:sz w:val="20"/>
            <w:szCs w:val="20"/>
          </w:rPr>
          <w:t>GAWSIS</w:t>
        </w:r>
      </w:hyperlink>
      <w:r w:rsidRPr="009D3FA2">
        <w:rPr>
          <w:rFonts w:cs="Arial"/>
          <w:bCs/>
          <w:sz w:val="20"/>
          <w:szCs w:val="20"/>
        </w:rPr>
        <w:t xml:space="preserve">: </w:t>
      </w:r>
      <w:hyperlink r:id="rId10" w:history="1">
        <w:r w:rsidRPr="00A17AB0">
          <w:rPr>
            <w:rStyle w:val="Hyperlink"/>
            <w:rFonts w:cs="Arial"/>
            <w:bCs/>
            <w:sz w:val="20"/>
            <w:szCs w:val="20"/>
          </w:rPr>
          <w:t>http://gaw.empa.ch/gawsis/default.asp</w:t>
        </w:r>
      </w:hyperlink>
      <w:r w:rsidRPr="009D3FA2">
        <w:rPr>
          <w:rFonts w:cs="Arial"/>
          <w:bCs/>
          <w:sz w:val="20"/>
          <w:szCs w:val="20"/>
        </w:rPr>
        <w:t>)</w:t>
      </w:r>
      <w:r>
        <w:rPr>
          <w:rFonts w:cs="Arial"/>
          <w:bCs/>
          <w:sz w:val="20"/>
          <w:szCs w:val="20"/>
        </w:rPr>
        <w:t xml:space="preserve">. </w:t>
      </w:r>
    </w:p>
    <w:p w:rsidR="004E26B4" w:rsidRPr="009D3FA2" w:rsidRDefault="004E26B4" w:rsidP="001D030F">
      <w:pPr>
        <w:widowControl/>
        <w:autoSpaceDE w:val="0"/>
        <w:autoSpaceDN w:val="0"/>
        <w:adjustRightInd w:val="0"/>
        <w:spacing w:before="120" w:after="120"/>
        <w:rPr>
          <w:rFonts w:cs="Arial"/>
          <w:bCs/>
          <w:sz w:val="20"/>
          <w:szCs w:val="20"/>
          <w:lang w:val="en-GB"/>
        </w:rPr>
      </w:pPr>
      <w:r w:rsidRPr="009D3FA2">
        <w:rPr>
          <w:rFonts w:cs="Arial"/>
          <w:bCs/>
          <w:sz w:val="20"/>
          <w:szCs w:val="20"/>
        </w:rPr>
        <w:t xml:space="preserve">In recent years satellite programmes have produced important measurements of atmospheric compounds and related parameters that complement the GAW network measurements. When highly accurate local measurements from GAW ground-based stations are coupled with the near global coverage of satellite measurements it results in a more complete picture of atmospheric composition and processes on global scales, and provides complimentary checks of instrument calibrations. The Committee on Earth Observation (CEOS) has developed a strategy for such co-operation within an integrated system for monitoring of the atmosphere (WMO/GAW </w:t>
      </w:r>
      <w:hyperlink r:id="rId11" w:history="1">
        <w:r w:rsidRPr="009D3FA2">
          <w:rPr>
            <w:rStyle w:val="Hyperlink"/>
            <w:rFonts w:cs="Arial"/>
            <w:bCs/>
            <w:sz w:val="20"/>
            <w:szCs w:val="20"/>
          </w:rPr>
          <w:t xml:space="preserve">Report No.140 </w:t>
        </w:r>
      </w:hyperlink>
      <w:r w:rsidRPr="009D3FA2">
        <w:rPr>
          <w:rFonts w:cs="Arial"/>
          <w:bCs/>
          <w:sz w:val="20"/>
          <w:szCs w:val="20"/>
        </w:rPr>
        <w:t>).</w:t>
      </w:r>
    </w:p>
    <w:p w:rsidR="004E26B4" w:rsidRPr="00F11DE3" w:rsidRDefault="004E26B4" w:rsidP="00EF10BE">
      <w:pPr>
        <w:widowControl/>
        <w:numPr>
          <w:ilvl w:val="2"/>
          <w:numId w:val="1"/>
        </w:numPr>
        <w:tabs>
          <w:tab w:val="clear" w:pos="5010"/>
        </w:tabs>
        <w:autoSpaceDE w:val="0"/>
        <w:autoSpaceDN w:val="0"/>
        <w:adjustRightInd w:val="0"/>
        <w:spacing w:before="120" w:after="120"/>
        <w:ind w:left="1800"/>
        <w:rPr>
          <w:rFonts w:cs="Arial"/>
          <w:b/>
          <w:bCs/>
          <w:sz w:val="20"/>
          <w:szCs w:val="20"/>
          <w:lang w:val="en-GB"/>
        </w:rPr>
      </w:pPr>
      <w:r w:rsidRPr="00F11DE3">
        <w:rPr>
          <w:rFonts w:cs="Arial"/>
          <w:b/>
          <w:bCs/>
          <w:sz w:val="20"/>
          <w:szCs w:val="20"/>
          <w:lang w:val="en-GB"/>
        </w:rPr>
        <w:t>Impact and design studies, and critical review</w:t>
      </w:r>
    </w:p>
    <w:p w:rsidR="004E26B4" w:rsidRPr="00F11DE3" w:rsidRDefault="004E26B4" w:rsidP="00EF10BE">
      <w:pPr>
        <w:autoSpaceDE w:val="0"/>
        <w:autoSpaceDN w:val="0"/>
        <w:adjustRightInd w:val="0"/>
        <w:spacing w:before="120" w:after="120"/>
        <w:ind w:left="1080" w:firstLine="720"/>
        <w:rPr>
          <w:rFonts w:eastAsia="SimSun" w:cs="Arial"/>
          <w:sz w:val="20"/>
          <w:szCs w:val="20"/>
          <w:lang w:val="en-GB" w:eastAsia="zh-CN"/>
        </w:rPr>
      </w:pPr>
      <w:r w:rsidRPr="00F11DE3">
        <w:rPr>
          <w:rFonts w:eastAsia="SimSun" w:cs="Arial"/>
          <w:sz w:val="20"/>
          <w:szCs w:val="20"/>
          <w:lang w:val="en-GB" w:eastAsia="zh-CN"/>
        </w:rPr>
        <w:t>5.2.3.1 Impact studies, OSEs, and OSSEs</w:t>
      </w:r>
    </w:p>
    <w:p w:rsidR="004E26B4" w:rsidRPr="00F11DE3" w:rsidRDefault="004E26B4" w:rsidP="00EF10BE">
      <w:pPr>
        <w:autoSpaceDE w:val="0"/>
        <w:autoSpaceDN w:val="0"/>
        <w:adjustRightInd w:val="0"/>
        <w:spacing w:before="120" w:after="120"/>
        <w:ind w:left="1080" w:firstLine="720"/>
        <w:rPr>
          <w:rFonts w:eastAsia="SimSun" w:cs="Arial"/>
          <w:sz w:val="20"/>
          <w:szCs w:val="20"/>
          <w:lang w:val="en-GB" w:eastAsia="zh-CN"/>
        </w:rPr>
      </w:pPr>
      <w:r w:rsidRPr="00F11DE3">
        <w:rPr>
          <w:rFonts w:eastAsia="SimSun" w:cs="Arial"/>
          <w:sz w:val="20"/>
          <w:szCs w:val="20"/>
          <w:lang w:val="en-GB" w:eastAsia="zh-CN"/>
        </w:rPr>
        <w:t>5.2.3.2 Critical review and gap analysis</w:t>
      </w:r>
    </w:p>
    <w:p w:rsidR="004E26B4" w:rsidRPr="00F11DE3" w:rsidRDefault="004E26B4" w:rsidP="00EF10BE">
      <w:pPr>
        <w:autoSpaceDE w:val="0"/>
        <w:autoSpaceDN w:val="0"/>
        <w:adjustRightInd w:val="0"/>
        <w:spacing w:before="120" w:after="120"/>
        <w:ind w:left="1080" w:firstLine="720"/>
        <w:rPr>
          <w:rFonts w:eastAsia="SimSun" w:cs="Arial"/>
          <w:i/>
          <w:color w:val="800080"/>
          <w:sz w:val="20"/>
          <w:szCs w:val="20"/>
          <w:lang w:val="en-GB" w:eastAsia="zh-CN"/>
        </w:rPr>
      </w:pPr>
      <w:r w:rsidRPr="00F11DE3">
        <w:rPr>
          <w:rFonts w:eastAsia="SimSun" w:cs="Arial"/>
          <w:sz w:val="20"/>
          <w:szCs w:val="20"/>
          <w:lang w:val="en-GB" w:eastAsia="zh-CN"/>
        </w:rPr>
        <w:t>5.2.3.3 Design studies</w:t>
      </w:r>
      <w:r w:rsidRPr="00F11DE3">
        <w:rPr>
          <w:rFonts w:eastAsia="SimSun" w:cs="Arial"/>
          <w:i/>
          <w:color w:val="800080"/>
          <w:sz w:val="20"/>
          <w:szCs w:val="20"/>
          <w:lang w:val="en-GB" w:eastAsia="zh-CN"/>
        </w:rPr>
        <w:tab/>
      </w:r>
      <w:r w:rsidRPr="00F11DE3">
        <w:rPr>
          <w:rFonts w:eastAsia="SimSun" w:cs="Arial"/>
          <w:i/>
          <w:color w:val="800080"/>
          <w:sz w:val="20"/>
          <w:szCs w:val="20"/>
          <w:lang w:val="en-GB" w:eastAsia="zh-CN"/>
        </w:rPr>
        <w:tab/>
      </w:r>
      <w:r w:rsidRPr="00F11DE3">
        <w:rPr>
          <w:rFonts w:eastAsia="SimSun" w:cs="Arial"/>
          <w:i/>
          <w:color w:val="800080"/>
          <w:sz w:val="20"/>
          <w:szCs w:val="20"/>
          <w:lang w:val="en-GB" w:eastAsia="zh-CN"/>
        </w:rPr>
        <w:tab/>
      </w:r>
      <w:r w:rsidRPr="00F11DE3">
        <w:rPr>
          <w:rFonts w:eastAsia="SimSun" w:cs="Arial"/>
          <w:i/>
          <w:color w:val="800080"/>
          <w:sz w:val="20"/>
          <w:szCs w:val="20"/>
          <w:lang w:val="en-GB" w:eastAsia="zh-CN"/>
        </w:rPr>
        <w:tab/>
      </w:r>
      <w:r w:rsidRPr="00F11DE3">
        <w:rPr>
          <w:rFonts w:eastAsia="SimSun" w:cs="Arial"/>
          <w:i/>
          <w:color w:val="800080"/>
          <w:sz w:val="20"/>
          <w:szCs w:val="20"/>
          <w:lang w:val="en-GB" w:eastAsia="zh-CN"/>
        </w:rPr>
        <w:tab/>
      </w:r>
      <w:r w:rsidRPr="00F11DE3">
        <w:rPr>
          <w:rFonts w:eastAsia="SimSun" w:cs="Arial"/>
          <w:i/>
          <w:color w:val="800080"/>
          <w:sz w:val="20"/>
          <w:szCs w:val="20"/>
          <w:lang w:val="en-GB" w:eastAsia="zh-CN"/>
        </w:rPr>
        <w:tab/>
      </w:r>
      <w:r w:rsidRPr="00F11DE3">
        <w:rPr>
          <w:rFonts w:eastAsia="SimSun" w:cs="Arial"/>
          <w:i/>
          <w:color w:val="800080"/>
          <w:sz w:val="20"/>
          <w:szCs w:val="20"/>
          <w:lang w:val="en-GB" w:eastAsia="zh-CN"/>
        </w:rPr>
        <w:tab/>
      </w:r>
      <w:r w:rsidRPr="00F11DE3">
        <w:rPr>
          <w:rFonts w:eastAsia="SimSun" w:cs="Arial"/>
          <w:i/>
          <w:color w:val="800080"/>
          <w:sz w:val="20"/>
          <w:szCs w:val="20"/>
          <w:lang w:val="en-GB" w:eastAsia="zh-CN"/>
        </w:rPr>
        <w:tab/>
      </w:r>
    </w:p>
    <w:p w:rsidR="004E26B4" w:rsidRPr="00F11DE3" w:rsidRDefault="004E26B4" w:rsidP="00EF10BE">
      <w:pPr>
        <w:widowControl/>
        <w:numPr>
          <w:ilvl w:val="2"/>
          <w:numId w:val="1"/>
        </w:numPr>
        <w:tabs>
          <w:tab w:val="clear" w:pos="5010"/>
        </w:tabs>
        <w:autoSpaceDE w:val="0"/>
        <w:autoSpaceDN w:val="0"/>
        <w:adjustRightInd w:val="0"/>
        <w:spacing w:before="120" w:after="120"/>
        <w:ind w:left="1800"/>
        <w:rPr>
          <w:rFonts w:cs="Arial"/>
          <w:i/>
          <w:color w:val="800080"/>
          <w:sz w:val="20"/>
          <w:szCs w:val="20"/>
          <w:lang w:val="en-GB"/>
        </w:rPr>
      </w:pPr>
      <w:r w:rsidRPr="00F11DE3">
        <w:rPr>
          <w:rFonts w:cs="Arial"/>
          <w:b/>
          <w:bCs/>
          <w:sz w:val="20"/>
          <w:szCs w:val="20"/>
          <w:lang w:val="en-GB"/>
        </w:rPr>
        <w:t>Vision for the WIGOS</w:t>
      </w:r>
      <w:r w:rsidRPr="00F11DE3">
        <w:rPr>
          <w:rFonts w:cs="Arial"/>
          <w:i/>
          <w:color w:val="800080"/>
          <w:sz w:val="20"/>
          <w:szCs w:val="20"/>
          <w:lang w:val="en-GB"/>
        </w:rPr>
        <w:tab/>
      </w:r>
    </w:p>
    <w:p w:rsidR="004E26B4" w:rsidRPr="00F11DE3" w:rsidRDefault="004E26B4" w:rsidP="00EF10BE">
      <w:pPr>
        <w:widowControl/>
        <w:numPr>
          <w:ilvl w:val="2"/>
          <w:numId w:val="1"/>
        </w:numPr>
        <w:tabs>
          <w:tab w:val="clear" w:pos="5010"/>
        </w:tabs>
        <w:autoSpaceDE w:val="0"/>
        <w:autoSpaceDN w:val="0"/>
        <w:adjustRightInd w:val="0"/>
        <w:spacing w:before="120" w:after="120"/>
        <w:ind w:left="1800"/>
        <w:rPr>
          <w:rFonts w:cs="Arial"/>
          <w:i/>
          <w:color w:val="800080"/>
          <w:sz w:val="20"/>
          <w:szCs w:val="20"/>
          <w:lang w:val="en-GB"/>
        </w:rPr>
      </w:pPr>
      <w:r w:rsidRPr="00F11DE3">
        <w:rPr>
          <w:rFonts w:cs="Arial"/>
          <w:b/>
          <w:bCs/>
          <w:sz w:val="20"/>
          <w:szCs w:val="20"/>
          <w:lang w:val="en-GB"/>
        </w:rPr>
        <w:t>Implementation Plan for the Evolution of WIGOS</w:t>
      </w:r>
    </w:p>
    <w:p w:rsidR="004E26B4" w:rsidRPr="00F11DE3" w:rsidRDefault="004E26B4" w:rsidP="00EF10BE">
      <w:pPr>
        <w:widowControl/>
        <w:numPr>
          <w:ilvl w:val="2"/>
          <w:numId w:val="1"/>
        </w:numPr>
        <w:tabs>
          <w:tab w:val="clear" w:pos="5010"/>
        </w:tabs>
        <w:autoSpaceDE w:val="0"/>
        <w:autoSpaceDN w:val="0"/>
        <w:adjustRightInd w:val="0"/>
        <w:spacing w:before="120" w:after="120"/>
        <w:ind w:left="1800"/>
        <w:rPr>
          <w:rFonts w:cs="Arial"/>
          <w:i/>
          <w:color w:val="800080"/>
          <w:sz w:val="20"/>
          <w:szCs w:val="20"/>
          <w:lang w:val="en-GB"/>
        </w:rPr>
      </w:pPr>
      <w:r w:rsidRPr="00F11DE3">
        <w:rPr>
          <w:rFonts w:cs="Arial"/>
          <w:b/>
          <w:bCs/>
          <w:sz w:val="20"/>
          <w:szCs w:val="20"/>
          <w:lang w:val="en-GB"/>
        </w:rPr>
        <w:t>Monitoring observing systems implementation</w:t>
      </w:r>
    </w:p>
    <w:p w:rsidR="004E26B4" w:rsidRPr="00F11DE3" w:rsidRDefault="004E26B4" w:rsidP="00EF10BE">
      <w:pPr>
        <w:widowControl/>
        <w:numPr>
          <w:ilvl w:val="1"/>
          <w:numId w:val="1"/>
        </w:numPr>
        <w:tabs>
          <w:tab w:val="clear" w:pos="495"/>
        </w:tabs>
        <w:autoSpaceDE w:val="0"/>
        <w:autoSpaceDN w:val="0"/>
        <w:adjustRightInd w:val="0"/>
        <w:spacing w:before="120" w:after="120"/>
        <w:ind w:left="1080"/>
        <w:rPr>
          <w:rFonts w:ascii="ArialMT" w:eastAsia="SimSun" w:hAnsi="ArialMT" w:cs="ArialMT"/>
          <w:b/>
          <w:bCs/>
          <w:lang w:val="en-GB" w:eastAsia="zh-CN"/>
        </w:rPr>
      </w:pPr>
      <w:r w:rsidRPr="00F11DE3">
        <w:rPr>
          <w:rFonts w:cs="Arial"/>
          <w:b/>
          <w:bCs/>
          <w:lang w:val="en-GB"/>
        </w:rPr>
        <w:t>Instrumentation and Methods of Observation</w:t>
      </w:r>
    </w:p>
    <w:p w:rsidR="004E26B4" w:rsidRDefault="004E26B4" w:rsidP="00EF10BE">
      <w:pPr>
        <w:widowControl/>
        <w:numPr>
          <w:ilvl w:val="2"/>
          <w:numId w:val="1"/>
        </w:numPr>
        <w:tabs>
          <w:tab w:val="clear" w:pos="5010"/>
          <w:tab w:val="num" w:pos="1080"/>
          <w:tab w:val="left" w:pos="1800"/>
        </w:tabs>
        <w:autoSpaceDE w:val="0"/>
        <w:autoSpaceDN w:val="0"/>
        <w:adjustRightInd w:val="0"/>
        <w:spacing w:before="120" w:after="120"/>
        <w:ind w:left="1080" w:firstLine="0"/>
        <w:rPr>
          <w:rFonts w:cs="StoneSerif"/>
          <w:b/>
          <w:sz w:val="20"/>
          <w:szCs w:val="20"/>
          <w:lang w:val="en-GB"/>
        </w:rPr>
      </w:pPr>
      <w:r w:rsidRPr="00F11DE3">
        <w:rPr>
          <w:rFonts w:cs="StoneSerif"/>
          <w:b/>
          <w:sz w:val="20"/>
          <w:szCs w:val="20"/>
          <w:lang w:val="en-GB"/>
        </w:rPr>
        <w:t>General requirements of Instruments/Sensor</w:t>
      </w:r>
    </w:p>
    <w:p w:rsidR="004E26B4" w:rsidRPr="002E4A05" w:rsidRDefault="004E26B4" w:rsidP="001D030F">
      <w:pPr>
        <w:widowControl/>
        <w:tabs>
          <w:tab w:val="num" w:pos="0"/>
          <w:tab w:val="left" w:pos="1800"/>
        </w:tabs>
        <w:autoSpaceDE w:val="0"/>
        <w:autoSpaceDN w:val="0"/>
        <w:adjustRightInd w:val="0"/>
        <w:spacing w:before="120" w:after="120"/>
        <w:ind w:left="1080"/>
        <w:rPr>
          <w:rFonts w:cs="StoneSerif"/>
          <w:sz w:val="20"/>
          <w:szCs w:val="20"/>
          <w:lang w:val="en-GB"/>
        </w:rPr>
      </w:pPr>
      <w:r w:rsidRPr="002E4A05">
        <w:rPr>
          <w:rFonts w:cs="StoneSerif"/>
          <w:sz w:val="20"/>
          <w:szCs w:val="20"/>
          <w:lang w:val="en-GB"/>
        </w:rPr>
        <w:t xml:space="preserve">Instruments and sensors </w:t>
      </w:r>
      <w:r>
        <w:rPr>
          <w:rFonts w:cs="StoneSerif"/>
          <w:sz w:val="20"/>
          <w:szCs w:val="20"/>
          <w:lang w:val="en-GB"/>
        </w:rPr>
        <w:t>suitable for use at GAW sites are defined by the SAGs for each parameter, in terms of stability, precision and accuracy.</w:t>
      </w:r>
    </w:p>
    <w:p w:rsidR="004E26B4" w:rsidRPr="009D3FA2" w:rsidRDefault="004E26B4" w:rsidP="00EF10BE">
      <w:pPr>
        <w:widowControl/>
        <w:numPr>
          <w:ilvl w:val="2"/>
          <w:numId w:val="1"/>
        </w:numPr>
        <w:tabs>
          <w:tab w:val="clear" w:pos="5010"/>
          <w:tab w:val="num" w:pos="1080"/>
          <w:tab w:val="left" w:pos="1800"/>
        </w:tabs>
        <w:autoSpaceDE w:val="0"/>
        <w:autoSpaceDN w:val="0"/>
        <w:adjustRightInd w:val="0"/>
        <w:spacing w:before="120" w:after="120"/>
        <w:ind w:left="1080" w:firstLine="0"/>
        <w:rPr>
          <w:rFonts w:cs="StoneSerif"/>
          <w:b/>
          <w:sz w:val="20"/>
          <w:szCs w:val="20"/>
          <w:lang w:val="en-GB"/>
        </w:rPr>
      </w:pPr>
      <w:r w:rsidRPr="00F11DE3">
        <w:rPr>
          <w:rFonts w:cs="StoneSerif"/>
          <w:b/>
          <w:sz w:val="20"/>
          <w:szCs w:val="20"/>
          <w:lang w:val="en-GB"/>
        </w:rPr>
        <w:t xml:space="preserve">General requirements of (Observing Systems) </w:t>
      </w:r>
      <w:r w:rsidRPr="00F11DE3">
        <w:rPr>
          <w:rFonts w:cs="StoneSerif"/>
          <w:b/>
          <w:sz w:val="16"/>
          <w:szCs w:val="16"/>
          <w:lang w:val="en-GB"/>
        </w:rPr>
        <w:t>– see "Definitions" section, use of this term needs to be clarified</w:t>
      </w:r>
    </w:p>
    <w:p w:rsidR="004E26B4" w:rsidRPr="006D02AA" w:rsidRDefault="004E26B4" w:rsidP="009D3FA2">
      <w:pPr>
        <w:widowControl/>
        <w:tabs>
          <w:tab w:val="num" w:pos="1080"/>
          <w:tab w:val="left" w:pos="1800"/>
        </w:tabs>
        <w:autoSpaceDE w:val="0"/>
        <w:autoSpaceDN w:val="0"/>
        <w:adjustRightInd w:val="0"/>
        <w:spacing w:before="120" w:after="120"/>
        <w:ind w:left="1080"/>
        <w:rPr>
          <w:rFonts w:cs="StoneSerif"/>
          <w:sz w:val="20"/>
          <w:szCs w:val="20"/>
          <w:lang w:val="en-GB"/>
        </w:rPr>
      </w:pPr>
      <w:r w:rsidRPr="006D02AA">
        <w:rPr>
          <w:rFonts w:cs="StoneSerif"/>
          <w:sz w:val="20"/>
          <w:szCs w:val="20"/>
          <w:lang w:val="en-GB"/>
        </w:rPr>
        <w:t>Since the GAW mission is to identify change the primary requirement of observing systems is stability and continuity, and a commitment to maintain high quality data collection for a prolonged period.</w:t>
      </w:r>
    </w:p>
    <w:p w:rsidR="004E26B4" w:rsidRPr="00DE4AB1" w:rsidRDefault="004E26B4" w:rsidP="00EF10BE">
      <w:pPr>
        <w:widowControl/>
        <w:numPr>
          <w:ilvl w:val="2"/>
          <w:numId w:val="1"/>
        </w:numPr>
        <w:tabs>
          <w:tab w:val="clear" w:pos="5010"/>
          <w:tab w:val="num" w:pos="1080"/>
          <w:tab w:val="left" w:pos="1800"/>
        </w:tabs>
        <w:autoSpaceDE w:val="0"/>
        <w:autoSpaceDN w:val="0"/>
        <w:adjustRightInd w:val="0"/>
        <w:spacing w:before="120" w:after="120"/>
        <w:ind w:left="1080" w:firstLine="0"/>
        <w:rPr>
          <w:rFonts w:cs="StoneSerif"/>
          <w:b/>
          <w:sz w:val="20"/>
          <w:szCs w:val="20"/>
          <w:lang w:val="en-GB"/>
        </w:rPr>
      </w:pPr>
      <w:r w:rsidRPr="00F11DE3">
        <w:rPr>
          <w:rFonts w:ascii="ArialMT" w:eastAsia="SimSun" w:hAnsi="ArialMT" w:cs="ArialMT"/>
          <w:b/>
          <w:bCs/>
          <w:sz w:val="20"/>
          <w:szCs w:val="20"/>
          <w:lang w:val="en-GB" w:eastAsia="zh-CN"/>
        </w:rPr>
        <w:t>Calibration and Traceability</w:t>
      </w:r>
    </w:p>
    <w:p w:rsidR="004E26B4" w:rsidRPr="00DE4AB1" w:rsidRDefault="004E26B4" w:rsidP="00DE4AB1">
      <w:pPr>
        <w:widowControl/>
        <w:numPr>
          <w:ilvl w:val="0"/>
          <w:numId w:val="2"/>
        </w:numPr>
        <w:spacing w:before="100" w:beforeAutospacing="1" w:after="100" w:afterAutospacing="1"/>
        <w:ind w:left="0"/>
        <w:rPr>
          <w:rFonts w:cs="Arial"/>
          <w:color w:val="000000"/>
          <w:sz w:val="20"/>
          <w:szCs w:val="20"/>
          <w:lang w:val="en-GB" w:eastAsia="en-GB"/>
        </w:rPr>
      </w:pPr>
      <w:r>
        <w:rPr>
          <w:rFonts w:cs="Arial"/>
          <w:color w:val="000000"/>
          <w:sz w:val="20"/>
          <w:szCs w:val="20"/>
          <w:lang w:val="en-GB" w:eastAsia="en-GB"/>
        </w:rPr>
        <w:tab/>
      </w:r>
      <w:r w:rsidRPr="00DE4AB1">
        <w:rPr>
          <w:rFonts w:cs="Arial"/>
          <w:color w:val="000000"/>
          <w:sz w:val="20"/>
          <w:szCs w:val="20"/>
          <w:lang w:val="en-GB" w:eastAsia="en-GB"/>
        </w:rPr>
        <w:t>22 Central Calibration Laboratories (CCLs) and World and Regional Calibration Centres</w:t>
      </w:r>
      <w:r w:rsidRPr="00DE4AB1">
        <w:rPr>
          <w:rFonts w:cs="Arial"/>
          <w:color w:val="000000"/>
          <w:sz w:val="20"/>
          <w:szCs w:val="20"/>
          <w:lang w:val="en-GB" w:eastAsia="en-GB"/>
        </w:rPr>
        <w:br/>
      </w:r>
      <w:r>
        <w:rPr>
          <w:rFonts w:cs="Arial"/>
          <w:color w:val="000000"/>
          <w:sz w:val="20"/>
          <w:szCs w:val="20"/>
          <w:lang w:val="en-GB" w:eastAsia="en-GB"/>
        </w:rPr>
        <w:tab/>
      </w:r>
      <w:r w:rsidRPr="00DE4AB1">
        <w:rPr>
          <w:rFonts w:cs="Arial"/>
          <w:color w:val="000000"/>
          <w:sz w:val="20"/>
          <w:szCs w:val="20"/>
          <w:lang w:val="en-GB" w:eastAsia="en-GB"/>
        </w:rPr>
        <w:t>(WCCs, RCCs) maintain calibration standards and provide instrument calibrations and</w:t>
      </w:r>
      <w:r w:rsidRPr="00DE4AB1">
        <w:rPr>
          <w:rFonts w:cs="Arial"/>
          <w:color w:val="000000"/>
          <w:sz w:val="20"/>
          <w:szCs w:val="20"/>
          <w:lang w:val="en-GB" w:eastAsia="en-GB"/>
        </w:rPr>
        <w:br/>
      </w:r>
      <w:r>
        <w:rPr>
          <w:rFonts w:cs="Arial"/>
          <w:color w:val="000000"/>
          <w:sz w:val="20"/>
          <w:szCs w:val="20"/>
          <w:lang w:val="en-GB" w:eastAsia="en-GB"/>
        </w:rPr>
        <w:tab/>
      </w:r>
      <w:r w:rsidRPr="00DE4AB1">
        <w:rPr>
          <w:rFonts w:cs="Arial"/>
          <w:color w:val="000000"/>
          <w:sz w:val="20"/>
          <w:szCs w:val="20"/>
          <w:lang w:val="en-GB" w:eastAsia="en-GB"/>
        </w:rPr>
        <w:t>training to the stations.</w:t>
      </w:r>
    </w:p>
    <w:p w:rsidR="004E26B4" w:rsidRPr="00DE4AB1" w:rsidRDefault="004E26B4" w:rsidP="00EF10BE">
      <w:pPr>
        <w:widowControl/>
        <w:numPr>
          <w:ilvl w:val="2"/>
          <w:numId w:val="1"/>
        </w:numPr>
        <w:tabs>
          <w:tab w:val="clear" w:pos="5010"/>
          <w:tab w:val="num" w:pos="1080"/>
          <w:tab w:val="left" w:pos="1800"/>
        </w:tabs>
        <w:autoSpaceDE w:val="0"/>
        <w:autoSpaceDN w:val="0"/>
        <w:adjustRightInd w:val="0"/>
        <w:spacing w:before="120" w:after="120"/>
        <w:ind w:left="1080" w:firstLine="0"/>
        <w:rPr>
          <w:rFonts w:cs="StoneSerif"/>
          <w:b/>
          <w:sz w:val="20"/>
          <w:szCs w:val="20"/>
          <w:lang w:val="en-GB"/>
        </w:rPr>
      </w:pPr>
      <w:r w:rsidRPr="00F11DE3">
        <w:rPr>
          <w:rFonts w:cs="Arial"/>
          <w:b/>
          <w:bCs/>
          <w:sz w:val="20"/>
          <w:szCs w:val="20"/>
          <w:lang w:val="en-GB"/>
        </w:rPr>
        <w:t>Data and Metadata representation and format</w:t>
      </w:r>
    </w:p>
    <w:p w:rsidR="004E26B4" w:rsidRPr="00DE4AB1" w:rsidRDefault="004E26B4" w:rsidP="00DE4AB1">
      <w:pPr>
        <w:widowControl/>
        <w:numPr>
          <w:ilvl w:val="0"/>
          <w:numId w:val="2"/>
        </w:numPr>
        <w:spacing w:before="100" w:beforeAutospacing="1" w:after="100" w:afterAutospacing="1"/>
        <w:ind w:left="0"/>
        <w:rPr>
          <w:rFonts w:cs="Arial"/>
          <w:color w:val="000000"/>
          <w:sz w:val="20"/>
          <w:szCs w:val="20"/>
          <w:lang w:val="en-GB" w:eastAsia="en-GB"/>
        </w:rPr>
      </w:pPr>
      <w:r>
        <w:rPr>
          <w:rFonts w:cs="Arial"/>
          <w:color w:val="000000"/>
          <w:sz w:val="20"/>
          <w:szCs w:val="20"/>
          <w:lang w:val="en-GB" w:eastAsia="en-GB"/>
        </w:rPr>
        <w:tab/>
      </w:r>
      <w:r w:rsidRPr="00DE4AB1">
        <w:rPr>
          <w:rFonts w:cs="Arial"/>
          <w:color w:val="000000"/>
          <w:sz w:val="20"/>
          <w:szCs w:val="20"/>
          <w:lang w:val="en-GB" w:eastAsia="en-GB"/>
        </w:rPr>
        <w:t xml:space="preserve">6 World Data Centres archive the observational data and metadata, which are integrated by </w:t>
      </w:r>
      <w:r>
        <w:rPr>
          <w:rFonts w:cs="Arial"/>
          <w:color w:val="000000"/>
          <w:sz w:val="20"/>
          <w:szCs w:val="20"/>
          <w:lang w:val="en-GB" w:eastAsia="en-GB"/>
        </w:rPr>
        <w:tab/>
      </w:r>
      <w:r w:rsidRPr="00DE4AB1">
        <w:rPr>
          <w:rFonts w:cs="Arial"/>
          <w:color w:val="000000"/>
          <w:sz w:val="20"/>
          <w:szCs w:val="20"/>
          <w:lang w:val="en-GB" w:eastAsia="en-GB"/>
        </w:rPr>
        <w:t>the GAW Station Information System (GAWSIS).</w:t>
      </w:r>
      <w:r>
        <w:rPr>
          <w:rFonts w:cs="Arial"/>
          <w:color w:val="000000"/>
          <w:sz w:val="20"/>
          <w:szCs w:val="20"/>
          <w:lang w:val="en-GB" w:eastAsia="en-GB"/>
        </w:rPr>
        <w:t xml:space="preserve"> The data format for measurements of each </w:t>
      </w:r>
      <w:r>
        <w:rPr>
          <w:rFonts w:cs="Arial"/>
          <w:color w:val="000000"/>
          <w:sz w:val="20"/>
          <w:szCs w:val="20"/>
          <w:lang w:val="en-GB" w:eastAsia="en-GB"/>
        </w:rPr>
        <w:tab/>
        <w:t>parameter is defined by the associated data centre.</w:t>
      </w:r>
    </w:p>
    <w:p w:rsidR="004E26B4" w:rsidRDefault="004E26B4" w:rsidP="00EF10BE">
      <w:pPr>
        <w:widowControl/>
        <w:numPr>
          <w:ilvl w:val="2"/>
          <w:numId w:val="1"/>
        </w:numPr>
        <w:tabs>
          <w:tab w:val="clear" w:pos="5010"/>
          <w:tab w:val="num" w:pos="1080"/>
          <w:tab w:val="left" w:pos="1800"/>
        </w:tabs>
        <w:autoSpaceDE w:val="0"/>
        <w:autoSpaceDN w:val="0"/>
        <w:adjustRightInd w:val="0"/>
        <w:spacing w:before="120" w:after="120"/>
        <w:ind w:left="1080" w:firstLine="0"/>
        <w:rPr>
          <w:rFonts w:cs="StoneSerif"/>
          <w:b/>
          <w:sz w:val="20"/>
          <w:szCs w:val="20"/>
          <w:lang w:val="en-GB"/>
        </w:rPr>
      </w:pPr>
      <w:r w:rsidRPr="00F11DE3">
        <w:rPr>
          <w:rFonts w:cs="StoneSerif"/>
          <w:b/>
          <w:sz w:val="20"/>
          <w:szCs w:val="20"/>
          <w:lang w:val="en-GB"/>
        </w:rPr>
        <w:t>General requirements of a meteorological station/platform</w:t>
      </w:r>
    </w:p>
    <w:p w:rsidR="004E26B4" w:rsidRDefault="004E26B4" w:rsidP="00410825">
      <w:pPr>
        <w:widowControl/>
        <w:tabs>
          <w:tab w:val="num" w:pos="1080"/>
          <w:tab w:val="left" w:pos="1800"/>
        </w:tabs>
        <w:autoSpaceDE w:val="0"/>
        <w:autoSpaceDN w:val="0"/>
        <w:adjustRightInd w:val="0"/>
        <w:spacing w:before="120" w:after="120"/>
        <w:ind w:left="1080"/>
        <w:rPr>
          <w:rFonts w:cs="StoneSerif"/>
          <w:sz w:val="20"/>
          <w:szCs w:val="20"/>
          <w:lang w:val="en-GB"/>
        </w:rPr>
      </w:pPr>
      <w:r w:rsidRPr="00410825">
        <w:rPr>
          <w:rFonts w:cs="StoneSerif"/>
          <w:sz w:val="20"/>
          <w:szCs w:val="20"/>
          <w:lang w:val="en-GB"/>
        </w:rPr>
        <w:t>Stations fall into 3 categories</w:t>
      </w:r>
      <w:r>
        <w:rPr>
          <w:rFonts w:cs="StoneSerif"/>
          <w:sz w:val="20"/>
          <w:szCs w:val="20"/>
          <w:lang w:val="en-GB"/>
        </w:rPr>
        <w:t>: Global, Regional and Contributing.</w:t>
      </w:r>
    </w:p>
    <w:p w:rsidR="004E26B4" w:rsidRDefault="004E26B4" w:rsidP="00CF5072">
      <w:pPr>
        <w:widowControl/>
        <w:tabs>
          <w:tab w:val="num" w:pos="1080"/>
          <w:tab w:val="left" w:pos="1800"/>
        </w:tabs>
        <w:autoSpaceDE w:val="0"/>
        <w:autoSpaceDN w:val="0"/>
        <w:adjustRightInd w:val="0"/>
        <w:spacing w:before="120" w:after="120"/>
        <w:ind w:left="1080"/>
        <w:rPr>
          <w:rFonts w:cs="StoneSerif"/>
          <w:b/>
          <w:bCs/>
          <w:sz w:val="20"/>
          <w:szCs w:val="20"/>
          <w:lang w:val="en-GB"/>
        </w:rPr>
      </w:pPr>
      <w:r w:rsidRPr="00CF5072">
        <w:rPr>
          <w:rFonts w:cs="StoneSerif"/>
          <w:b/>
          <w:bCs/>
          <w:sz w:val="20"/>
          <w:szCs w:val="20"/>
          <w:lang w:val="en-GB"/>
        </w:rPr>
        <w:t xml:space="preserve">Essential Characteristics of a GAW </w:t>
      </w:r>
      <w:r w:rsidRPr="00CF5072">
        <w:rPr>
          <w:rFonts w:cs="StoneSerif"/>
          <w:b/>
          <w:bCs/>
          <w:i/>
          <w:iCs/>
          <w:sz w:val="20"/>
          <w:szCs w:val="20"/>
          <w:lang w:val="en-GB"/>
        </w:rPr>
        <w:t xml:space="preserve">Regional </w:t>
      </w:r>
      <w:r w:rsidRPr="00CF5072">
        <w:rPr>
          <w:rFonts w:cs="StoneSerif"/>
          <w:b/>
          <w:bCs/>
          <w:sz w:val="20"/>
          <w:szCs w:val="20"/>
          <w:lang w:val="en-GB"/>
        </w:rPr>
        <w:t xml:space="preserve">or </w:t>
      </w:r>
      <w:r w:rsidRPr="00CF5072">
        <w:rPr>
          <w:rFonts w:cs="StoneSerif"/>
          <w:b/>
          <w:bCs/>
          <w:i/>
          <w:iCs/>
          <w:sz w:val="20"/>
          <w:szCs w:val="20"/>
          <w:lang w:val="en-GB"/>
        </w:rPr>
        <w:t xml:space="preserve">Contributing </w:t>
      </w:r>
      <w:r w:rsidRPr="00CF5072">
        <w:rPr>
          <w:rFonts w:cs="StoneSerif"/>
          <w:b/>
          <w:bCs/>
          <w:sz w:val="20"/>
          <w:szCs w:val="20"/>
          <w:lang w:val="en-GB"/>
        </w:rPr>
        <w:t xml:space="preserve">Station </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1. The station location is chosen such that, for the variables measured, it is regionally representative and is normally free of the influence of significant local pollution sources.</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2. There are adequate power, air conditioning, communication and building facilities to sustain long term observations with greater than 90% data capture (i.e. &lt;10% missing data).</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3. The technical support provided is trained in the operation of the equipment.</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4. There is a commitment by the responsible agency to long term observations of at least one of the GAW variables in the GAW focal areas (ozone, aerosols, greenhouse gases, reactive gases, UV radiation, precipitation chemistry).</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5. The GAW observation made is of known quality and linked to the GAW Primary Standard.</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6. The data and associated metadata are submitted to one of the GAW World Data Centres no later than one year after the observation is made. Changes of metadata including instrumentation, traceability, observation procedures, are reported to the responsible WDC in a timely manner.</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7. If required, data are submitted to a designated data distribution system in near-real-time.</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 xml:space="preserve">8. Standard meteorological </w:t>
      </w:r>
      <w:r w:rsidRPr="00CF5072">
        <w:rPr>
          <w:rFonts w:cs="StoneSerif"/>
          <w:i/>
          <w:iCs/>
          <w:sz w:val="20"/>
          <w:szCs w:val="20"/>
          <w:lang w:val="en-GB"/>
        </w:rPr>
        <w:t xml:space="preserve">in situ </w:t>
      </w:r>
      <w:r w:rsidRPr="00CF5072">
        <w:rPr>
          <w:rFonts w:cs="StoneSerif"/>
          <w:sz w:val="20"/>
          <w:szCs w:val="20"/>
          <w:lang w:val="en-GB"/>
        </w:rPr>
        <w:t>observations, necessary for the accurate determination and interpretation of the GAW variables, are made with known accuracy and precision.</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9. The station characteristics and observational programme are updated in the GAW Station Information System (GAWSIS) on a regular basis.</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10. A station logbook (i.e. record of observations made and activities that may affect observations) is maintained and is used in the data validation process.</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b/>
          <w:bCs/>
          <w:sz w:val="20"/>
          <w:szCs w:val="20"/>
          <w:lang w:val="en-GB"/>
        </w:rPr>
        <w:t xml:space="preserve">Additional Essential Characteristics Needed for a GAW </w:t>
      </w:r>
      <w:r w:rsidRPr="00CF5072">
        <w:rPr>
          <w:rFonts w:cs="StoneSerif"/>
          <w:b/>
          <w:bCs/>
          <w:i/>
          <w:iCs/>
          <w:sz w:val="20"/>
          <w:szCs w:val="20"/>
          <w:lang w:val="en-GB"/>
        </w:rPr>
        <w:t xml:space="preserve">Global </w:t>
      </w:r>
      <w:r w:rsidRPr="00CF5072">
        <w:rPr>
          <w:rFonts w:cs="StoneSerif"/>
          <w:b/>
          <w:bCs/>
          <w:sz w:val="20"/>
          <w:szCs w:val="20"/>
          <w:lang w:val="en-GB"/>
        </w:rPr>
        <w:t xml:space="preserve">Station </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In addition to the characteristics of Regional or Contributing stations, a GAW Global station should fulfill the following additional requirements, namely</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11. Measure variables in at least three of the six GAW focal areas.</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12. Have a strong scientific supporting programme with appropriate data analysis and interpretation within the country and, if possible, the support of more than one agency.</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13. Make measurements of other atmospheric variables important to weather and climate including upper air radio sondes at the site or in the region.</w:t>
      </w:r>
    </w:p>
    <w:p w:rsidR="004E26B4" w:rsidRPr="00CF5072" w:rsidRDefault="004E26B4" w:rsidP="00CF5072">
      <w:pPr>
        <w:widowControl/>
        <w:tabs>
          <w:tab w:val="num" w:pos="1080"/>
          <w:tab w:val="left" w:pos="1800"/>
        </w:tabs>
        <w:autoSpaceDE w:val="0"/>
        <w:autoSpaceDN w:val="0"/>
        <w:adjustRightInd w:val="0"/>
        <w:spacing w:before="120" w:after="120"/>
        <w:ind w:left="1080"/>
        <w:rPr>
          <w:rFonts w:cs="StoneSerif"/>
          <w:sz w:val="20"/>
          <w:szCs w:val="20"/>
          <w:lang w:val="en-GB"/>
        </w:rPr>
      </w:pPr>
      <w:r w:rsidRPr="00CF5072">
        <w:rPr>
          <w:rFonts w:cs="StoneSerif"/>
          <w:sz w:val="20"/>
          <w:szCs w:val="20"/>
          <w:lang w:val="en-GB"/>
        </w:rPr>
        <w:t>14. Provide a facility at which intensive campaign research can augment the long term routine GAW observations and where testing and development of new GAW methods can be undertaken.</w:t>
      </w:r>
    </w:p>
    <w:p w:rsidR="004E26B4" w:rsidRPr="00410825" w:rsidRDefault="004E26B4" w:rsidP="00410825">
      <w:pPr>
        <w:widowControl/>
        <w:tabs>
          <w:tab w:val="num" w:pos="1080"/>
          <w:tab w:val="left" w:pos="1800"/>
        </w:tabs>
        <w:autoSpaceDE w:val="0"/>
        <w:autoSpaceDN w:val="0"/>
        <w:adjustRightInd w:val="0"/>
        <w:spacing w:before="120" w:after="120"/>
        <w:ind w:left="1080"/>
        <w:rPr>
          <w:rFonts w:cs="StoneSerif"/>
          <w:sz w:val="20"/>
          <w:szCs w:val="20"/>
          <w:lang w:val="en-GB"/>
        </w:rPr>
      </w:pPr>
    </w:p>
    <w:p w:rsidR="004E26B4" w:rsidRPr="00F11DE3" w:rsidRDefault="004E26B4" w:rsidP="00EF10BE">
      <w:pPr>
        <w:widowControl/>
        <w:numPr>
          <w:ilvl w:val="2"/>
          <w:numId w:val="1"/>
        </w:numPr>
        <w:tabs>
          <w:tab w:val="clear" w:pos="5010"/>
          <w:tab w:val="num" w:pos="1080"/>
          <w:tab w:val="left" w:pos="1800"/>
        </w:tabs>
        <w:autoSpaceDE w:val="0"/>
        <w:autoSpaceDN w:val="0"/>
        <w:adjustRightInd w:val="0"/>
        <w:spacing w:before="120" w:after="120"/>
        <w:ind w:left="1080" w:firstLine="0"/>
        <w:rPr>
          <w:rFonts w:cs="StoneSerif"/>
          <w:b/>
          <w:sz w:val="20"/>
          <w:szCs w:val="20"/>
          <w:lang w:val="en-GB"/>
        </w:rPr>
      </w:pPr>
      <w:r w:rsidRPr="00F11DE3">
        <w:rPr>
          <w:rFonts w:cs="StoneSerif"/>
          <w:b/>
          <w:sz w:val="20"/>
          <w:szCs w:val="20"/>
          <w:lang w:val="en-GB"/>
        </w:rPr>
        <w:t>Methods of Observation</w:t>
      </w:r>
    </w:p>
    <w:p w:rsidR="004E26B4" w:rsidRPr="00F11DE3" w:rsidRDefault="004E26B4" w:rsidP="00EF10BE">
      <w:pPr>
        <w:tabs>
          <w:tab w:val="left" w:pos="1800"/>
        </w:tabs>
        <w:autoSpaceDE w:val="0"/>
        <w:autoSpaceDN w:val="0"/>
        <w:adjustRightInd w:val="0"/>
        <w:spacing w:before="120" w:after="120"/>
        <w:ind w:left="1080"/>
        <w:rPr>
          <w:rFonts w:cs="Arial"/>
          <w:b/>
          <w:bCs/>
          <w:sz w:val="20"/>
          <w:szCs w:val="20"/>
          <w:lang w:val="en-GB"/>
        </w:rPr>
      </w:pPr>
    </w:p>
    <w:p w:rsidR="004E26B4" w:rsidRPr="00F11DE3" w:rsidRDefault="004E26B4" w:rsidP="00EF10BE">
      <w:pPr>
        <w:widowControl/>
        <w:numPr>
          <w:ilvl w:val="1"/>
          <w:numId w:val="1"/>
        </w:numPr>
        <w:tabs>
          <w:tab w:val="clear" w:pos="495"/>
        </w:tabs>
        <w:autoSpaceDE w:val="0"/>
        <w:autoSpaceDN w:val="0"/>
        <w:adjustRightInd w:val="0"/>
        <w:spacing w:before="120" w:after="120"/>
        <w:ind w:left="1080"/>
        <w:rPr>
          <w:rFonts w:ascii="ArialMT" w:eastAsia="SimSun" w:hAnsi="ArialMT" w:cs="ArialMT"/>
          <w:b/>
          <w:bCs/>
          <w:lang w:val="en-GB" w:eastAsia="zh-CN"/>
        </w:rPr>
      </w:pPr>
      <w:r w:rsidRPr="00F11DE3">
        <w:rPr>
          <w:rFonts w:cs="Arial"/>
          <w:b/>
          <w:bCs/>
          <w:lang w:val="en-GB"/>
        </w:rPr>
        <w:t xml:space="preserve">Operations    </w:t>
      </w:r>
      <w:r w:rsidRPr="00F11DE3">
        <w:rPr>
          <w:rFonts w:cs="Arial"/>
          <w:b/>
          <w:bCs/>
          <w:lang w:val="en-GB"/>
        </w:rPr>
        <w:tab/>
      </w:r>
      <w:r w:rsidRPr="00F11DE3">
        <w:rPr>
          <w:rFonts w:cs="Arial"/>
          <w:b/>
          <w:bCs/>
          <w:lang w:val="en-GB"/>
        </w:rPr>
        <w:tab/>
      </w:r>
      <w:r w:rsidRPr="00F11DE3">
        <w:rPr>
          <w:rFonts w:cs="Arial"/>
          <w:b/>
          <w:bCs/>
          <w:lang w:val="en-GB"/>
        </w:rPr>
        <w:tab/>
      </w:r>
      <w:r w:rsidRPr="00F11DE3">
        <w:rPr>
          <w:rFonts w:cs="Arial"/>
          <w:b/>
          <w:bCs/>
          <w:lang w:val="en-GB"/>
        </w:rPr>
        <w:tab/>
      </w:r>
      <w:r w:rsidRPr="00F11DE3">
        <w:rPr>
          <w:rFonts w:cs="Arial"/>
          <w:b/>
          <w:bCs/>
          <w:lang w:val="en-GB"/>
        </w:rPr>
        <w:tab/>
      </w:r>
      <w:r w:rsidRPr="00F11DE3">
        <w:rPr>
          <w:rFonts w:cs="Arial"/>
          <w:b/>
          <w:bCs/>
          <w:lang w:val="en-GB"/>
        </w:rPr>
        <w:tab/>
      </w:r>
    </w:p>
    <w:p w:rsidR="004E26B4" w:rsidRPr="00156AFF" w:rsidRDefault="004E26B4" w:rsidP="00EF10BE">
      <w:pPr>
        <w:widowControl/>
        <w:numPr>
          <w:ilvl w:val="2"/>
          <w:numId w:val="1"/>
        </w:numPr>
        <w:tabs>
          <w:tab w:val="clear" w:pos="5010"/>
        </w:tabs>
        <w:autoSpaceDE w:val="0"/>
        <w:autoSpaceDN w:val="0"/>
        <w:adjustRightInd w:val="0"/>
        <w:spacing w:before="120" w:after="120"/>
        <w:ind w:left="1800"/>
        <w:rPr>
          <w:rFonts w:eastAsia="SimSun" w:cs="Arial"/>
          <w:sz w:val="20"/>
          <w:szCs w:val="20"/>
          <w:lang w:val="en-GB" w:eastAsia="zh-CN"/>
        </w:rPr>
      </w:pPr>
      <w:r w:rsidRPr="00F11DE3">
        <w:rPr>
          <w:rFonts w:cs="Arial"/>
          <w:b/>
          <w:bCs/>
          <w:sz w:val="20"/>
          <w:szCs w:val="20"/>
          <w:lang w:val="en-GB"/>
        </w:rPr>
        <w:t>Observing Practices</w:t>
      </w:r>
    </w:p>
    <w:p w:rsidR="004E26B4" w:rsidRPr="00F11DE3" w:rsidRDefault="004E26B4" w:rsidP="00156AFF">
      <w:pPr>
        <w:widowControl/>
        <w:autoSpaceDE w:val="0"/>
        <w:autoSpaceDN w:val="0"/>
        <w:adjustRightInd w:val="0"/>
        <w:spacing w:before="120" w:after="120"/>
        <w:ind w:left="1800"/>
        <w:rPr>
          <w:rFonts w:eastAsia="SimSun" w:cs="Arial"/>
          <w:sz w:val="20"/>
          <w:szCs w:val="20"/>
          <w:lang w:val="en-GB" w:eastAsia="zh-CN"/>
        </w:rPr>
      </w:pPr>
      <w:r>
        <w:rPr>
          <w:rFonts w:ascii="ArialMT" w:eastAsia="SimSun" w:hAnsi="ArialMT" w:cs="ArialMT"/>
          <w:bCs/>
          <w:sz w:val="20"/>
          <w:szCs w:val="20"/>
          <w:lang w:val="en-GB" w:eastAsia="zh-CN"/>
        </w:rPr>
        <w:t>Members shall follow procedures specified in the GAW Standard Operational Procedures (SOPs) and Guidelines</w:t>
      </w:r>
    </w:p>
    <w:p w:rsidR="004E26B4" w:rsidRPr="00156AFF" w:rsidRDefault="004E26B4" w:rsidP="00EF10BE">
      <w:pPr>
        <w:widowControl/>
        <w:numPr>
          <w:ilvl w:val="2"/>
          <w:numId w:val="1"/>
        </w:numPr>
        <w:tabs>
          <w:tab w:val="clear" w:pos="5010"/>
        </w:tabs>
        <w:autoSpaceDE w:val="0"/>
        <w:autoSpaceDN w:val="0"/>
        <w:adjustRightInd w:val="0"/>
        <w:spacing w:before="120" w:after="120"/>
        <w:ind w:left="1800"/>
        <w:rPr>
          <w:rFonts w:eastAsia="SimSun" w:cs="Arial"/>
          <w:sz w:val="20"/>
          <w:szCs w:val="20"/>
          <w:lang w:val="en-GB" w:eastAsia="zh-CN"/>
        </w:rPr>
      </w:pPr>
      <w:r w:rsidRPr="00F11DE3">
        <w:rPr>
          <w:rFonts w:ascii="ArialMT" w:eastAsia="SimSun" w:hAnsi="ArialMT" w:cs="ArialMT"/>
          <w:b/>
          <w:bCs/>
          <w:sz w:val="20"/>
          <w:szCs w:val="20"/>
          <w:lang w:val="en-GB" w:eastAsia="zh-CN"/>
        </w:rPr>
        <w:t>Quality Assurance/Control/Monitoring/Evaluation</w:t>
      </w:r>
    </w:p>
    <w:p w:rsidR="004E26B4" w:rsidRPr="00F11DE3" w:rsidRDefault="004E26B4" w:rsidP="00B6415F">
      <w:pPr>
        <w:widowControl/>
        <w:autoSpaceDE w:val="0"/>
        <w:autoSpaceDN w:val="0"/>
        <w:adjustRightInd w:val="0"/>
        <w:spacing w:before="120" w:after="120"/>
        <w:ind w:left="1800"/>
        <w:rPr>
          <w:rFonts w:eastAsia="SimSun" w:cs="Arial"/>
          <w:sz w:val="20"/>
          <w:szCs w:val="20"/>
          <w:lang w:val="en-GB" w:eastAsia="zh-CN"/>
        </w:rPr>
      </w:pPr>
      <w:r>
        <w:rPr>
          <w:rFonts w:ascii="ArialMT" w:eastAsia="SimSun" w:hAnsi="ArialMT" w:cs="ArialMT"/>
          <w:bCs/>
          <w:sz w:val="20"/>
          <w:szCs w:val="20"/>
          <w:lang w:val="en-GB" w:eastAsia="zh-CN"/>
        </w:rPr>
        <w:t xml:space="preserve">Members should follow procedures specified in the GAW Standard Operational Procedures (SOPs) and Guidelines, and further documents provided by the SAGs and </w:t>
      </w:r>
      <w:r w:rsidRPr="00B6415F">
        <w:rPr>
          <w:rFonts w:ascii="ArialMT" w:eastAsia="SimSun" w:hAnsi="ArialMT" w:cs="ArialMT"/>
          <w:bCs/>
          <w:sz w:val="20"/>
          <w:szCs w:val="20"/>
          <w:lang w:val="en-GB" w:eastAsia="zh-CN"/>
        </w:rPr>
        <w:t>Quality Assurance/Science Activity Centres (QA/SACs) which perform network-wide data quality and science-related functions.</w:t>
      </w:r>
      <w:r>
        <w:rPr>
          <w:rFonts w:ascii="ArialMT" w:eastAsia="SimSun" w:hAnsi="ArialMT" w:cs="ArialMT"/>
          <w:bCs/>
          <w:sz w:val="20"/>
          <w:szCs w:val="20"/>
          <w:lang w:val="en-GB" w:eastAsia="zh-CN"/>
        </w:rPr>
        <w:t xml:space="preserve"> Members should ensure that calibrations are traceable to GAW calibration centres, where available. Members shall permit WDCs to provide further quality evaluation.</w:t>
      </w:r>
    </w:p>
    <w:p w:rsidR="004E26B4" w:rsidRDefault="004E26B4" w:rsidP="00292CDE">
      <w:pPr>
        <w:widowControl/>
        <w:numPr>
          <w:ilvl w:val="2"/>
          <w:numId w:val="1"/>
        </w:numPr>
        <w:tabs>
          <w:tab w:val="clear" w:pos="5010"/>
        </w:tabs>
        <w:autoSpaceDE w:val="0"/>
        <w:autoSpaceDN w:val="0"/>
        <w:adjustRightInd w:val="0"/>
        <w:spacing w:before="120" w:after="120"/>
        <w:ind w:left="1800"/>
        <w:rPr>
          <w:rFonts w:eastAsia="SimSun" w:cs="Arial"/>
          <w:sz w:val="20"/>
          <w:szCs w:val="20"/>
          <w:lang w:val="en-GB" w:eastAsia="zh-CN"/>
        </w:rPr>
      </w:pPr>
      <w:r w:rsidRPr="00F11DE3">
        <w:rPr>
          <w:rFonts w:cs="Arial"/>
          <w:b/>
          <w:bCs/>
          <w:sz w:val="20"/>
          <w:szCs w:val="20"/>
          <w:lang w:val="en-GB"/>
        </w:rPr>
        <w:t>Data and Metadata Reporting</w:t>
      </w:r>
    </w:p>
    <w:p w:rsidR="004E26B4" w:rsidRDefault="004E26B4" w:rsidP="00292CDE">
      <w:pPr>
        <w:widowControl/>
        <w:autoSpaceDE w:val="0"/>
        <w:autoSpaceDN w:val="0"/>
        <w:adjustRightInd w:val="0"/>
        <w:spacing w:before="120" w:after="120"/>
        <w:ind w:left="1800"/>
        <w:rPr>
          <w:rFonts w:eastAsia="SimSun" w:cs="Arial"/>
          <w:sz w:val="20"/>
          <w:szCs w:val="20"/>
          <w:lang w:val="en-GB" w:eastAsia="zh-CN"/>
        </w:rPr>
      </w:pPr>
      <w:r>
        <w:rPr>
          <w:rFonts w:eastAsia="SimSun" w:cs="Arial"/>
          <w:sz w:val="20"/>
          <w:szCs w:val="20"/>
          <w:lang w:val="en-GB" w:eastAsia="zh-CN"/>
        </w:rPr>
        <w:t>Data and metadata shall be reported to the GAW World Data Centre appropriate to each parameter measured on the timescale requested by the Data Centre.</w:t>
      </w:r>
    </w:p>
    <w:p w:rsidR="004E26B4" w:rsidRPr="00292CDE" w:rsidRDefault="004E26B4" w:rsidP="00292CDE">
      <w:pPr>
        <w:widowControl/>
        <w:autoSpaceDE w:val="0"/>
        <w:autoSpaceDN w:val="0"/>
        <w:adjustRightInd w:val="0"/>
        <w:spacing w:before="120" w:after="120"/>
        <w:ind w:left="1800"/>
        <w:rPr>
          <w:rFonts w:eastAsia="SimSun" w:cs="Arial"/>
          <w:sz w:val="20"/>
          <w:szCs w:val="20"/>
          <w:lang w:val="en-GB" w:eastAsia="zh-CN"/>
        </w:rPr>
      </w:pPr>
      <w:r>
        <w:rPr>
          <w:rFonts w:eastAsia="SimSun" w:cs="Arial"/>
          <w:sz w:val="20"/>
          <w:szCs w:val="20"/>
          <w:lang w:val="en-GB" w:eastAsia="zh-CN"/>
        </w:rPr>
        <w:t>Site metadata for all stations shall be made available through GAWSIS</w:t>
      </w:r>
    </w:p>
    <w:p w:rsidR="004E26B4" w:rsidRPr="00F11DE3" w:rsidRDefault="004E26B4" w:rsidP="00EF10BE">
      <w:pPr>
        <w:widowControl/>
        <w:numPr>
          <w:ilvl w:val="2"/>
          <w:numId w:val="1"/>
        </w:numPr>
        <w:tabs>
          <w:tab w:val="clear" w:pos="5010"/>
        </w:tabs>
        <w:autoSpaceDE w:val="0"/>
        <w:autoSpaceDN w:val="0"/>
        <w:adjustRightInd w:val="0"/>
        <w:spacing w:before="120" w:after="120"/>
        <w:ind w:left="1800"/>
        <w:rPr>
          <w:rFonts w:eastAsia="SimSun" w:cs="Arial"/>
          <w:b/>
          <w:sz w:val="20"/>
          <w:szCs w:val="20"/>
          <w:lang w:val="en-GB" w:eastAsia="zh-CN"/>
        </w:rPr>
      </w:pPr>
      <w:r w:rsidRPr="00F11DE3">
        <w:rPr>
          <w:rFonts w:eastAsia="SimSun" w:cs="Arial"/>
          <w:b/>
          <w:sz w:val="20"/>
          <w:szCs w:val="20"/>
          <w:lang w:val="en-GB" w:eastAsia="zh-CN"/>
        </w:rPr>
        <w:t>Incident Management (Control)</w:t>
      </w:r>
    </w:p>
    <w:p w:rsidR="004E26B4" w:rsidRPr="00292CDE" w:rsidRDefault="004E26B4" w:rsidP="00EF10BE">
      <w:pPr>
        <w:widowControl/>
        <w:numPr>
          <w:ilvl w:val="2"/>
          <w:numId w:val="1"/>
        </w:numPr>
        <w:tabs>
          <w:tab w:val="clear" w:pos="5010"/>
        </w:tabs>
        <w:autoSpaceDE w:val="0"/>
        <w:autoSpaceDN w:val="0"/>
        <w:adjustRightInd w:val="0"/>
        <w:spacing w:before="120" w:after="120"/>
        <w:ind w:left="1800"/>
        <w:rPr>
          <w:rFonts w:eastAsia="SimSun" w:cs="Arial"/>
          <w:b/>
          <w:sz w:val="20"/>
          <w:szCs w:val="20"/>
          <w:lang w:val="en-GB" w:eastAsia="zh-CN"/>
        </w:rPr>
      </w:pPr>
      <w:r w:rsidRPr="00F11DE3">
        <w:rPr>
          <w:rFonts w:eastAsia="SimSun" w:cs="Arial"/>
          <w:b/>
          <w:sz w:val="20"/>
          <w:szCs w:val="20"/>
          <w:lang w:val="en-GB" w:eastAsia="zh-CN"/>
        </w:rPr>
        <w:t xml:space="preserve">Change Management </w:t>
      </w:r>
      <w:r w:rsidRPr="00F11DE3">
        <w:rPr>
          <w:rFonts w:eastAsia="SimSun" w:cs="Arial"/>
          <w:sz w:val="20"/>
          <w:szCs w:val="20"/>
          <w:lang w:val="en-GB" w:eastAsia="zh-CN"/>
        </w:rPr>
        <w:t>– need a cross reference to 5.6.2.2</w:t>
      </w:r>
    </w:p>
    <w:p w:rsidR="004E26B4" w:rsidRDefault="004E26B4" w:rsidP="00292CDE">
      <w:pPr>
        <w:widowControl/>
        <w:autoSpaceDE w:val="0"/>
        <w:autoSpaceDN w:val="0"/>
        <w:adjustRightInd w:val="0"/>
        <w:spacing w:before="120" w:after="120"/>
        <w:ind w:left="1800"/>
        <w:rPr>
          <w:rFonts w:eastAsia="SimSun" w:cs="Arial"/>
          <w:sz w:val="20"/>
          <w:szCs w:val="20"/>
          <w:lang w:val="en-GB" w:eastAsia="zh-CN"/>
        </w:rPr>
      </w:pPr>
      <w:r>
        <w:rPr>
          <w:rFonts w:eastAsia="SimSun" w:cs="Arial"/>
          <w:sz w:val="20"/>
          <w:szCs w:val="20"/>
          <w:lang w:val="en-GB" w:eastAsia="zh-CN"/>
        </w:rPr>
        <w:t xml:space="preserve">Planned change shall be carefully controlled to ensure continuity and consistency of service as specified in ..??  document? </w:t>
      </w:r>
    </w:p>
    <w:p w:rsidR="004E26B4" w:rsidRDefault="004E26B4" w:rsidP="00292CDE">
      <w:pPr>
        <w:widowControl/>
        <w:autoSpaceDE w:val="0"/>
        <w:autoSpaceDN w:val="0"/>
        <w:adjustRightInd w:val="0"/>
        <w:spacing w:before="120" w:after="120"/>
        <w:ind w:left="1800"/>
        <w:rPr>
          <w:rFonts w:eastAsia="SimSun" w:cs="Arial"/>
          <w:sz w:val="20"/>
          <w:szCs w:val="20"/>
          <w:lang w:val="en-GB" w:eastAsia="zh-CN"/>
        </w:rPr>
      </w:pPr>
      <w:r>
        <w:rPr>
          <w:rFonts w:eastAsia="SimSun" w:cs="Arial"/>
          <w:sz w:val="20"/>
          <w:szCs w:val="20"/>
          <w:lang w:val="en-GB" w:eastAsia="zh-CN"/>
        </w:rPr>
        <w:t>NOTE: A primary purpose of GAW is to monitor long-term atmospheric change and identify causes of that change. Stability in the monitoring systems is therefore of paramount importance.</w:t>
      </w:r>
    </w:p>
    <w:p w:rsidR="004E26B4" w:rsidRPr="0094459B" w:rsidRDefault="004E26B4" w:rsidP="00EF10BE">
      <w:pPr>
        <w:widowControl/>
        <w:numPr>
          <w:ilvl w:val="2"/>
          <w:numId w:val="1"/>
        </w:numPr>
        <w:tabs>
          <w:tab w:val="clear" w:pos="5010"/>
        </w:tabs>
        <w:autoSpaceDE w:val="0"/>
        <w:autoSpaceDN w:val="0"/>
        <w:adjustRightInd w:val="0"/>
        <w:spacing w:before="120" w:after="120"/>
        <w:ind w:left="1800"/>
        <w:rPr>
          <w:rFonts w:ascii="ArialMT" w:eastAsia="SimSun" w:hAnsi="ArialMT" w:cs="ArialMT"/>
          <w:b/>
          <w:bCs/>
          <w:sz w:val="20"/>
          <w:szCs w:val="20"/>
          <w:lang w:val="en-GB" w:eastAsia="zh-CN"/>
        </w:rPr>
      </w:pPr>
      <w:r w:rsidRPr="00F11DE3">
        <w:rPr>
          <w:rFonts w:cs="Arial"/>
          <w:b/>
          <w:bCs/>
          <w:sz w:val="20"/>
          <w:szCs w:val="20"/>
          <w:lang w:val="en-GB"/>
        </w:rPr>
        <w:t>Maintenance (Preventative, Corrective and Adaptive)</w:t>
      </w:r>
    </w:p>
    <w:p w:rsidR="004E26B4" w:rsidRPr="00FC74D2" w:rsidRDefault="004E26B4" w:rsidP="0094459B">
      <w:pPr>
        <w:widowControl/>
        <w:autoSpaceDE w:val="0"/>
        <w:autoSpaceDN w:val="0"/>
        <w:adjustRightInd w:val="0"/>
        <w:spacing w:before="120" w:after="120"/>
        <w:ind w:left="1800"/>
        <w:rPr>
          <w:rFonts w:ascii="ArialMT" w:eastAsia="SimSun" w:hAnsi="ArialMT" w:cs="ArialMT"/>
          <w:bCs/>
          <w:sz w:val="20"/>
          <w:szCs w:val="20"/>
          <w:lang w:val="en-GB" w:eastAsia="zh-CN"/>
        </w:rPr>
      </w:pPr>
      <w:r>
        <w:rPr>
          <w:rFonts w:ascii="ArialMT" w:eastAsia="SimSun" w:hAnsi="ArialMT" w:cs="ArialMT"/>
          <w:bCs/>
          <w:sz w:val="20"/>
          <w:szCs w:val="20"/>
          <w:lang w:val="en-GB" w:eastAsia="zh-CN"/>
        </w:rPr>
        <w:t>Members shall follow procedures specified in the GAW Standard Operational Procedures (SOPs) and Guidelines. Adaptive maintenance should consider the two requirement of stability and consistency, plus&gt;90% data capture.</w:t>
      </w:r>
    </w:p>
    <w:p w:rsidR="004E26B4" w:rsidRDefault="004E26B4" w:rsidP="00EF10BE">
      <w:pPr>
        <w:widowControl/>
        <w:numPr>
          <w:ilvl w:val="2"/>
          <w:numId w:val="1"/>
        </w:numPr>
        <w:tabs>
          <w:tab w:val="clear" w:pos="5010"/>
        </w:tabs>
        <w:autoSpaceDE w:val="0"/>
        <w:autoSpaceDN w:val="0"/>
        <w:adjustRightInd w:val="0"/>
        <w:spacing w:before="120" w:after="120"/>
        <w:ind w:left="1800"/>
        <w:rPr>
          <w:rFonts w:ascii="ArialMT" w:eastAsia="SimSun" w:hAnsi="ArialMT" w:cs="ArialMT"/>
          <w:b/>
          <w:bCs/>
          <w:sz w:val="20"/>
          <w:szCs w:val="20"/>
          <w:lang w:val="en-GB" w:eastAsia="zh-CN"/>
        </w:rPr>
      </w:pPr>
      <w:r w:rsidRPr="00F11DE3">
        <w:rPr>
          <w:rFonts w:ascii="ArialMT" w:eastAsia="SimSun" w:hAnsi="ArialMT" w:cs="ArialMT"/>
          <w:b/>
          <w:bCs/>
          <w:sz w:val="20"/>
          <w:szCs w:val="20"/>
          <w:lang w:val="en-GB" w:eastAsia="zh-CN"/>
        </w:rPr>
        <w:t>Calibration procedures</w:t>
      </w:r>
    </w:p>
    <w:p w:rsidR="004E26B4" w:rsidRPr="00FC74D2" w:rsidRDefault="004E26B4" w:rsidP="00FC74D2">
      <w:pPr>
        <w:widowControl/>
        <w:autoSpaceDE w:val="0"/>
        <w:autoSpaceDN w:val="0"/>
        <w:adjustRightInd w:val="0"/>
        <w:spacing w:before="120" w:after="120"/>
        <w:ind w:left="1800"/>
        <w:rPr>
          <w:rFonts w:ascii="ArialMT" w:eastAsia="SimSun" w:hAnsi="ArialMT" w:cs="ArialMT"/>
          <w:bCs/>
          <w:sz w:val="20"/>
          <w:szCs w:val="20"/>
          <w:lang w:val="en-GB" w:eastAsia="zh-CN"/>
        </w:rPr>
      </w:pPr>
      <w:r>
        <w:rPr>
          <w:rFonts w:ascii="ArialMT" w:eastAsia="SimSun" w:hAnsi="ArialMT" w:cs="ArialMT"/>
          <w:bCs/>
          <w:sz w:val="20"/>
          <w:szCs w:val="20"/>
          <w:lang w:val="en-GB" w:eastAsia="zh-CN"/>
        </w:rPr>
        <w:t>Members shall follow procedures and calibration frequency specified in the GAW Standard Operational Procedures (SOPs) and Guidelines.</w:t>
      </w:r>
    </w:p>
    <w:p w:rsidR="004E26B4" w:rsidRPr="00F11DE3" w:rsidRDefault="004E26B4" w:rsidP="00EF10BE">
      <w:pPr>
        <w:widowControl/>
        <w:numPr>
          <w:ilvl w:val="1"/>
          <w:numId w:val="1"/>
        </w:numPr>
        <w:tabs>
          <w:tab w:val="clear" w:pos="495"/>
        </w:tabs>
        <w:autoSpaceDE w:val="0"/>
        <w:autoSpaceDN w:val="0"/>
        <w:adjustRightInd w:val="0"/>
        <w:spacing w:before="120" w:after="120"/>
        <w:ind w:left="1080"/>
        <w:rPr>
          <w:rFonts w:cs="Arial"/>
          <w:b/>
          <w:bCs/>
          <w:lang w:val="en-GB"/>
        </w:rPr>
      </w:pPr>
      <w:r w:rsidRPr="00F11DE3">
        <w:rPr>
          <w:rFonts w:cs="Arial"/>
          <w:b/>
          <w:bCs/>
          <w:lang w:val="en-GB"/>
        </w:rPr>
        <w:t xml:space="preserve">Observational Metadata </w:t>
      </w:r>
    </w:p>
    <w:p w:rsidR="004E26B4" w:rsidRPr="00FC3E56" w:rsidRDefault="004E26B4" w:rsidP="00EF10BE">
      <w:pPr>
        <w:autoSpaceDE w:val="0"/>
        <w:autoSpaceDN w:val="0"/>
        <w:adjustRightInd w:val="0"/>
        <w:spacing w:before="120" w:after="120"/>
        <w:rPr>
          <w:rFonts w:cs="Arial"/>
          <w:b/>
          <w:bCs/>
          <w:sz w:val="20"/>
          <w:szCs w:val="20"/>
          <w:lang w:val="en-GB"/>
        </w:rPr>
      </w:pPr>
      <w:r w:rsidRPr="00FC3E56">
        <w:rPr>
          <w:rFonts w:cs="Arial"/>
          <w:b/>
          <w:bCs/>
          <w:sz w:val="20"/>
          <w:szCs w:val="20"/>
          <w:lang w:val="en-GB"/>
        </w:rPr>
        <w:t>(…. the first seven sub-headings here represent an initial brainstorming from TT-WRM-1. The list needs to be rationalised, then later refined based on the work of TT-WMD)</w:t>
      </w:r>
    </w:p>
    <w:p w:rsidR="004E26B4" w:rsidRPr="00F11DE3" w:rsidRDefault="004E26B4" w:rsidP="00EF10BE">
      <w:pPr>
        <w:tabs>
          <w:tab w:val="num" w:pos="1800"/>
        </w:tabs>
        <w:autoSpaceDE w:val="0"/>
        <w:autoSpaceDN w:val="0"/>
        <w:adjustRightInd w:val="0"/>
        <w:spacing w:before="120" w:after="120"/>
        <w:rPr>
          <w:rFonts w:cs="Arial"/>
          <w:b/>
          <w:bCs/>
          <w:sz w:val="20"/>
          <w:szCs w:val="20"/>
          <w:lang w:val="en-GB"/>
        </w:rPr>
      </w:pPr>
      <w:r w:rsidRPr="00FC3E56">
        <w:rPr>
          <w:rFonts w:cs="Arial"/>
          <w:b/>
          <w:bCs/>
          <w:sz w:val="20"/>
          <w:szCs w:val="20"/>
          <w:lang w:val="en-GB"/>
        </w:rPr>
        <w:t>(…. Include the keeping of Historical metadata where appropriate)</w:t>
      </w:r>
    </w:p>
    <w:p w:rsidR="004E26B4" w:rsidRDefault="004E26B4" w:rsidP="009D3FA2">
      <w:pPr>
        <w:widowControl/>
        <w:numPr>
          <w:ilvl w:val="2"/>
          <w:numId w:val="1"/>
        </w:numPr>
        <w:tabs>
          <w:tab w:val="clear" w:pos="5010"/>
          <w:tab w:val="num" w:pos="1800"/>
        </w:tabs>
        <w:autoSpaceDE w:val="0"/>
        <w:autoSpaceDN w:val="0"/>
        <w:adjustRightInd w:val="0"/>
        <w:spacing w:before="120" w:after="120"/>
        <w:ind w:hanging="3930"/>
        <w:rPr>
          <w:rFonts w:cs="Arial"/>
          <w:b/>
          <w:bCs/>
          <w:sz w:val="20"/>
          <w:szCs w:val="20"/>
          <w:lang w:val="en-GB"/>
        </w:rPr>
      </w:pPr>
      <w:r w:rsidRPr="00F11DE3">
        <w:rPr>
          <w:rFonts w:cs="Arial"/>
          <w:b/>
          <w:bCs/>
          <w:sz w:val="20"/>
          <w:szCs w:val="20"/>
          <w:lang w:val="en-GB"/>
        </w:rPr>
        <w:t>Instrument metadata</w:t>
      </w:r>
    </w:p>
    <w:p w:rsidR="004E26B4" w:rsidRPr="009D3FA2" w:rsidRDefault="004E26B4" w:rsidP="004A0003">
      <w:pPr>
        <w:widowControl/>
        <w:tabs>
          <w:tab w:val="num" w:pos="1800"/>
        </w:tabs>
        <w:autoSpaceDE w:val="0"/>
        <w:autoSpaceDN w:val="0"/>
        <w:adjustRightInd w:val="0"/>
        <w:spacing w:before="120" w:after="120"/>
        <w:ind w:left="1843"/>
        <w:rPr>
          <w:rFonts w:cs="Arial"/>
          <w:bCs/>
          <w:sz w:val="20"/>
          <w:szCs w:val="20"/>
          <w:lang w:val="en-GB"/>
        </w:rPr>
      </w:pPr>
      <w:r>
        <w:rPr>
          <w:rFonts w:cs="Arial"/>
          <w:bCs/>
          <w:sz w:val="20"/>
          <w:szCs w:val="20"/>
          <w:lang w:val="en-GB"/>
        </w:rPr>
        <w:t>Members shall provide instrument metadata as requested by the WDC for parameter, and GAWSIS.</w:t>
      </w:r>
    </w:p>
    <w:p w:rsidR="004E26B4" w:rsidRDefault="004E26B4" w:rsidP="00B6415F">
      <w:pPr>
        <w:widowControl/>
        <w:numPr>
          <w:ilvl w:val="2"/>
          <w:numId w:val="1"/>
        </w:numPr>
        <w:tabs>
          <w:tab w:val="clear" w:pos="5010"/>
          <w:tab w:val="num" w:pos="1800"/>
        </w:tabs>
        <w:autoSpaceDE w:val="0"/>
        <w:autoSpaceDN w:val="0"/>
        <w:adjustRightInd w:val="0"/>
        <w:spacing w:before="120" w:after="120"/>
        <w:ind w:hanging="3930"/>
        <w:rPr>
          <w:rFonts w:cs="Arial"/>
          <w:b/>
          <w:bCs/>
          <w:sz w:val="20"/>
          <w:szCs w:val="20"/>
          <w:lang w:val="en-GB"/>
        </w:rPr>
      </w:pPr>
      <w:r w:rsidRPr="00F11DE3">
        <w:rPr>
          <w:rFonts w:cs="Arial"/>
          <w:b/>
          <w:bCs/>
          <w:sz w:val="20"/>
          <w:szCs w:val="20"/>
          <w:lang w:val="en-GB"/>
        </w:rPr>
        <w:t>Site/Station/Platform metadata</w:t>
      </w:r>
    </w:p>
    <w:p w:rsidR="004E26B4" w:rsidRPr="00B6415F" w:rsidRDefault="004E26B4" w:rsidP="00487E50">
      <w:pPr>
        <w:widowControl/>
        <w:tabs>
          <w:tab w:val="num" w:pos="1800"/>
        </w:tabs>
        <w:autoSpaceDE w:val="0"/>
        <w:autoSpaceDN w:val="0"/>
        <w:adjustRightInd w:val="0"/>
        <w:spacing w:before="120" w:after="120"/>
        <w:ind w:left="1843"/>
        <w:rPr>
          <w:rFonts w:cs="Arial"/>
          <w:b/>
          <w:bCs/>
          <w:sz w:val="20"/>
          <w:szCs w:val="20"/>
          <w:lang w:val="en-GB"/>
        </w:rPr>
      </w:pPr>
      <w:r>
        <w:rPr>
          <w:rFonts w:cs="Arial"/>
          <w:bCs/>
          <w:sz w:val="20"/>
          <w:szCs w:val="20"/>
          <w:lang w:val="en-GB"/>
        </w:rPr>
        <w:t>Members shall provide such metadata as required by GAWSIS and any WDC to which they contribute</w:t>
      </w:r>
      <w:r w:rsidRPr="00F11DE3">
        <w:rPr>
          <w:rFonts w:cs="Arial"/>
          <w:b/>
          <w:bCs/>
          <w:sz w:val="20"/>
          <w:szCs w:val="20"/>
          <w:lang w:val="en-GB"/>
        </w:rPr>
        <w:t xml:space="preserve"> </w:t>
      </w:r>
      <w:r w:rsidRPr="00B6415F">
        <w:rPr>
          <w:rFonts w:cs="Arial"/>
          <w:b/>
          <w:bCs/>
          <w:sz w:val="20"/>
          <w:szCs w:val="20"/>
          <w:lang w:val="en-GB"/>
        </w:rPr>
        <w:t xml:space="preserve"> </w:t>
      </w:r>
    </w:p>
    <w:p w:rsidR="004E26B4" w:rsidRDefault="004E26B4" w:rsidP="00B6415F">
      <w:pPr>
        <w:widowControl/>
        <w:numPr>
          <w:ilvl w:val="2"/>
          <w:numId w:val="1"/>
        </w:numPr>
        <w:tabs>
          <w:tab w:val="clear" w:pos="5010"/>
          <w:tab w:val="num" w:pos="1800"/>
        </w:tabs>
        <w:autoSpaceDE w:val="0"/>
        <w:autoSpaceDN w:val="0"/>
        <w:adjustRightInd w:val="0"/>
        <w:spacing w:before="120" w:after="120"/>
        <w:ind w:hanging="3930"/>
        <w:rPr>
          <w:rFonts w:cs="Arial"/>
          <w:b/>
          <w:bCs/>
          <w:sz w:val="20"/>
          <w:szCs w:val="20"/>
          <w:lang w:val="en-GB"/>
        </w:rPr>
      </w:pPr>
      <w:r w:rsidRPr="00B6415F">
        <w:rPr>
          <w:rFonts w:cs="Arial"/>
          <w:b/>
          <w:bCs/>
          <w:sz w:val="20"/>
          <w:szCs w:val="20"/>
          <w:lang w:val="en-GB"/>
        </w:rPr>
        <w:t>Network metadata</w:t>
      </w:r>
    </w:p>
    <w:p w:rsidR="004E26B4" w:rsidRPr="00B6415F" w:rsidRDefault="004E26B4" w:rsidP="004A0003">
      <w:pPr>
        <w:widowControl/>
        <w:tabs>
          <w:tab w:val="num" w:pos="1800"/>
        </w:tabs>
        <w:autoSpaceDE w:val="0"/>
        <w:autoSpaceDN w:val="0"/>
        <w:adjustRightInd w:val="0"/>
        <w:spacing w:before="120" w:after="120"/>
        <w:ind w:left="5010" w:hanging="3167"/>
        <w:rPr>
          <w:rFonts w:cs="Arial"/>
          <w:b/>
          <w:bCs/>
          <w:sz w:val="20"/>
          <w:szCs w:val="20"/>
          <w:lang w:val="en-GB"/>
        </w:rPr>
      </w:pPr>
      <w:r>
        <w:rPr>
          <w:rFonts w:cs="Arial"/>
          <w:bCs/>
          <w:sz w:val="20"/>
          <w:szCs w:val="20"/>
          <w:lang w:val="en-GB"/>
        </w:rPr>
        <w:t xml:space="preserve">Members shall provide such metadata as required by GAWSIS </w:t>
      </w:r>
      <w:r w:rsidRPr="00F11DE3">
        <w:rPr>
          <w:rFonts w:cs="Arial"/>
          <w:b/>
          <w:bCs/>
          <w:sz w:val="20"/>
          <w:szCs w:val="20"/>
          <w:lang w:val="en-GB"/>
        </w:rPr>
        <w:t xml:space="preserve"> </w:t>
      </w:r>
      <w:r w:rsidRPr="00B6415F">
        <w:rPr>
          <w:rFonts w:cs="Arial"/>
          <w:b/>
          <w:bCs/>
          <w:sz w:val="20"/>
          <w:szCs w:val="20"/>
          <w:lang w:val="en-GB"/>
        </w:rPr>
        <w:t xml:space="preserve"> </w:t>
      </w:r>
    </w:p>
    <w:p w:rsidR="004E26B4" w:rsidRDefault="004E26B4" w:rsidP="00EF10BE">
      <w:pPr>
        <w:widowControl/>
        <w:numPr>
          <w:ilvl w:val="2"/>
          <w:numId w:val="1"/>
        </w:numPr>
        <w:tabs>
          <w:tab w:val="clear" w:pos="5010"/>
          <w:tab w:val="num" w:pos="1800"/>
        </w:tabs>
        <w:autoSpaceDE w:val="0"/>
        <w:autoSpaceDN w:val="0"/>
        <w:adjustRightInd w:val="0"/>
        <w:spacing w:before="120" w:after="120"/>
        <w:ind w:hanging="3930"/>
        <w:rPr>
          <w:rFonts w:cs="Arial"/>
          <w:b/>
          <w:bCs/>
          <w:sz w:val="20"/>
          <w:szCs w:val="20"/>
          <w:lang w:val="en-GB"/>
        </w:rPr>
      </w:pPr>
      <w:r w:rsidRPr="00F11DE3">
        <w:rPr>
          <w:rFonts w:cs="Arial"/>
          <w:b/>
          <w:bCs/>
          <w:sz w:val="20"/>
          <w:szCs w:val="20"/>
          <w:lang w:val="en-GB"/>
        </w:rPr>
        <w:t>Quality metadata</w:t>
      </w:r>
    </w:p>
    <w:p w:rsidR="004E26B4" w:rsidRPr="009D3FA2" w:rsidRDefault="004E26B4" w:rsidP="004A0003">
      <w:pPr>
        <w:widowControl/>
        <w:tabs>
          <w:tab w:val="num" w:pos="1800"/>
        </w:tabs>
        <w:autoSpaceDE w:val="0"/>
        <w:autoSpaceDN w:val="0"/>
        <w:adjustRightInd w:val="0"/>
        <w:spacing w:before="120" w:after="120"/>
        <w:ind w:left="1843"/>
        <w:rPr>
          <w:rFonts w:cs="Arial"/>
          <w:bCs/>
          <w:sz w:val="20"/>
          <w:szCs w:val="20"/>
          <w:lang w:val="en-GB"/>
        </w:rPr>
      </w:pPr>
      <w:r>
        <w:rPr>
          <w:rFonts w:cs="Arial"/>
          <w:bCs/>
          <w:sz w:val="20"/>
          <w:szCs w:val="20"/>
          <w:lang w:val="en-GB"/>
        </w:rPr>
        <w:t>Members shall provide such metadata as required by the appropriate WDC, SAG and GAWSIS. Oversight of quality is provided by QA/SACs.</w:t>
      </w:r>
    </w:p>
    <w:p w:rsidR="004E26B4" w:rsidRDefault="004E26B4" w:rsidP="00EF10BE">
      <w:pPr>
        <w:widowControl/>
        <w:numPr>
          <w:ilvl w:val="2"/>
          <w:numId w:val="1"/>
        </w:numPr>
        <w:tabs>
          <w:tab w:val="clear" w:pos="5010"/>
          <w:tab w:val="num" w:pos="1800"/>
        </w:tabs>
        <w:autoSpaceDE w:val="0"/>
        <w:autoSpaceDN w:val="0"/>
        <w:adjustRightInd w:val="0"/>
        <w:spacing w:before="120" w:after="120"/>
        <w:ind w:hanging="3930"/>
        <w:rPr>
          <w:rFonts w:cs="Arial"/>
          <w:b/>
          <w:bCs/>
          <w:sz w:val="20"/>
          <w:szCs w:val="20"/>
          <w:lang w:val="en-GB"/>
        </w:rPr>
      </w:pPr>
      <w:r w:rsidRPr="00F11DE3">
        <w:rPr>
          <w:rFonts w:cs="Arial"/>
          <w:b/>
          <w:bCs/>
          <w:sz w:val="20"/>
          <w:szCs w:val="20"/>
          <w:lang w:val="en-GB"/>
        </w:rPr>
        <w:t>Interpretation metadata</w:t>
      </w:r>
    </w:p>
    <w:p w:rsidR="004E26B4" w:rsidRPr="00F11DE3" w:rsidRDefault="004E26B4" w:rsidP="00487E50">
      <w:pPr>
        <w:widowControl/>
        <w:autoSpaceDE w:val="0"/>
        <w:autoSpaceDN w:val="0"/>
        <w:adjustRightInd w:val="0"/>
        <w:spacing w:before="120" w:after="120"/>
        <w:ind w:left="1843"/>
        <w:rPr>
          <w:rFonts w:cs="Arial"/>
          <w:b/>
          <w:bCs/>
          <w:sz w:val="20"/>
          <w:szCs w:val="20"/>
          <w:lang w:val="en-GB"/>
        </w:rPr>
      </w:pPr>
      <w:r>
        <w:rPr>
          <w:rFonts w:cs="Arial"/>
          <w:bCs/>
          <w:sz w:val="20"/>
          <w:szCs w:val="20"/>
          <w:lang w:val="en-GB"/>
        </w:rPr>
        <w:t>Members shall provide such metadata as required by the appropriate WDC and SAG</w:t>
      </w:r>
    </w:p>
    <w:p w:rsidR="004E26B4" w:rsidRPr="007A2038" w:rsidRDefault="004E26B4" w:rsidP="007A2038">
      <w:pPr>
        <w:widowControl/>
        <w:numPr>
          <w:ilvl w:val="2"/>
          <w:numId w:val="1"/>
        </w:numPr>
        <w:tabs>
          <w:tab w:val="clear" w:pos="5010"/>
          <w:tab w:val="num" w:pos="1800"/>
        </w:tabs>
        <w:autoSpaceDE w:val="0"/>
        <w:autoSpaceDN w:val="0"/>
        <w:adjustRightInd w:val="0"/>
        <w:spacing w:before="120" w:after="120"/>
        <w:ind w:hanging="3930"/>
        <w:rPr>
          <w:rFonts w:cs="Arial"/>
          <w:b/>
          <w:bCs/>
          <w:color w:val="FF0000"/>
          <w:sz w:val="20"/>
          <w:szCs w:val="20"/>
          <w:lang w:val="en-GB"/>
        </w:rPr>
      </w:pPr>
      <w:r w:rsidRPr="00F11DE3">
        <w:rPr>
          <w:rFonts w:cs="Arial"/>
          <w:b/>
          <w:bCs/>
          <w:sz w:val="20"/>
          <w:szCs w:val="20"/>
          <w:lang w:val="en-GB"/>
        </w:rPr>
        <w:t>Static/Dynamic metadata</w:t>
      </w:r>
      <w:r>
        <w:rPr>
          <w:rFonts w:cs="Arial"/>
          <w:b/>
          <w:bCs/>
          <w:sz w:val="20"/>
          <w:szCs w:val="20"/>
          <w:lang w:val="en-GB"/>
        </w:rPr>
        <w:t xml:space="preserve"> </w:t>
      </w:r>
      <w:r w:rsidRPr="007A2038">
        <w:rPr>
          <w:rFonts w:cs="Arial"/>
          <w:b/>
          <w:bCs/>
          <w:color w:val="FF0000"/>
          <w:sz w:val="20"/>
          <w:szCs w:val="20"/>
          <w:lang w:val="en-GB"/>
        </w:rPr>
        <w:t>??</w:t>
      </w:r>
    </w:p>
    <w:p w:rsidR="004E26B4" w:rsidRDefault="004E26B4" w:rsidP="00EF10BE">
      <w:pPr>
        <w:widowControl/>
        <w:numPr>
          <w:ilvl w:val="2"/>
          <w:numId w:val="1"/>
        </w:numPr>
        <w:tabs>
          <w:tab w:val="clear" w:pos="5010"/>
          <w:tab w:val="num" w:pos="1800"/>
        </w:tabs>
        <w:autoSpaceDE w:val="0"/>
        <w:autoSpaceDN w:val="0"/>
        <w:adjustRightInd w:val="0"/>
        <w:spacing w:before="120" w:after="120"/>
        <w:ind w:hanging="3930"/>
        <w:rPr>
          <w:rFonts w:cs="Arial"/>
          <w:b/>
          <w:bCs/>
          <w:sz w:val="20"/>
          <w:szCs w:val="20"/>
          <w:lang w:val="en-GB"/>
        </w:rPr>
      </w:pPr>
      <w:r w:rsidRPr="00F11DE3">
        <w:rPr>
          <w:rFonts w:cs="Arial"/>
          <w:b/>
          <w:bCs/>
          <w:sz w:val="20"/>
          <w:szCs w:val="20"/>
          <w:lang w:val="en-GB"/>
        </w:rPr>
        <w:t>Maintenance metadata</w:t>
      </w:r>
    </w:p>
    <w:p w:rsidR="004E26B4" w:rsidRPr="00F11DE3" w:rsidRDefault="004E26B4" w:rsidP="00487E50">
      <w:pPr>
        <w:widowControl/>
        <w:autoSpaceDE w:val="0"/>
        <w:autoSpaceDN w:val="0"/>
        <w:adjustRightInd w:val="0"/>
        <w:spacing w:before="120" w:after="120"/>
        <w:ind w:left="1843"/>
        <w:rPr>
          <w:rFonts w:cs="Arial"/>
          <w:b/>
          <w:bCs/>
          <w:sz w:val="20"/>
          <w:szCs w:val="20"/>
          <w:lang w:val="en-GB"/>
        </w:rPr>
      </w:pPr>
      <w:r>
        <w:rPr>
          <w:rFonts w:cs="Arial"/>
          <w:bCs/>
          <w:sz w:val="20"/>
          <w:szCs w:val="20"/>
          <w:lang w:val="en-GB"/>
        </w:rPr>
        <w:t>Members shall provide such metadata as required by the appropriate WDC and SAG</w:t>
      </w:r>
      <w:r w:rsidRPr="00F11DE3">
        <w:rPr>
          <w:rFonts w:cs="Arial"/>
          <w:b/>
          <w:bCs/>
          <w:sz w:val="20"/>
          <w:szCs w:val="20"/>
          <w:lang w:val="en-GB"/>
        </w:rPr>
        <w:tab/>
      </w:r>
      <w:r w:rsidRPr="00F11DE3">
        <w:rPr>
          <w:rFonts w:cs="Arial"/>
          <w:b/>
          <w:bCs/>
          <w:sz w:val="20"/>
          <w:szCs w:val="20"/>
          <w:lang w:val="en-GB"/>
        </w:rPr>
        <w:tab/>
      </w:r>
      <w:r w:rsidRPr="00F11DE3">
        <w:rPr>
          <w:rFonts w:cs="Arial"/>
          <w:b/>
          <w:bCs/>
          <w:sz w:val="20"/>
          <w:szCs w:val="20"/>
          <w:lang w:val="en-GB"/>
        </w:rPr>
        <w:tab/>
      </w:r>
      <w:r w:rsidRPr="00F11DE3">
        <w:rPr>
          <w:rFonts w:cs="Arial"/>
          <w:b/>
          <w:bCs/>
          <w:sz w:val="20"/>
          <w:szCs w:val="20"/>
          <w:lang w:val="en-GB"/>
        </w:rPr>
        <w:tab/>
      </w:r>
      <w:r w:rsidRPr="00F11DE3">
        <w:rPr>
          <w:rFonts w:cs="Arial"/>
          <w:b/>
          <w:bCs/>
          <w:sz w:val="20"/>
          <w:szCs w:val="20"/>
          <w:lang w:val="en-GB"/>
        </w:rPr>
        <w:tab/>
      </w:r>
      <w:r w:rsidRPr="00F11DE3">
        <w:rPr>
          <w:rFonts w:cs="Arial"/>
          <w:b/>
          <w:bCs/>
          <w:sz w:val="20"/>
          <w:szCs w:val="20"/>
          <w:lang w:val="en-GB"/>
        </w:rPr>
        <w:tab/>
      </w:r>
      <w:r w:rsidRPr="00F11DE3">
        <w:rPr>
          <w:rFonts w:cs="Arial"/>
          <w:b/>
          <w:bCs/>
          <w:sz w:val="20"/>
          <w:szCs w:val="20"/>
          <w:lang w:val="en-GB"/>
        </w:rPr>
        <w:tab/>
      </w:r>
    </w:p>
    <w:p w:rsidR="004E26B4" w:rsidRPr="00F11DE3" w:rsidRDefault="004E26B4" w:rsidP="00EF10BE">
      <w:pPr>
        <w:widowControl/>
        <w:numPr>
          <w:ilvl w:val="2"/>
          <w:numId w:val="1"/>
        </w:numPr>
        <w:tabs>
          <w:tab w:val="clear" w:pos="5010"/>
          <w:tab w:val="num" w:pos="1800"/>
        </w:tabs>
        <w:autoSpaceDE w:val="0"/>
        <w:autoSpaceDN w:val="0"/>
        <w:adjustRightInd w:val="0"/>
        <w:spacing w:before="120" w:after="120"/>
        <w:ind w:hanging="3930"/>
        <w:rPr>
          <w:rFonts w:cs="Arial"/>
          <w:b/>
          <w:bCs/>
          <w:sz w:val="20"/>
          <w:szCs w:val="20"/>
          <w:lang w:val="en-GB"/>
        </w:rPr>
      </w:pPr>
      <w:r w:rsidRPr="00F11DE3">
        <w:rPr>
          <w:rFonts w:cs="Arial"/>
          <w:b/>
          <w:bCs/>
          <w:sz w:val="20"/>
          <w:szCs w:val="20"/>
          <w:lang w:val="en-GB"/>
        </w:rPr>
        <w:t>WIGOS Operational Information Resource</w:t>
      </w:r>
    </w:p>
    <w:p w:rsidR="004E26B4" w:rsidRPr="00F11DE3" w:rsidRDefault="004E26B4" w:rsidP="00EF10BE">
      <w:pPr>
        <w:autoSpaceDE w:val="0"/>
        <w:autoSpaceDN w:val="0"/>
        <w:adjustRightInd w:val="0"/>
        <w:spacing w:before="120" w:after="120"/>
        <w:ind w:left="1440" w:firstLine="720"/>
        <w:rPr>
          <w:rFonts w:cs="Arial"/>
          <w:bCs/>
          <w:sz w:val="20"/>
          <w:szCs w:val="20"/>
          <w:lang w:val="en-GB"/>
        </w:rPr>
      </w:pPr>
      <w:r w:rsidRPr="00F11DE3">
        <w:rPr>
          <w:rFonts w:cs="Arial"/>
          <w:bCs/>
          <w:sz w:val="20"/>
          <w:szCs w:val="20"/>
          <w:lang w:val="en-GB"/>
        </w:rPr>
        <w:t>5.5.8.1 Input to WIR</w:t>
      </w:r>
    </w:p>
    <w:p w:rsidR="004E26B4" w:rsidRPr="00F11DE3" w:rsidRDefault="004E26B4" w:rsidP="00EF10BE">
      <w:pPr>
        <w:autoSpaceDE w:val="0"/>
        <w:autoSpaceDN w:val="0"/>
        <w:adjustRightInd w:val="0"/>
        <w:spacing w:before="120" w:after="120"/>
        <w:ind w:left="1440" w:firstLine="720"/>
        <w:rPr>
          <w:rFonts w:cs="Arial"/>
          <w:bCs/>
          <w:sz w:val="20"/>
          <w:szCs w:val="20"/>
          <w:lang w:val="en-GB"/>
        </w:rPr>
      </w:pPr>
      <w:r w:rsidRPr="00F11DE3">
        <w:rPr>
          <w:rFonts w:cs="Arial"/>
          <w:bCs/>
          <w:sz w:val="20"/>
          <w:szCs w:val="20"/>
          <w:lang w:val="en-GB"/>
        </w:rPr>
        <w:t>5.5.8.2 Use of WIR</w:t>
      </w:r>
    </w:p>
    <w:p w:rsidR="004E26B4" w:rsidRPr="00F11DE3" w:rsidRDefault="004E26B4" w:rsidP="00EF10BE">
      <w:pPr>
        <w:tabs>
          <w:tab w:val="num" w:pos="1800"/>
        </w:tabs>
        <w:autoSpaceDE w:val="0"/>
        <w:autoSpaceDN w:val="0"/>
        <w:adjustRightInd w:val="0"/>
        <w:spacing w:before="120" w:after="120"/>
        <w:rPr>
          <w:rFonts w:cs="Arial"/>
          <w:b/>
          <w:bCs/>
          <w:sz w:val="20"/>
          <w:szCs w:val="20"/>
          <w:lang w:val="en-GB"/>
        </w:rPr>
      </w:pPr>
      <w:r w:rsidRPr="00F11DE3">
        <w:rPr>
          <w:rFonts w:cs="Arial"/>
          <w:bCs/>
          <w:sz w:val="20"/>
          <w:szCs w:val="20"/>
          <w:lang w:val="en-GB"/>
        </w:rPr>
        <w:t>(…. These two subheadings simply flag two aspects of the topic, more subheadings may be needed)</w:t>
      </w:r>
    </w:p>
    <w:p w:rsidR="004E26B4" w:rsidRDefault="004E26B4" w:rsidP="00EF10BE">
      <w:pPr>
        <w:widowControl/>
        <w:numPr>
          <w:ilvl w:val="2"/>
          <w:numId w:val="1"/>
        </w:numPr>
        <w:tabs>
          <w:tab w:val="clear" w:pos="5010"/>
          <w:tab w:val="num" w:pos="1800"/>
        </w:tabs>
        <w:autoSpaceDE w:val="0"/>
        <w:autoSpaceDN w:val="0"/>
        <w:adjustRightInd w:val="0"/>
        <w:spacing w:before="120" w:after="120"/>
        <w:ind w:hanging="3930"/>
        <w:rPr>
          <w:rFonts w:cs="Arial"/>
          <w:b/>
          <w:bCs/>
          <w:sz w:val="20"/>
          <w:szCs w:val="20"/>
          <w:lang w:val="en-GB"/>
        </w:rPr>
      </w:pPr>
      <w:r w:rsidRPr="00F11DE3">
        <w:rPr>
          <w:rFonts w:cs="Arial"/>
          <w:b/>
          <w:bCs/>
          <w:sz w:val="20"/>
          <w:szCs w:val="20"/>
          <w:lang w:val="en-GB"/>
        </w:rPr>
        <w:t>Enabling Discovery, Access and Retrieval (via WIS)</w:t>
      </w:r>
    </w:p>
    <w:p w:rsidR="004E26B4" w:rsidRPr="007A2038" w:rsidRDefault="004E26B4" w:rsidP="007A2038">
      <w:pPr>
        <w:widowControl/>
        <w:autoSpaceDE w:val="0"/>
        <w:autoSpaceDN w:val="0"/>
        <w:adjustRightInd w:val="0"/>
        <w:spacing w:before="120" w:after="120"/>
        <w:ind w:left="1843"/>
        <w:rPr>
          <w:rFonts w:cs="Arial"/>
          <w:b/>
          <w:bCs/>
          <w:color w:val="FF0000"/>
          <w:sz w:val="20"/>
          <w:szCs w:val="20"/>
          <w:lang w:val="en-GB"/>
        </w:rPr>
      </w:pPr>
      <w:r w:rsidRPr="007A2038">
        <w:rPr>
          <w:rFonts w:cs="Arial"/>
          <w:b/>
          <w:bCs/>
          <w:color w:val="FF0000"/>
          <w:sz w:val="20"/>
          <w:szCs w:val="20"/>
          <w:lang w:val="en-GB"/>
        </w:rPr>
        <w:t>? Presumably GAWSIS will be linked to WIS somehow</w:t>
      </w:r>
    </w:p>
    <w:p w:rsidR="004E26B4" w:rsidRPr="00F11DE3" w:rsidRDefault="004E26B4" w:rsidP="00EF10BE">
      <w:pPr>
        <w:widowControl/>
        <w:numPr>
          <w:ilvl w:val="2"/>
          <w:numId w:val="1"/>
        </w:numPr>
        <w:tabs>
          <w:tab w:val="clear" w:pos="5010"/>
          <w:tab w:val="num" w:pos="1800"/>
        </w:tabs>
        <w:autoSpaceDE w:val="0"/>
        <w:autoSpaceDN w:val="0"/>
        <w:adjustRightInd w:val="0"/>
        <w:spacing w:before="120" w:after="120"/>
        <w:ind w:hanging="3930"/>
        <w:rPr>
          <w:rFonts w:cs="Arial"/>
          <w:b/>
          <w:bCs/>
          <w:sz w:val="20"/>
          <w:szCs w:val="20"/>
          <w:lang w:val="en-GB"/>
        </w:rPr>
      </w:pPr>
      <w:r w:rsidRPr="00F11DE3">
        <w:rPr>
          <w:rFonts w:cs="Arial"/>
          <w:b/>
          <w:bCs/>
          <w:sz w:val="20"/>
          <w:szCs w:val="20"/>
          <w:lang w:val="en-GB"/>
        </w:rPr>
        <w:t>WIS Discovery metadata</w:t>
      </w:r>
    </w:p>
    <w:p w:rsidR="004E26B4" w:rsidRPr="007A2038" w:rsidRDefault="004E26B4" w:rsidP="00EF10BE">
      <w:pPr>
        <w:tabs>
          <w:tab w:val="left" w:pos="1800"/>
        </w:tabs>
        <w:autoSpaceDE w:val="0"/>
        <w:autoSpaceDN w:val="0"/>
        <w:adjustRightInd w:val="0"/>
        <w:spacing w:before="120" w:after="120"/>
        <w:ind w:left="1080"/>
        <w:rPr>
          <w:rFonts w:ascii="ArialMT" w:eastAsia="SimSun" w:hAnsi="ArialMT" w:cs="ArialMT"/>
          <w:b/>
          <w:bCs/>
          <w:color w:val="FF0000"/>
          <w:sz w:val="20"/>
          <w:szCs w:val="20"/>
          <w:lang w:val="en-GB" w:eastAsia="zh-CN"/>
        </w:rPr>
      </w:pPr>
      <w:r>
        <w:rPr>
          <w:rFonts w:ascii="ArialMT" w:eastAsia="SimSun" w:hAnsi="ArialMT" w:cs="ArialMT"/>
          <w:b/>
          <w:bCs/>
          <w:sz w:val="20"/>
          <w:szCs w:val="20"/>
          <w:lang w:val="en-GB" w:eastAsia="zh-CN"/>
        </w:rPr>
        <w:tab/>
      </w:r>
      <w:r w:rsidRPr="007A2038">
        <w:rPr>
          <w:rFonts w:ascii="ArialMT" w:eastAsia="SimSun" w:hAnsi="ArialMT" w:cs="ArialMT"/>
          <w:b/>
          <w:bCs/>
          <w:color w:val="FF0000"/>
          <w:sz w:val="20"/>
          <w:szCs w:val="20"/>
          <w:lang w:val="en-GB" w:eastAsia="zh-CN"/>
        </w:rPr>
        <w:t>? GAWSIS can be searched through WIS</w:t>
      </w:r>
    </w:p>
    <w:p w:rsidR="004E26B4" w:rsidRPr="00F11DE3" w:rsidRDefault="004E26B4" w:rsidP="00EF10BE">
      <w:pPr>
        <w:widowControl/>
        <w:numPr>
          <w:ilvl w:val="1"/>
          <w:numId w:val="1"/>
        </w:numPr>
        <w:tabs>
          <w:tab w:val="clear" w:pos="495"/>
        </w:tabs>
        <w:autoSpaceDE w:val="0"/>
        <w:autoSpaceDN w:val="0"/>
        <w:adjustRightInd w:val="0"/>
        <w:spacing w:before="120" w:after="120"/>
        <w:ind w:left="1080"/>
        <w:rPr>
          <w:rFonts w:eastAsia="SimSun" w:cs="Arial"/>
          <w:b/>
          <w:bCs/>
          <w:lang w:val="en-GB" w:eastAsia="zh-CN"/>
        </w:rPr>
      </w:pPr>
      <w:r w:rsidRPr="00F11DE3">
        <w:rPr>
          <w:rFonts w:ascii="ArialMT" w:eastAsia="SimSun" w:hAnsi="ArialMT" w:cs="ArialMT"/>
          <w:b/>
          <w:bCs/>
          <w:lang w:val="en-GB" w:eastAsia="zh-CN"/>
        </w:rPr>
        <w:t xml:space="preserve">Quality </w:t>
      </w:r>
      <w:r w:rsidRPr="00F11DE3">
        <w:rPr>
          <w:rFonts w:eastAsia="SimSun" w:cs="Arial"/>
          <w:b/>
          <w:bCs/>
          <w:lang w:val="en-GB" w:eastAsia="zh-CN"/>
        </w:rPr>
        <w:t xml:space="preserve">Management  </w:t>
      </w:r>
      <w:r w:rsidRPr="00F11DE3">
        <w:rPr>
          <w:rFonts w:eastAsia="SimSun" w:cs="Arial"/>
          <w:b/>
          <w:bCs/>
          <w:lang w:val="en-GB" w:eastAsia="zh-CN"/>
        </w:rPr>
        <w:tab/>
      </w:r>
      <w:r w:rsidRPr="00F11DE3">
        <w:rPr>
          <w:rFonts w:eastAsia="SimSun" w:cs="Arial"/>
          <w:b/>
          <w:bCs/>
          <w:lang w:val="en-GB" w:eastAsia="zh-CN"/>
        </w:rPr>
        <w:tab/>
      </w:r>
      <w:r w:rsidRPr="00F11DE3">
        <w:rPr>
          <w:rFonts w:eastAsia="SimSun" w:cs="Arial"/>
          <w:b/>
          <w:bCs/>
          <w:lang w:val="en-GB" w:eastAsia="zh-CN"/>
        </w:rPr>
        <w:tab/>
      </w:r>
      <w:r w:rsidRPr="00F11DE3">
        <w:rPr>
          <w:rFonts w:eastAsia="SimSun" w:cs="Arial"/>
          <w:b/>
          <w:bCs/>
          <w:lang w:val="en-GB" w:eastAsia="zh-CN"/>
        </w:rPr>
        <w:tab/>
      </w:r>
      <w:r w:rsidRPr="00F11DE3">
        <w:rPr>
          <w:rFonts w:eastAsia="SimSun" w:cs="Arial"/>
          <w:b/>
          <w:bCs/>
          <w:lang w:val="en-GB" w:eastAsia="zh-CN"/>
        </w:rPr>
        <w:tab/>
      </w:r>
      <w:r w:rsidRPr="00F11DE3">
        <w:rPr>
          <w:rFonts w:eastAsia="SimSun" w:cs="Arial"/>
          <w:b/>
          <w:bCs/>
          <w:lang w:val="en-GB" w:eastAsia="zh-CN"/>
        </w:rPr>
        <w:tab/>
      </w:r>
      <w:r w:rsidRPr="00F11DE3">
        <w:rPr>
          <w:rFonts w:eastAsia="SimSun" w:cs="Arial"/>
          <w:b/>
          <w:bCs/>
          <w:lang w:val="en-GB" w:eastAsia="zh-CN"/>
        </w:rPr>
        <w:tab/>
      </w:r>
      <w:r w:rsidRPr="00F11DE3">
        <w:rPr>
          <w:rFonts w:eastAsia="SimSun" w:cs="Arial"/>
          <w:b/>
          <w:bCs/>
          <w:lang w:val="en-GB" w:eastAsia="zh-CN"/>
        </w:rPr>
        <w:tab/>
      </w:r>
      <w:r w:rsidRPr="00F11DE3">
        <w:rPr>
          <w:rFonts w:eastAsia="SimSun" w:cs="Arial"/>
          <w:b/>
          <w:bCs/>
          <w:lang w:val="en-GB" w:eastAsia="zh-CN"/>
        </w:rPr>
        <w:tab/>
        <w:t xml:space="preserve">  </w:t>
      </w:r>
    </w:p>
    <w:p w:rsidR="004E26B4" w:rsidRPr="00F11DE3" w:rsidRDefault="004E26B4" w:rsidP="00EF10BE">
      <w:pPr>
        <w:widowControl/>
        <w:numPr>
          <w:ilvl w:val="2"/>
          <w:numId w:val="1"/>
        </w:numPr>
        <w:tabs>
          <w:tab w:val="clear" w:pos="5010"/>
          <w:tab w:val="num" w:pos="1800"/>
        </w:tabs>
        <w:autoSpaceDE w:val="0"/>
        <w:autoSpaceDN w:val="0"/>
        <w:adjustRightInd w:val="0"/>
        <w:spacing w:before="120" w:after="120"/>
        <w:ind w:hanging="3930"/>
        <w:rPr>
          <w:rFonts w:eastAsia="SimSun" w:cs="Arial"/>
          <w:b/>
          <w:bCs/>
          <w:sz w:val="20"/>
          <w:szCs w:val="20"/>
          <w:lang w:val="en-GB" w:eastAsia="zh-CN"/>
        </w:rPr>
      </w:pPr>
      <w:r w:rsidRPr="00F11DE3">
        <w:rPr>
          <w:rFonts w:eastAsia="SimSun" w:cs="Arial"/>
          <w:b/>
          <w:bCs/>
          <w:sz w:val="20"/>
          <w:szCs w:val="20"/>
          <w:lang w:val="en-GB" w:eastAsia="zh-CN"/>
        </w:rPr>
        <w:t>WMO Quality Management Framework</w:t>
      </w:r>
    </w:p>
    <w:p w:rsidR="004E26B4" w:rsidRPr="00F11DE3" w:rsidRDefault="004E26B4" w:rsidP="00EF10BE">
      <w:pPr>
        <w:widowControl/>
        <w:numPr>
          <w:ilvl w:val="2"/>
          <w:numId w:val="1"/>
        </w:numPr>
        <w:tabs>
          <w:tab w:val="clear" w:pos="5010"/>
          <w:tab w:val="num" w:pos="1800"/>
        </w:tabs>
        <w:autoSpaceDE w:val="0"/>
        <w:autoSpaceDN w:val="0"/>
        <w:adjustRightInd w:val="0"/>
        <w:spacing w:before="120" w:after="120"/>
        <w:ind w:hanging="3930"/>
        <w:rPr>
          <w:rFonts w:eastAsia="SimSun" w:cs="Arial"/>
          <w:b/>
          <w:bCs/>
          <w:sz w:val="20"/>
          <w:szCs w:val="20"/>
          <w:lang w:val="en-GB" w:eastAsia="zh-CN"/>
        </w:rPr>
      </w:pPr>
      <w:r w:rsidRPr="00F11DE3">
        <w:rPr>
          <w:rFonts w:eastAsia="SimSun" w:cs="Arial"/>
          <w:b/>
          <w:bCs/>
          <w:sz w:val="20"/>
          <w:szCs w:val="20"/>
          <w:lang w:val="en-GB" w:eastAsia="zh-CN"/>
        </w:rPr>
        <w:t>Development and Implementation of Quality Management Systems</w:t>
      </w:r>
    </w:p>
    <w:p w:rsidR="004E26B4" w:rsidRPr="00F11DE3" w:rsidRDefault="004E26B4" w:rsidP="00EF10BE">
      <w:pPr>
        <w:autoSpaceDE w:val="0"/>
        <w:autoSpaceDN w:val="0"/>
        <w:adjustRightInd w:val="0"/>
        <w:spacing w:before="120" w:after="120"/>
        <w:ind w:left="1440"/>
        <w:rPr>
          <w:rFonts w:eastAsia="SimSun" w:cs="Arial"/>
          <w:bCs/>
          <w:sz w:val="20"/>
          <w:szCs w:val="20"/>
          <w:lang w:val="en-GB" w:eastAsia="zh-CN"/>
        </w:rPr>
      </w:pPr>
      <w:r w:rsidRPr="00F11DE3">
        <w:rPr>
          <w:rFonts w:eastAsia="SimSun" w:cs="Arial"/>
          <w:b/>
          <w:bCs/>
          <w:sz w:val="20"/>
          <w:szCs w:val="20"/>
          <w:lang w:val="en-GB" w:eastAsia="zh-CN"/>
        </w:rPr>
        <w:t xml:space="preserve">      </w:t>
      </w:r>
      <w:r w:rsidRPr="00F11DE3">
        <w:rPr>
          <w:rFonts w:eastAsia="SimSun" w:cs="Arial"/>
          <w:bCs/>
          <w:sz w:val="20"/>
          <w:szCs w:val="20"/>
          <w:lang w:val="en-GB" w:eastAsia="zh-CN"/>
        </w:rPr>
        <w:t>5.6.2.1 Performance Monitoring and Continuous Improvement</w:t>
      </w:r>
    </w:p>
    <w:p w:rsidR="004E26B4" w:rsidRPr="00F11DE3" w:rsidRDefault="004E26B4" w:rsidP="00EF10BE">
      <w:pPr>
        <w:autoSpaceDE w:val="0"/>
        <w:autoSpaceDN w:val="0"/>
        <w:adjustRightInd w:val="0"/>
        <w:spacing w:before="120" w:after="120"/>
        <w:rPr>
          <w:rFonts w:eastAsia="SimSun" w:cs="Arial"/>
          <w:bCs/>
          <w:sz w:val="20"/>
          <w:szCs w:val="20"/>
          <w:lang w:val="en-GB" w:eastAsia="zh-CN"/>
        </w:rPr>
      </w:pPr>
      <w:r w:rsidRPr="00F11DE3">
        <w:rPr>
          <w:rFonts w:eastAsia="SimSun" w:cs="Arial"/>
          <w:b/>
          <w:bCs/>
          <w:sz w:val="20"/>
          <w:szCs w:val="20"/>
          <w:lang w:val="en-GB" w:eastAsia="zh-CN"/>
        </w:rPr>
        <w:t xml:space="preserve">                                </w:t>
      </w:r>
      <w:r w:rsidRPr="00F11DE3">
        <w:rPr>
          <w:rFonts w:eastAsia="SimSun" w:cs="Arial"/>
          <w:bCs/>
          <w:sz w:val="20"/>
          <w:szCs w:val="20"/>
          <w:lang w:val="en-GB" w:eastAsia="zh-CN"/>
        </w:rPr>
        <w:t xml:space="preserve">5.6.2.2 Management of Change </w:t>
      </w:r>
      <w:r w:rsidRPr="00F11DE3">
        <w:rPr>
          <w:rFonts w:eastAsia="SimSun" w:cs="Arial"/>
          <w:sz w:val="20"/>
          <w:szCs w:val="20"/>
          <w:lang w:val="en-GB" w:eastAsia="zh-CN"/>
        </w:rPr>
        <w:t>– need a cross reference to 5.4.5</w:t>
      </w:r>
    </w:p>
    <w:p w:rsidR="004E26B4" w:rsidRPr="00F11DE3" w:rsidRDefault="004E26B4" w:rsidP="00EF10BE">
      <w:pPr>
        <w:widowControl/>
        <w:numPr>
          <w:ilvl w:val="2"/>
          <w:numId w:val="1"/>
        </w:numPr>
        <w:tabs>
          <w:tab w:val="clear" w:pos="5010"/>
          <w:tab w:val="num" w:pos="1800"/>
        </w:tabs>
        <w:autoSpaceDE w:val="0"/>
        <w:autoSpaceDN w:val="0"/>
        <w:adjustRightInd w:val="0"/>
        <w:spacing w:before="120" w:after="120"/>
        <w:ind w:hanging="3930"/>
        <w:rPr>
          <w:rFonts w:eastAsia="SimSun" w:cs="Arial"/>
          <w:bCs/>
          <w:i/>
          <w:color w:val="800080"/>
          <w:sz w:val="20"/>
          <w:szCs w:val="20"/>
          <w:lang w:val="en-GB" w:eastAsia="zh-CN"/>
        </w:rPr>
      </w:pPr>
      <w:r w:rsidRPr="00F11DE3">
        <w:rPr>
          <w:rFonts w:eastAsia="SimSun" w:cs="Arial"/>
          <w:b/>
          <w:bCs/>
          <w:sz w:val="20"/>
          <w:szCs w:val="20"/>
          <w:lang w:val="en-GB" w:eastAsia="zh-CN"/>
        </w:rPr>
        <w:t>Documentation</w:t>
      </w:r>
    </w:p>
    <w:p w:rsidR="004E26B4" w:rsidRPr="00F11DE3" w:rsidRDefault="004E26B4" w:rsidP="00EF10BE">
      <w:pPr>
        <w:autoSpaceDE w:val="0"/>
        <w:autoSpaceDN w:val="0"/>
        <w:adjustRightInd w:val="0"/>
        <w:spacing w:before="120" w:after="120"/>
        <w:rPr>
          <w:rFonts w:eastAsia="SimSun" w:cs="Arial"/>
          <w:b/>
          <w:bCs/>
          <w:sz w:val="20"/>
          <w:szCs w:val="20"/>
          <w:lang w:val="en-GB" w:eastAsia="zh-CN"/>
        </w:rPr>
      </w:pPr>
      <w:r w:rsidRPr="00F11DE3">
        <w:rPr>
          <w:rFonts w:eastAsia="SimSun" w:cs="Arial"/>
          <w:bCs/>
          <w:sz w:val="20"/>
          <w:szCs w:val="20"/>
          <w:lang w:val="en-GB" w:eastAsia="zh-CN"/>
        </w:rPr>
        <w:t>(…. Note: see TR Vol.</w:t>
      </w:r>
      <w:r>
        <w:rPr>
          <w:rFonts w:eastAsia="SimSun" w:cs="Arial"/>
          <w:bCs/>
          <w:sz w:val="20"/>
          <w:szCs w:val="20"/>
          <w:lang w:val="en-GB" w:eastAsia="zh-CN"/>
        </w:rPr>
        <w:t xml:space="preserve"> </w:t>
      </w:r>
      <w:r w:rsidRPr="00F11DE3">
        <w:rPr>
          <w:rFonts w:eastAsia="SimSun" w:cs="Arial"/>
          <w:bCs/>
          <w:sz w:val="20"/>
          <w:szCs w:val="20"/>
          <w:lang w:val="en-GB" w:eastAsia="zh-CN"/>
        </w:rPr>
        <w:t>IV on the WMO QMF, especially the description of hierarchy of docs in 4 levels)</w:t>
      </w:r>
    </w:p>
    <w:p w:rsidR="004E26B4" w:rsidRPr="00F11DE3" w:rsidRDefault="004E26B4" w:rsidP="00EF10BE">
      <w:pPr>
        <w:autoSpaceDE w:val="0"/>
        <w:autoSpaceDN w:val="0"/>
        <w:adjustRightInd w:val="0"/>
        <w:spacing w:before="120" w:after="120"/>
        <w:ind w:left="1080"/>
        <w:rPr>
          <w:rFonts w:eastAsia="SimSun" w:cs="Arial"/>
          <w:b/>
          <w:bCs/>
          <w:sz w:val="20"/>
          <w:szCs w:val="20"/>
          <w:lang w:val="en-GB" w:eastAsia="zh-CN"/>
        </w:rPr>
      </w:pPr>
    </w:p>
    <w:p w:rsidR="004E26B4" w:rsidRDefault="004E26B4" w:rsidP="00EF10BE">
      <w:pPr>
        <w:widowControl/>
        <w:numPr>
          <w:ilvl w:val="1"/>
          <w:numId w:val="1"/>
        </w:numPr>
        <w:tabs>
          <w:tab w:val="left" w:pos="1080"/>
        </w:tabs>
        <w:autoSpaceDE w:val="0"/>
        <w:autoSpaceDN w:val="0"/>
        <w:adjustRightInd w:val="0"/>
        <w:spacing w:before="120" w:after="120"/>
        <w:ind w:firstLine="45"/>
        <w:rPr>
          <w:rFonts w:ascii="ArialMT" w:eastAsia="SimSun" w:hAnsi="ArialMT" w:cs="ArialMT"/>
          <w:b/>
          <w:bCs/>
          <w:lang w:val="en-GB" w:eastAsia="zh-CN"/>
        </w:rPr>
      </w:pPr>
      <w:r w:rsidRPr="00F11DE3">
        <w:rPr>
          <w:rFonts w:cs="Arial"/>
          <w:b/>
          <w:bCs/>
          <w:lang w:val="en-GB"/>
        </w:rPr>
        <w:t>Capacity Development</w:t>
      </w:r>
    </w:p>
    <w:p w:rsidR="004E26B4" w:rsidRDefault="004E26B4" w:rsidP="00EF4BB5">
      <w:pPr>
        <w:widowControl/>
        <w:tabs>
          <w:tab w:val="left" w:pos="1080"/>
        </w:tabs>
        <w:autoSpaceDE w:val="0"/>
        <w:autoSpaceDN w:val="0"/>
        <w:adjustRightInd w:val="0"/>
        <w:spacing w:before="120" w:after="120"/>
        <w:ind w:left="540"/>
        <w:rPr>
          <w:rFonts w:cs="Arial"/>
          <w:iCs/>
          <w:lang w:val="en-GB"/>
        </w:rPr>
      </w:pPr>
      <w:r>
        <w:rPr>
          <w:rFonts w:ascii="ArialMT" w:eastAsia="SimSun" w:hAnsi="ArialMT" w:cs="ArialMT"/>
          <w:bCs/>
          <w:lang w:val="en-GB" w:eastAsia="zh-CN"/>
        </w:rPr>
        <w:t xml:space="preserve">Members may apply to have a station or network of stations recognised as a GAW station: Global, Regional or Contributing. </w:t>
      </w:r>
      <w:r w:rsidRPr="00EF4BB5">
        <w:rPr>
          <w:rFonts w:ascii="ArialMT" w:eastAsia="SimSun" w:hAnsi="ArialMT" w:cs="ArialMT"/>
          <w:bCs/>
          <w:lang w:val="en-GB" w:eastAsia="zh-CN"/>
        </w:rPr>
        <w:t>Potential stations</w:t>
      </w:r>
      <w:r>
        <w:rPr>
          <w:rFonts w:cs="Arial"/>
          <w:i/>
          <w:iCs/>
          <w:lang w:val="en-GB"/>
        </w:rPr>
        <w:t xml:space="preserve"> </w:t>
      </w:r>
      <w:r>
        <w:rPr>
          <w:rFonts w:cs="Arial"/>
          <w:iCs/>
          <w:lang w:val="en-GB"/>
        </w:rPr>
        <w:t xml:space="preserve">shall first meet the requirements listed in section 1.3.5, and operators shall agree to submit data to the appropriate WDCs. </w:t>
      </w:r>
      <w:r w:rsidRPr="00E11FF9">
        <w:rPr>
          <w:rFonts w:cs="Arial"/>
          <w:iCs/>
          <w:color w:val="FF0000"/>
          <w:lang w:val="en-GB"/>
        </w:rPr>
        <w:t>Approval of the SAGs and …??.. Liisa</w:t>
      </w:r>
      <w:r>
        <w:rPr>
          <w:rFonts w:cs="Arial"/>
          <w:i/>
          <w:iCs/>
          <w:lang w:val="en-GB"/>
        </w:rPr>
        <w:t xml:space="preserve"> </w:t>
      </w:r>
      <w:r>
        <w:rPr>
          <w:rFonts w:cs="Arial"/>
          <w:iCs/>
          <w:lang w:val="en-GB"/>
        </w:rPr>
        <w:t>is sought for such applicants.</w:t>
      </w:r>
    </w:p>
    <w:p w:rsidR="004E26B4" w:rsidRPr="00EF4BB5" w:rsidRDefault="004E26B4" w:rsidP="00EF4BB5">
      <w:pPr>
        <w:widowControl/>
        <w:tabs>
          <w:tab w:val="left" w:pos="1080"/>
        </w:tabs>
        <w:autoSpaceDE w:val="0"/>
        <w:autoSpaceDN w:val="0"/>
        <w:adjustRightInd w:val="0"/>
        <w:spacing w:before="120" w:after="120"/>
        <w:ind w:left="540"/>
        <w:rPr>
          <w:rFonts w:ascii="ArialMT" w:eastAsia="SimSun" w:hAnsi="ArialMT" w:cs="ArialMT"/>
          <w:bCs/>
          <w:lang w:val="en-GB" w:eastAsia="zh-CN"/>
        </w:rPr>
      </w:pPr>
      <w:r>
        <w:rPr>
          <w:rFonts w:cs="Arial"/>
          <w:iCs/>
          <w:lang w:val="en-GB"/>
        </w:rPr>
        <w:t>In some regions of the world, and for some GAW variables, where there is a clear lack of capacity, members may be requested to help support a station, or existing stations may be approached to become a part of GAW. Such requests and invitations come after approval by the appropriate SAGs.</w:t>
      </w:r>
    </w:p>
    <w:p w:rsidR="004E26B4" w:rsidRDefault="004E26B4"/>
    <w:sectPr w:rsidR="004E26B4" w:rsidSect="00E57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StoneSerif">
    <w:altName w:val="1Stone Serif"/>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numPicBullet w:numPicBulletId="5">
    <w:pict>
      <v:shape id="_x0000_i1030" type="#_x0000_t75" style="width:3in;height:3in" o:bullet="t">
        <v:imagedata r:id="rId1" o:title=""/>
      </v:shape>
    </w:pict>
  </w:numPicBullet>
  <w:abstractNum w:abstractNumId="0">
    <w:nsid w:val="0AD5518C"/>
    <w:multiLevelType w:val="multilevel"/>
    <w:tmpl w:val="7BE6BCE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97B03"/>
    <w:multiLevelType w:val="multilevel"/>
    <w:tmpl w:val="5CB2B4B0"/>
    <w:lvl w:ilvl="0">
      <w:start w:val="5"/>
      <w:numFmt w:val="decimal"/>
      <w:lvlText w:val="%1."/>
      <w:lvlJc w:val="left"/>
      <w:pPr>
        <w:tabs>
          <w:tab w:val="num" w:pos="495"/>
        </w:tabs>
        <w:ind w:left="495" w:hanging="495"/>
      </w:pPr>
      <w:rPr>
        <w:rFonts w:cs="Times New Roman" w:hint="default"/>
        <w:sz w:val="22"/>
        <w:szCs w:val="22"/>
      </w:rPr>
    </w:lvl>
    <w:lvl w:ilvl="1">
      <w:start w:val="1"/>
      <w:numFmt w:val="decimal"/>
      <w:lvlText w:val="%1.%2"/>
      <w:lvlJc w:val="left"/>
      <w:pPr>
        <w:tabs>
          <w:tab w:val="num" w:pos="495"/>
        </w:tabs>
        <w:ind w:left="495" w:hanging="495"/>
      </w:pPr>
      <w:rPr>
        <w:rFonts w:cs="Times New Roman" w:hint="default"/>
        <w:b w:val="0"/>
        <w:bCs/>
        <w:i w:val="0"/>
        <w:iCs/>
      </w:rPr>
    </w:lvl>
    <w:lvl w:ilvl="2">
      <w:start w:val="1"/>
      <w:numFmt w:val="decimal"/>
      <w:lvlText w:val="%1.%2.%3"/>
      <w:lvlJc w:val="left"/>
      <w:pPr>
        <w:tabs>
          <w:tab w:val="num" w:pos="5010"/>
        </w:tabs>
        <w:ind w:left="5010" w:hanging="720"/>
      </w:pPr>
      <w:rPr>
        <w:rFonts w:cs="Times New Roman" w:hint="default"/>
        <w:b w:val="0"/>
        <w:i w:val="0"/>
        <w:iCs/>
        <w:color w:val="auto"/>
        <w:sz w:val="20"/>
        <w:szCs w:val="20"/>
      </w:rPr>
    </w:lvl>
    <w:lvl w:ilvl="3">
      <w:start w:val="1"/>
      <w:numFmt w:val="none"/>
      <w:lvlText w:val="1.8.4.1"/>
      <w:lvlJc w:val="left"/>
      <w:pPr>
        <w:tabs>
          <w:tab w:val="num" w:pos="360"/>
        </w:tabs>
        <w:ind w:left="360" w:hanging="360"/>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val="0"/>
        <w:i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66E3CEF"/>
    <w:multiLevelType w:val="multilevel"/>
    <w:tmpl w:val="CE04146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86BB9"/>
    <w:multiLevelType w:val="multilevel"/>
    <w:tmpl w:val="D8EEA670"/>
    <w:lvl w:ilvl="0">
      <w:start w:val="1"/>
      <w:numFmt w:val="decimal"/>
      <w:lvlText w:val="%1."/>
      <w:lvlJc w:val="left"/>
      <w:pPr>
        <w:tabs>
          <w:tab w:val="num" w:pos="495"/>
        </w:tabs>
        <w:ind w:left="495" w:hanging="495"/>
      </w:pPr>
      <w:rPr>
        <w:rFonts w:cs="Times New Roman" w:hint="default"/>
        <w:sz w:val="22"/>
        <w:szCs w:val="22"/>
      </w:rPr>
    </w:lvl>
    <w:lvl w:ilvl="1">
      <w:start w:val="1"/>
      <w:numFmt w:val="decimal"/>
      <w:lvlText w:val="%1.%2"/>
      <w:lvlJc w:val="left"/>
      <w:pPr>
        <w:tabs>
          <w:tab w:val="num" w:pos="495"/>
        </w:tabs>
        <w:ind w:left="495" w:hanging="495"/>
      </w:pPr>
      <w:rPr>
        <w:rFonts w:cs="Times New Roman" w:hint="default"/>
        <w:b w:val="0"/>
        <w:bCs/>
        <w:i w:val="0"/>
        <w:iCs/>
      </w:rPr>
    </w:lvl>
    <w:lvl w:ilvl="2">
      <w:start w:val="1"/>
      <w:numFmt w:val="decimal"/>
      <w:lvlText w:val="%1.%2.%3"/>
      <w:lvlJc w:val="left"/>
      <w:pPr>
        <w:tabs>
          <w:tab w:val="num" w:pos="5010"/>
        </w:tabs>
        <w:ind w:left="5010" w:hanging="720"/>
      </w:pPr>
      <w:rPr>
        <w:rFonts w:cs="Times New Roman" w:hint="default"/>
        <w:b w:val="0"/>
        <w:i w:val="0"/>
        <w:iCs/>
        <w:color w:val="auto"/>
        <w:sz w:val="20"/>
        <w:szCs w:val="20"/>
      </w:rPr>
    </w:lvl>
    <w:lvl w:ilvl="3">
      <w:start w:val="1"/>
      <w:numFmt w:val="none"/>
      <w:lvlText w:val="1.8.4.1"/>
      <w:lvlJc w:val="left"/>
      <w:pPr>
        <w:tabs>
          <w:tab w:val="num" w:pos="360"/>
        </w:tabs>
        <w:ind w:left="360" w:hanging="360"/>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val="0"/>
        <w:i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61C207D"/>
    <w:multiLevelType w:val="multilevel"/>
    <w:tmpl w:val="21E6EDB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0BE"/>
    <w:rsid w:val="00053DA3"/>
    <w:rsid w:val="00156AFF"/>
    <w:rsid w:val="001D030F"/>
    <w:rsid w:val="001D139E"/>
    <w:rsid w:val="001F7F85"/>
    <w:rsid w:val="00292CDE"/>
    <w:rsid w:val="002C6683"/>
    <w:rsid w:val="002E4A05"/>
    <w:rsid w:val="00366CDA"/>
    <w:rsid w:val="00410825"/>
    <w:rsid w:val="00487E50"/>
    <w:rsid w:val="004A0003"/>
    <w:rsid w:val="004A534F"/>
    <w:rsid w:val="004C062B"/>
    <w:rsid w:val="004E26B4"/>
    <w:rsid w:val="006D02AA"/>
    <w:rsid w:val="006D48E9"/>
    <w:rsid w:val="007446BA"/>
    <w:rsid w:val="00783E14"/>
    <w:rsid w:val="007A2038"/>
    <w:rsid w:val="00891220"/>
    <w:rsid w:val="0094459B"/>
    <w:rsid w:val="009D3FA2"/>
    <w:rsid w:val="00A17AB0"/>
    <w:rsid w:val="00B6415F"/>
    <w:rsid w:val="00BE1352"/>
    <w:rsid w:val="00CF5072"/>
    <w:rsid w:val="00DA50FA"/>
    <w:rsid w:val="00DB480C"/>
    <w:rsid w:val="00DE4AB1"/>
    <w:rsid w:val="00E11FF9"/>
    <w:rsid w:val="00E57810"/>
    <w:rsid w:val="00E67B84"/>
    <w:rsid w:val="00ED1046"/>
    <w:rsid w:val="00EF10BE"/>
    <w:rsid w:val="00EF4BB5"/>
    <w:rsid w:val="00F11DE3"/>
    <w:rsid w:val="00F12A25"/>
    <w:rsid w:val="00FC3E56"/>
    <w:rsid w:val="00FC74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BE"/>
    <w:pPr>
      <w:widowControl w:val="0"/>
    </w:pPr>
    <w:rPr>
      <w:rFonts w:ascii="Arial" w:eastAsia="Times New Roman"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
    <w:name w:val="Char Char2 Char Char Char Char Char Char Char Char Char Char Char Char Char Char"/>
    <w:basedOn w:val="Normal"/>
    <w:uiPriority w:val="99"/>
    <w:rsid w:val="00EF10BE"/>
    <w:pPr>
      <w:widowControl/>
    </w:pPr>
    <w:rPr>
      <w:rFonts w:ascii="Times New Roman" w:hAnsi="Times New Roman"/>
      <w:sz w:val="24"/>
      <w:szCs w:val="24"/>
      <w:lang w:val="pl-PL" w:eastAsia="pl-PL"/>
    </w:rPr>
  </w:style>
  <w:style w:type="character" w:styleId="Hyperlink">
    <w:name w:val="Hyperlink"/>
    <w:basedOn w:val="DefaultParagraphFont"/>
    <w:uiPriority w:val="99"/>
    <w:rsid w:val="00ED1046"/>
    <w:rPr>
      <w:rFonts w:cs="Times New Roman"/>
      <w:color w:val="0033CC"/>
      <w:u w:val="none"/>
      <w:effect w:val="none"/>
    </w:rPr>
  </w:style>
  <w:style w:type="paragraph" w:styleId="ListParagraph">
    <w:name w:val="List Paragraph"/>
    <w:basedOn w:val="Normal"/>
    <w:uiPriority w:val="99"/>
    <w:qFormat/>
    <w:rsid w:val="004A0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arep/gaw/GAW_contr_network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mo.int/pages/prog/arep/gaw/GAW_Global_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o.int/pages/prog/gcos/" TargetMode="External"/><Relationship Id="rId11" Type="http://schemas.openxmlformats.org/officeDocument/2006/relationships/hyperlink" Target="http://www.wmo.int/pages/prog/arep/gaw/reports/pdf/gaw140.pdf" TargetMode="External"/><Relationship Id="rId5" Type="http://schemas.openxmlformats.org/officeDocument/2006/relationships/hyperlink" Target="ftp://ftp.wmo.int/Documents/PublicWeb/arep/gaw/gaw172-26sept07.pdf" TargetMode="External"/><Relationship Id="rId10" Type="http://schemas.openxmlformats.org/officeDocument/2006/relationships/hyperlink" Target="http://gaw.empa.ch/gawsis/default.asp" TargetMode="External"/><Relationship Id="rId4" Type="http://schemas.openxmlformats.org/officeDocument/2006/relationships/webSettings" Target="webSettings.xml"/><Relationship Id="rId9" Type="http://schemas.openxmlformats.org/officeDocument/2006/relationships/hyperlink" Target="http://gaw.empa.ch/gaws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5</Pages>
  <Words>1951</Words>
  <Characters>11124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mccssarw</dc:creator>
  <cp:keywords/>
  <dc:description/>
  <cp:lastModifiedBy>IZahumensky</cp:lastModifiedBy>
  <cp:revision>7</cp:revision>
  <dcterms:created xsi:type="dcterms:W3CDTF">2013-05-03T13:17:00Z</dcterms:created>
  <dcterms:modified xsi:type="dcterms:W3CDTF">2013-06-04T13:32:00Z</dcterms:modified>
</cp:coreProperties>
</file>