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4C52A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4C52A7">
              <w:rPr>
                <w:rFonts w:cs="Tahoma"/>
                <w:b/>
                <w:color w:val="365F91" w:themeColor="accent1" w:themeShade="BF"/>
                <w:spacing w:val="-2"/>
              </w:rPr>
              <w:t xml:space="preserve">Task Team on </w:t>
            </w:r>
            <w:r w:rsidR="003C5897">
              <w:rPr>
                <w:rFonts w:cs="Tahoma"/>
                <w:b/>
                <w:color w:val="365F91" w:themeColor="accent1" w:themeShade="BF"/>
                <w:spacing w:val="-2"/>
              </w:rPr>
              <w:t xml:space="preserve">WIGOS </w:t>
            </w:r>
            <w:r w:rsidR="004C52A7">
              <w:rPr>
                <w:rFonts w:cs="Tahoma"/>
                <w:b/>
                <w:color w:val="365F91" w:themeColor="accent1" w:themeShade="BF"/>
                <w:spacing w:val="-2"/>
              </w:rPr>
              <w:t>Metadata</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F84FAC" w:rsidP="004C52A7">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w:t>
            </w:r>
            <w:r w:rsidR="004C52A7">
              <w:rPr>
                <w:rFonts w:cstheme="minorBidi"/>
                <w:b/>
                <w:snapToGrid w:val="0"/>
                <w:color w:val="365F91" w:themeColor="accent1" w:themeShade="BF"/>
                <w:szCs w:val="22"/>
              </w:rPr>
              <w:t xml:space="preserve">ixth </w:t>
            </w:r>
            <w:r>
              <w:rPr>
                <w:rFonts w:cstheme="minorBidi"/>
                <w:b/>
                <w:snapToGrid w:val="0"/>
                <w:color w:val="365F91" w:themeColor="accent1" w:themeShade="BF"/>
                <w:szCs w:val="22"/>
              </w:rPr>
              <w:t>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4C52A7">
              <w:rPr>
                <w:snapToGrid w:val="0"/>
                <w:color w:val="365F91" w:themeColor="accent1" w:themeShade="BF"/>
                <w:szCs w:val="22"/>
              </w:rPr>
              <w:t>Zurich</w:t>
            </w:r>
            <w:r w:rsidR="00135830" w:rsidRPr="00837E38">
              <w:rPr>
                <w:snapToGrid w:val="0"/>
                <w:color w:val="365F91" w:themeColor="accent1" w:themeShade="BF"/>
                <w:szCs w:val="22"/>
              </w:rPr>
              <w:t xml:space="preserve">, Switzerland, </w:t>
            </w:r>
            <w:r w:rsidR="004C52A7">
              <w:rPr>
                <w:snapToGrid w:val="0"/>
                <w:color w:val="365F91" w:themeColor="accent1" w:themeShade="BF"/>
                <w:szCs w:val="22"/>
              </w:rPr>
              <w:t>27</w:t>
            </w:r>
            <w:r w:rsidR="00135830" w:rsidRPr="00837E38">
              <w:rPr>
                <w:snapToGrid w:val="0"/>
                <w:color w:val="365F91" w:themeColor="accent1" w:themeShade="BF"/>
                <w:szCs w:val="22"/>
              </w:rPr>
              <w:t>-</w:t>
            </w:r>
            <w:r w:rsidR="004C52A7">
              <w:rPr>
                <w:snapToGrid w:val="0"/>
                <w:color w:val="365F91" w:themeColor="accent1" w:themeShade="BF"/>
                <w:szCs w:val="22"/>
              </w:rPr>
              <w:t>29</w:t>
            </w:r>
            <w:r w:rsidR="003C5897">
              <w:rPr>
                <w:snapToGrid w:val="0"/>
                <w:color w:val="365F91" w:themeColor="accent1" w:themeShade="BF"/>
                <w:szCs w:val="22"/>
              </w:rPr>
              <w:t xml:space="preserve"> Nov</w:t>
            </w:r>
            <w:r w:rsidR="004C52A7">
              <w:rPr>
                <w:snapToGrid w:val="0"/>
                <w:color w:val="365F91" w:themeColor="accent1" w:themeShade="BF"/>
                <w:szCs w:val="22"/>
              </w:rPr>
              <w:t>ember</w:t>
            </w:r>
            <w:r w:rsidR="00135830" w:rsidRPr="00837E38">
              <w:rPr>
                <w:snapToGrid w:val="0"/>
                <w:color w:val="365F91" w:themeColor="accent1" w:themeShade="BF"/>
                <w:szCs w:val="22"/>
              </w:rPr>
              <w:t xml:space="preserve"> 2017</w:t>
            </w:r>
            <w:r w:rsidR="00135830" w:rsidRPr="00837E38">
              <w:rPr>
                <w:snapToGrid w:val="0"/>
                <w:color w:val="365F91" w:themeColor="accent1" w:themeShade="BF"/>
                <w:szCs w:val="22"/>
              </w:rPr>
              <w:fldChar w:fldCharType="end"/>
            </w:r>
          </w:p>
        </w:tc>
        <w:tc>
          <w:tcPr>
            <w:tcW w:w="3402" w:type="dxa"/>
          </w:tcPr>
          <w:p w:rsidR="00993581" w:rsidRPr="001B235A" w:rsidRDefault="00CA3DCA" w:rsidP="00CA3DCA">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4C52A7">
                  <w:rPr>
                    <w:rFonts w:cs="Tahoma"/>
                    <w:b/>
                    <w:bCs/>
                    <w:color w:val="365F91" w:themeColor="accent1" w:themeShade="BF"/>
                  </w:rPr>
                  <w:t>TT-WMD</w:t>
                </w:r>
                <w:r w:rsidR="001B235A" w:rsidRPr="001B235A">
                  <w:rPr>
                    <w:rFonts w:cs="Tahoma"/>
                    <w:b/>
                    <w:bCs/>
                    <w:color w:val="365F91" w:themeColor="accent1" w:themeShade="BF"/>
                  </w:rPr>
                  <w:t>-</w:t>
                </w:r>
                <w:r w:rsidR="004C52A7">
                  <w:rPr>
                    <w:rFonts w:cs="Tahoma"/>
                    <w:b/>
                    <w:bCs/>
                    <w:color w:val="365F91" w:themeColor="accent1" w:themeShade="BF"/>
                  </w:rPr>
                  <w:t>6</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Doc.</w:t>
                </w:r>
                <w:r>
                  <w:rPr>
                    <w:rFonts w:cs="Tahoma"/>
                    <w:b/>
                    <w:bCs/>
                    <w:color w:val="365F91" w:themeColor="accent1" w:themeShade="BF"/>
                    <w:lang w:val="en-US"/>
                  </w:rPr>
                  <w:t>4.5</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060BE">
                  <w:rPr>
                    <w:rFonts w:cs="Tahoma"/>
                    <w:color w:val="365F91" w:themeColor="accent1" w:themeShade="BF"/>
                  </w:rPr>
                  <w:t>Secretariat</w:t>
                </w:r>
              </w:sdtContent>
            </w:sdt>
          </w:p>
          <w:p w:rsidR="00993581" w:rsidRPr="003B6DFC" w:rsidRDefault="00CA3DCA" w:rsidP="00CA3DCA">
            <w:pPr>
              <w:tabs>
                <w:tab w:val="clear" w:pos="1134"/>
              </w:tabs>
              <w:spacing w:after="60"/>
              <w:ind w:right="-108"/>
              <w:jc w:val="right"/>
              <w:rPr>
                <w:rFonts w:cs="Tahoma"/>
                <w:color w:val="365F91" w:themeColor="accent1" w:themeShade="BF"/>
              </w:rPr>
            </w:pPr>
            <w:r>
              <w:rPr>
                <w:rFonts w:cs="Tahoma"/>
                <w:color w:val="365F91" w:themeColor="accent1" w:themeShade="BF"/>
              </w:rPr>
              <w:t>23</w:t>
            </w:r>
            <w:r w:rsidR="000D4FA3" w:rsidRPr="003B6DFC">
              <w:rPr>
                <w:rFonts w:cs="Tahoma"/>
                <w:color w:val="365F91" w:themeColor="accent1" w:themeShade="BF"/>
              </w:rPr>
              <w:t>.</w:t>
            </w:r>
            <w:r>
              <w:rPr>
                <w:rFonts w:cs="Tahoma"/>
                <w:color w:val="365F91" w:themeColor="accent1" w:themeShade="BF"/>
              </w:rPr>
              <w:t>11</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BE496E" w:rsidP="00BE496E">
                <w:pPr>
                  <w:tabs>
                    <w:tab w:val="clear" w:pos="1134"/>
                  </w:tabs>
                  <w:spacing w:after="60"/>
                  <w:ind w:right="-108"/>
                  <w:jc w:val="right"/>
                  <w:rPr>
                    <w:rFonts w:cs="Tahoma"/>
                    <w:b/>
                    <w:bCs/>
                    <w:color w:val="365F91" w:themeColor="accent1" w:themeShade="BF"/>
                  </w:rPr>
                </w:pPr>
                <w:r>
                  <w:rPr>
                    <w:rFonts w:cs="Tahoma"/>
                    <w:b/>
                    <w:bCs/>
                    <w:color w:val="365F91" w:themeColor="accent1" w:themeShade="BF"/>
                  </w:rPr>
                  <w:t>Version</w:t>
                </w:r>
                <w:r w:rsidR="0050695F" w:rsidRPr="003B6DFC">
                  <w:rPr>
                    <w:rFonts w:cs="Tahoma"/>
                    <w:b/>
                    <w:bCs/>
                    <w:color w:val="365F91" w:themeColor="accent1" w:themeShade="BF"/>
                  </w:rPr>
                  <w:t xml:space="preserve"> </w:t>
                </w:r>
                <w:r>
                  <w:rPr>
                    <w:rFonts w:cs="Tahoma"/>
                    <w:b/>
                    <w:bCs/>
                    <w:color w:val="365F91" w:themeColor="accent1" w:themeShade="BF"/>
                  </w:rPr>
                  <w:t>2</w:t>
                </w:r>
              </w:p>
            </w:sdtContent>
          </w:sdt>
        </w:tc>
      </w:tr>
    </w:tbl>
    <w:p w:rsidR="00583549" w:rsidRPr="003B6DFC" w:rsidRDefault="00583549" w:rsidP="00B56934">
      <w:pPr>
        <w:pStyle w:val="Heading1"/>
        <w:rPr>
          <w:sz w:val="20"/>
          <w:szCs w:val="20"/>
        </w:rPr>
      </w:pPr>
      <w:bookmarkStart w:id="0" w:name="_APPENDIX_A:_"/>
      <w:bookmarkEnd w:id="0"/>
    </w:p>
    <w:p w:rsidR="00EC118D" w:rsidRPr="00EC118D" w:rsidRDefault="00131622" w:rsidP="00EC118D">
      <w:pPr>
        <w:pStyle w:val="Heading1"/>
        <w:rPr>
          <w:sz w:val="20"/>
          <w:szCs w:val="20"/>
        </w:rPr>
      </w:pPr>
      <w:bookmarkStart w:id="1" w:name="_Toc319327009"/>
      <w:bookmarkStart w:id="2" w:name="_GoBack"/>
      <w:bookmarkEnd w:id="2"/>
      <w:r>
        <w:rPr>
          <w:sz w:val="20"/>
          <w:szCs w:val="20"/>
        </w:rPr>
        <w:t>Global Cryosphere Watch (GCW) and OSCAR/SURFACE</w:t>
      </w:r>
    </w:p>
    <w:p w:rsidR="00EC118D" w:rsidRPr="00EC118D" w:rsidRDefault="00EC118D" w:rsidP="00EC118D">
      <w:pPr>
        <w:pStyle w:val="Heading1"/>
        <w:rPr>
          <w:sz w:val="20"/>
          <w:szCs w:val="20"/>
        </w:rPr>
      </w:pPr>
    </w:p>
    <w:p w:rsidR="003E2A58" w:rsidRPr="00D6251E" w:rsidRDefault="003E2A58" w:rsidP="00EC118D">
      <w:pPr>
        <w:jc w:val="center"/>
      </w:pPr>
      <w:r w:rsidRPr="00D6251E">
        <w:t xml:space="preserve">(Submitted by </w:t>
      </w:r>
      <w:r w:rsidR="00131622">
        <w:t>WMO Secretariat</w:t>
      </w:r>
      <w:r w:rsidRPr="00D6251E">
        <w: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131622" w:rsidP="0035216A">
            <w:pPr>
              <w:jc w:val="center"/>
            </w:pPr>
            <w:r>
              <w:rPr>
                <w:b/>
              </w:rPr>
              <w:t>Feedback from GCW regarding the development and implementation of metadata for cryosphere variables</w:t>
            </w:r>
          </w:p>
          <w:p w:rsidR="003E2A58" w:rsidRPr="00D6251E" w:rsidRDefault="003E2A58" w:rsidP="0035216A">
            <w:pPr>
              <w:tabs>
                <w:tab w:val="left" w:pos="0"/>
              </w:tabs>
              <w:ind w:right="157"/>
            </w:pPr>
          </w:p>
          <w:p w:rsidR="003E2A58" w:rsidRDefault="003E2A58" w:rsidP="00192808">
            <w:pPr>
              <w:tabs>
                <w:tab w:val="left" w:pos="148"/>
              </w:tabs>
              <w:ind w:left="148" w:right="157"/>
            </w:pPr>
          </w:p>
          <w:p w:rsidR="00EC118D" w:rsidRPr="00EC118D" w:rsidRDefault="00EC118D" w:rsidP="00EC118D">
            <w:pPr>
              <w:pStyle w:val="WMOBodyText"/>
              <w:rPr>
                <w:lang w:eastAsia="en-US"/>
              </w:rPr>
            </w:pP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Default="00131622" w:rsidP="00131622">
      <w:pPr>
        <w:pStyle w:val="ListParagraph"/>
        <w:numPr>
          <w:ilvl w:val="0"/>
          <w:numId w:val="31"/>
        </w:numPr>
        <w:tabs>
          <w:tab w:val="left" w:pos="-1440"/>
          <w:tab w:val="left" w:pos="840"/>
        </w:tabs>
        <w:spacing w:before="60" w:after="120"/>
      </w:pPr>
      <w:r>
        <w:t xml:space="preserve">Advance the definition of metadata semantics for cryosphere variables, in cooperation with other stakeholder </w:t>
      </w:r>
      <w:r w:rsidR="00DC016F">
        <w:t>communities</w:t>
      </w:r>
    </w:p>
    <w:p w:rsidR="00131622" w:rsidRDefault="00131622" w:rsidP="00131622">
      <w:pPr>
        <w:pStyle w:val="ListParagraph"/>
        <w:numPr>
          <w:ilvl w:val="0"/>
          <w:numId w:val="31"/>
        </w:numPr>
        <w:tabs>
          <w:tab w:val="left" w:pos="-1440"/>
          <w:tab w:val="left" w:pos="840"/>
        </w:tabs>
        <w:spacing w:before="60" w:after="120"/>
      </w:pPr>
      <w:r>
        <w:t>Recommend changes to the WIGOS Metadata Standard to incorporate the cryosphere metadata recommended by the cryosphere community.</w:t>
      </w:r>
    </w:p>
    <w:p w:rsidR="005E505C" w:rsidRPr="00D6251E" w:rsidRDefault="005E505C" w:rsidP="00131622">
      <w:pPr>
        <w:pStyle w:val="ListParagraph"/>
        <w:numPr>
          <w:ilvl w:val="0"/>
          <w:numId w:val="31"/>
        </w:numPr>
        <w:tabs>
          <w:tab w:val="left" w:pos="-1440"/>
          <w:tab w:val="left" w:pos="840"/>
        </w:tabs>
        <w:spacing w:before="60" w:after="120"/>
      </w:pPr>
      <w:r>
        <w:t>Decision on identifying variables</w:t>
      </w:r>
      <w:r w:rsidR="001C24B2">
        <w:t xml:space="preserve"> measuring the same parameter for different domains.</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ind w:firstLine="840"/>
      </w:pPr>
    </w:p>
    <w:p w:rsidR="00297D9F" w:rsidRDefault="00297D9F" w:rsidP="00297D9F">
      <w:pPr>
        <w:pStyle w:val="WMOBodyText"/>
        <w:rPr>
          <w:lang w:eastAsia="en-US"/>
        </w:rPr>
      </w:pPr>
    </w:p>
    <w:p w:rsidR="00297D9F" w:rsidRPr="00297D9F" w:rsidRDefault="00297D9F" w:rsidP="00297D9F">
      <w:pPr>
        <w:pStyle w:val="WMOBodyText"/>
        <w:rPr>
          <w:lang w:eastAsia="en-US"/>
        </w:rPr>
      </w:pPr>
    </w:p>
    <w:p w:rsidR="003E2A58" w:rsidRPr="00D6251E" w:rsidRDefault="003E2A58"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Pr="00D6251E" w:rsidRDefault="003E2A58" w:rsidP="00EC118D">
      <w:pPr>
        <w:tabs>
          <w:tab w:val="clear" w:pos="1134"/>
          <w:tab w:val="left" w:pos="-1440"/>
          <w:tab w:val="left" w:pos="426"/>
        </w:tabs>
        <w:spacing w:before="60" w:after="120"/>
        <w:rPr>
          <w:color w:val="0000FF"/>
        </w:rPr>
      </w:pPr>
    </w:p>
    <w:p w:rsidR="003E2A58" w:rsidRPr="00D6251E" w:rsidRDefault="003E2A58" w:rsidP="003E2A58">
      <w:pPr>
        <w:spacing w:before="60" w:after="120"/>
        <w:jc w:val="cente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3"/>
          <w:headerReference w:type="default" r:id="rId14"/>
          <w:pgSz w:w="11907" w:h="16840" w:code="9"/>
          <w:pgMar w:top="1134" w:right="1134" w:bottom="1134" w:left="1134" w:header="720" w:footer="731" w:gutter="0"/>
          <w:cols w:space="720"/>
          <w:titlePg/>
          <w:docGrid w:linePitch="326"/>
        </w:sectPr>
      </w:pPr>
    </w:p>
    <w:p w:rsidR="00895303" w:rsidRDefault="00895303" w:rsidP="00895303">
      <w:pPr>
        <w:pStyle w:val="Standard"/>
        <w:tabs>
          <w:tab w:val="left" w:pos="851"/>
        </w:tabs>
        <w:spacing w:before="120"/>
        <w:jc w:val="left"/>
        <w:rPr>
          <w:rFonts w:ascii="Verdana" w:hAnsi="Verdana"/>
          <w:b/>
          <w:caps/>
          <w:sz w:val="20"/>
          <w:szCs w:val="20"/>
        </w:rPr>
      </w:pPr>
    </w:p>
    <w:p w:rsidR="001064ED" w:rsidRPr="001064ED" w:rsidRDefault="00230DCF" w:rsidP="00EC118D">
      <w:pPr>
        <w:pStyle w:val="Standard"/>
        <w:tabs>
          <w:tab w:val="left" w:pos="851"/>
        </w:tabs>
        <w:spacing w:before="240" w:after="240"/>
        <w:jc w:val="left"/>
        <w:rPr>
          <w:rFonts w:ascii="Verdana" w:hAnsi="Verdana"/>
          <w:b/>
          <w:iCs/>
          <w:caps/>
          <w:sz w:val="20"/>
          <w:szCs w:val="20"/>
        </w:rPr>
      </w:pPr>
      <w:r>
        <w:rPr>
          <w:rFonts w:ascii="Verdana" w:hAnsi="Verdana"/>
          <w:b/>
          <w:caps/>
          <w:sz w:val="20"/>
          <w:szCs w:val="20"/>
        </w:rPr>
        <w:t>1</w:t>
      </w:r>
      <w:r w:rsidR="00C90EE6">
        <w:rPr>
          <w:rFonts w:ascii="Verdana" w:hAnsi="Verdana"/>
          <w:b/>
          <w:caps/>
          <w:sz w:val="20"/>
          <w:szCs w:val="20"/>
        </w:rPr>
        <w:t>.1</w:t>
      </w:r>
      <w:r w:rsidR="00C90EE6">
        <w:rPr>
          <w:rFonts w:ascii="Verdana" w:hAnsi="Verdana"/>
          <w:b/>
          <w:caps/>
          <w:sz w:val="20"/>
          <w:szCs w:val="20"/>
        </w:rPr>
        <w:tab/>
      </w:r>
      <w:r w:rsidR="00524FB7">
        <w:rPr>
          <w:rFonts w:ascii="Verdana" w:hAnsi="Verdana"/>
          <w:b/>
          <w:caps/>
          <w:sz w:val="20"/>
          <w:szCs w:val="20"/>
        </w:rPr>
        <w:t xml:space="preserve">GCW </w:t>
      </w:r>
      <w:r w:rsidR="006017DD">
        <w:rPr>
          <w:rFonts w:ascii="Verdana" w:hAnsi="Verdana"/>
          <w:b/>
          <w:caps/>
          <w:sz w:val="20"/>
          <w:szCs w:val="20"/>
        </w:rPr>
        <w:t>Data Portal Overview</w:t>
      </w:r>
    </w:p>
    <w:p w:rsidR="00825C14" w:rsidRDefault="00230DCF" w:rsidP="00EC118D">
      <w:pPr>
        <w:pStyle w:val="WMOBodyText"/>
        <w:tabs>
          <w:tab w:val="left" w:pos="851"/>
        </w:tabs>
      </w:pPr>
      <w:r>
        <w:t>1</w:t>
      </w:r>
      <w:r w:rsidR="00F32056" w:rsidRPr="00F32056">
        <w:t>.1</w:t>
      </w:r>
      <w:r w:rsidR="00C90EE6">
        <w:t>.1</w:t>
      </w:r>
      <w:r w:rsidR="00F32056" w:rsidRPr="00F32056">
        <w:tab/>
      </w:r>
      <w:r w:rsidR="00825C14">
        <w:t>The GCW Data Portal is the planned interface with all the data centres and st</w:t>
      </w:r>
      <w:r w:rsidR="009C7A20">
        <w:t>ations, contributing to GCW, which is a heterogeneous community of large and small organizations (NMHSs, Universities, independent research institutions), with varying degrees o</w:t>
      </w:r>
      <w:r w:rsidR="006017DD">
        <w:t>f interoperability for metadata.</w:t>
      </w:r>
    </w:p>
    <w:p w:rsidR="009C7A20" w:rsidRDefault="009C7A20" w:rsidP="00EC118D">
      <w:pPr>
        <w:pStyle w:val="WMOBodyText"/>
        <w:tabs>
          <w:tab w:val="left" w:pos="851"/>
        </w:tabs>
      </w:pPr>
      <w:r>
        <w:t>Currently there are protocols and structures for metadata, however the semantics and terminology are highly diverse, impacting the ability to achieve interoperability.</w:t>
      </w:r>
    </w:p>
    <w:p w:rsidR="006017DD" w:rsidRDefault="006017DD" w:rsidP="00EC118D">
      <w:pPr>
        <w:pStyle w:val="WMOBodyText"/>
        <w:tabs>
          <w:tab w:val="left" w:pos="851"/>
        </w:tabs>
      </w:pPr>
      <w:r>
        <w:t xml:space="preserve">GCW has established guidelines for interoperability with data centres. </w:t>
      </w:r>
      <w:r w:rsidRPr="006017DD">
        <w:t>It recommends the use of OAI-PMH . The search model for the GCW Portal is currently built around parameter descriptions using the GCMD Science Keywords.</w:t>
      </w:r>
    </w:p>
    <w:p w:rsidR="006017DD" w:rsidRDefault="006017DD" w:rsidP="006017DD">
      <w:pPr>
        <w:pStyle w:val="WMOBodyText"/>
        <w:keepNext/>
        <w:tabs>
          <w:tab w:val="left" w:pos="851"/>
        </w:tabs>
      </w:pPr>
      <w:r>
        <w:rPr>
          <w:noProof/>
          <w:lang w:val="en-US" w:eastAsia="zh-CN"/>
        </w:rPr>
        <w:drawing>
          <wp:inline distT="0" distB="0" distL="0" distR="0" wp14:anchorId="56D396FD" wp14:editId="0E544D71">
            <wp:extent cx="4926209" cy="3516109"/>
            <wp:effectExtent l="0" t="0" r="8255" b="8255"/>
            <wp:docPr id="24" name="Picture 24" descr="http://globalcryospherewatch.org/data/portal-conn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alcryospherewatch.org/data/portal-connec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7963" cy="3517361"/>
                    </a:xfrm>
                    <a:prstGeom prst="rect">
                      <a:avLst/>
                    </a:prstGeom>
                    <a:noFill/>
                    <a:ln>
                      <a:noFill/>
                    </a:ln>
                  </pic:spPr>
                </pic:pic>
              </a:graphicData>
            </a:graphic>
          </wp:inline>
        </w:drawing>
      </w:r>
    </w:p>
    <w:p w:rsidR="00825C14" w:rsidRDefault="006017DD" w:rsidP="006017DD">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GCW Data Portal interoperability map (2017)</w:t>
      </w:r>
    </w:p>
    <w:p w:rsidR="006017DD" w:rsidRPr="006017DD" w:rsidRDefault="006017DD" w:rsidP="006017DD"/>
    <w:p w:rsidR="006017DD" w:rsidRPr="006017DD" w:rsidRDefault="006017DD" w:rsidP="006017DD">
      <w:pPr>
        <w:pStyle w:val="Standard"/>
        <w:tabs>
          <w:tab w:val="left" w:pos="851"/>
        </w:tabs>
        <w:spacing w:before="240" w:after="240"/>
        <w:jc w:val="left"/>
        <w:rPr>
          <w:rFonts w:ascii="Verdana" w:hAnsi="Verdana"/>
          <w:b/>
          <w:iCs/>
          <w:caps/>
          <w:sz w:val="20"/>
          <w:szCs w:val="20"/>
        </w:rPr>
      </w:pPr>
      <w:r>
        <w:rPr>
          <w:rFonts w:ascii="Verdana" w:hAnsi="Verdana"/>
          <w:b/>
          <w:caps/>
          <w:sz w:val="20"/>
          <w:szCs w:val="20"/>
        </w:rPr>
        <w:t>1.2</w:t>
      </w:r>
      <w:r>
        <w:rPr>
          <w:rFonts w:ascii="Verdana" w:hAnsi="Verdana"/>
          <w:b/>
          <w:caps/>
          <w:sz w:val="20"/>
          <w:szCs w:val="20"/>
        </w:rPr>
        <w:tab/>
        <w:t>GCW in-situ Observing REQUIREMENTS</w:t>
      </w:r>
    </w:p>
    <w:p w:rsidR="00BD43B6" w:rsidRDefault="00825C14" w:rsidP="00EC118D">
      <w:pPr>
        <w:pStyle w:val="WMOBodyText"/>
        <w:tabs>
          <w:tab w:val="left" w:pos="851"/>
        </w:tabs>
      </w:pPr>
      <w:r>
        <w:t>1.</w:t>
      </w:r>
      <w:r w:rsidR="006017DD">
        <w:t>2</w:t>
      </w:r>
      <w:r>
        <w:t xml:space="preserve">.2 </w:t>
      </w:r>
      <w:r w:rsidR="003B5843">
        <w:t xml:space="preserve">The Global Cryosphere Watch has developed a list of variables, by component </w:t>
      </w:r>
      <w:r w:rsidR="00F04A35">
        <w:t>of</w:t>
      </w:r>
      <w:r w:rsidR="003B5843">
        <w:t xml:space="preserve"> the cryosphere, which are </w:t>
      </w:r>
      <w:r w:rsidR="00F04A35">
        <w:t>recommended and desired</w:t>
      </w:r>
      <w:r w:rsidR="001C24B2">
        <w:t xml:space="preserve"> to be observed at CryoNet surface </w:t>
      </w:r>
      <w:r w:rsidR="003B5843">
        <w:t>stations (the high quality</w:t>
      </w:r>
      <w:r w:rsidR="00F04A35">
        <w:t>, standardised</w:t>
      </w:r>
      <w:r w:rsidR="003B5843">
        <w:t xml:space="preserve"> observing network of GCW). </w:t>
      </w:r>
      <w:r w:rsidR="00F04A35">
        <w:t>The list</w:t>
      </w:r>
      <w:r w:rsidR="003B5843">
        <w:t xml:space="preserve"> was approved at the GCW Steering Group meeting in Jan 2017.</w:t>
      </w:r>
      <w:r w:rsidR="00F04A35" w:rsidRPr="00F04A35">
        <w:t xml:space="preserve"> </w:t>
      </w:r>
      <w:hyperlink r:id="rId16" w:history="1">
        <w:r w:rsidR="00F04A35" w:rsidRPr="00556043">
          <w:rPr>
            <w:rStyle w:val="Hyperlink"/>
          </w:rPr>
          <w:t>http://globalcryospherewatch.org/cryonet/variables/recommended_variables.html</w:t>
        </w:r>
      </w:hyperlink>
      <w:r w:rsidR="00F04A35">
        <w:t xml:space="preserve"> </w:t>
      </w:r>
    </w:p>
    <w:p w:rsidR="00F04A35" w:rsidRDefault="00F04A35" w:rsidP="00EC118D">
      <w:pPr>
        <w:pStyle w:val="WMOBodyText"/>
        <w:tabs>
          <w:tab w:val="left" w:pos="851"/>
        </w:tabs>
      </w:pPr>
      <w:r>
        <w:t>There are</w:t>
      </w:r>
      <w:r w:rsidR="00FA4C96">
        <w:t xml:space="preserve"> 10 different cryosphere components (snow, glacier and ice caps, ice sheets, ice shelves, icebergs, permafrost, seasonally frozen ground, sea ice, lake ice, river ice). Components and measured combined, there are 52 recommended cryosphere variables and 66 desired cryosphere variables, which cover all observing applications envisioned as supported by GCW, at this time.</w:t>
      </w:r>
    </w:p>
    <w:p w:rsidR="00FA4C96" w:rsidRDefault="00FA4C96" w:rsidP="00EC118D">
      <w:pPr>
        <w:pStyle w:val="WMOBodyText"/>
        <w:tabs>
          <w:tab w:val="left" w:pos="851"/>
        </w:tabs>
      </w:pPr>
      <w:r>
        <w:t xml:space="preserve">Additionally, the CryoNet observing programme has 4 required meteorological variables (air temperature, air humidity, wind speed, wind direction), 3 recommended meteorological </w:t>
      </w:r>
      <w:r>
        <w:lastRenderedPageBreak/>
        <w:t>variables (air pressure, incoming shortwave radiation, reflected shortwave radiation), and 3 desired meteorological variables (incoming long wave radiation, outgoing longwave radiation, and precipitation).</w:t>
      </w:r>
    </w:p>
    <w:p w:rsidR="001C24B2" w:rsidRDefault="001C24B2" w:rsidP="00EC118D">
      <w:pPr>
        <w:pStyle w:val="WMOBodyText"/>
        <w:tabs>
          <w:tab w:val="left" w:pos="851"/>
        </w:tabs>
      </w:pPr>
      <w:r>
        <w:t>These variables have been compiled from input received from a wide range of cryosphere scientists and practitioners and reflect applications, not all, yet, formally documented in the RRR process of WMO, which are managed, in most cases, by other than NMHSs, or for operational purposes.</w:t>
      </w:r>
      <w:r w:rsidR="00230DCF">
        <w:t xml:space="preserve"> Hence the metadata associated with these observations needs to be endorsed and applied by the broader community, not familiar with the WMO processes. GCW is working closely with these.</w:t>
      </w:r>
    </w:p>
    <w:p w:rsidR="00825C14" w:rsidRDefault="00825C14" w:rsidP="00825C14">
      <w:pPr>
        <w:pStyle w:val="WMOBodyText"/>
        <w:tabs>
          <w:tab w:val="clear" w:pos="1134"/>
          <w:tab w:val="left" w:pos="851"/>
        </w:tabs>
        <w:rPr>
          <w:rFonts w:eastAsia="SimSun"/>
        </w:rPr>
      </w:pPr>
      <w:r>
        <w:rPr>
          <w:bCs/>
          <w:iCs/>
          <w:caps/>
          <w:szCs w:val="20"/>
        </w:rPr>
        <w:t>1.</w:t>
      </w:r>
      <w:r w:rsidR="006017DD">
        <w:rPr>
          <w:bCs/>
          <w:iCs/>
          <w:caps/>
          <w:szCs w:val="20"/>
        </w:rPr>
        <w:t>2</w:t>
      </w:r>
      <w:r>
        <w:rPr>
          <w:bCs/>
          <w:iCs/>
          <w:caps/>
          <w:szCs w:val="20"/>
        </w:rPr>
        <w:t>.</w:t>
      </w:r>
      <w:r w:rsidR="001B3C41">
        <w:rPr>
          <w:bCs/>
          <w:iCs/>
          <w:caps/>
          <w:szCs w:val="20"/>
        </w:rPr>
        <w:t>3</w:t>
      </w:r>
      <w:r>
        <w:rPr>
          <w:bCs/>
          <w:iCs/>
          <w:caps/>
          <w:szCs w:val="20"/>
        </w:rPr>
        <w:t xml:space="preserve"> </w:t>
      </w:r>
      <w:r>
        <w:rPr>
          <w:rFonts w:eastAsia="SimSun"/>
        </w:rPr>
        <w:t xml:space="preserve">A comparison of the list of recommended variables, noted above, with the OSCAR catalogue of variables, and </w:t>
      </w:r>
      <w:r>
        <w:t xml:space="preserve">IGOS, 2007, Integrated Global Observing Strategy Cryosphere Theme Report - For the Monitoring of our Environment from Space and from Earth. Geneva: World Meteorological Organization. WMO/TD-No. 1405. 100 pp. was completed as an outcome of the IPET-OSDE, second session, 11-14 April 2016. </w:t>
      </w:r>
    </w:p>
    <w:p w:rsidR="00825C14" w:rsidRDefault="00825C14" w:rsidP="00825C14">
      <w:pPr>
        <w:pStyle w:val="WMOBodyText"/>
        <w:tabs>
          <w:tab w:val="clear" w:pos="1134"/>
          <w:tab w:val="left" w:pos="851"/>
        </w:tabs>
        <w:spacing w:before="0"/>
      </w:pPr>
      <w:r>
        <w:t>a)  overall, it shows that there are discrepancies between the OSCAR listed variable and the GCW recommended/desired variables.</w:t>
      </w:r>
    </w:p>
    <w:p w:rsidR="00825C14" w:rsidRDefault="00825C14" w:rsidP="00825C14">
      <w:pPr>
        <w:pStyle w:val="WMOBodyText"/>
        <w:tabs>
          <w:tab w:val="clear" w:pos="1134"/>
          <w:tab w:val="left" w:pos="851"/>
        </w:tabs>
        <w:spacing w:before="0"/>
      </w:pPr>
      <w:r>
        <w:t>b)  these discrepancies vary from nuances in naming to variables being present on one list, but not the other, in which case a reconciliation is needed.</w:t>
      </w:r>
    </w:p>
    <w:p w:rsidR="001B3C41" w:rsidRDefault="001B3C41" w:rsidP="00825C14">
      <w:pPr>
        <w:pStyle w:val="WMOBodyText"/>
        <w:tabs>
          <w:tab w:val="clear" w:pos="1134"/>
          <w:tab w:val="left" w:pos="851"/>
        </w:tabs>
        <w:spacing w:before="0"/>
      </w:pPr>
    </w:p>
    <w:p w:rsidR="00825C14" w:rsidRDefault="00825C14" w:rsidP="00825C14">
      <w:pPr>
        <w:pStyle w:val="WMOBodyText"/>
        <w:tabs>
          <w:tab w:val="clear" w:pos="1134"/>
          <w:tab w:val="left" w:pos="851"/>
        </w:tabs>
        <w:rPr>
          <w:b/>
          <w:iCs/>
          <w:caps/>
          <w:szCs w:val="20"/>
        </w:rPr>
      </w:pPr>
      <w:r>
        <w:rPr>
          <w:b/>
          <w:caps/>
          <w:szCs w:val="20"/>
        </w:rPr>
        <w:t>1.</w:t>
      </w:r>
      <w:r w:rsidR="006017DD">
        <w:rPr>
          <w:b/>
          <w:caps/>
          <w:szCs w:val="20"/>
        </w:rPr>
        <w:t>3</w:t>
      </w:r>
      <w:r>
        <w:rPr>
          <w:b/>
          <w:caps/>
          <w:szCs w:val="20"/>
        </w:rPr>
        <w:t xml:space="preserve"> </w:t>
      </w:r>
      <w:r>
        <w:rPr>
          <w:b/>
          <w:caps/>
          <w:szCs w:val="20"/>
        </w:rPr>
        <w:tab/>
        <w:t xml:space="preserve">GCW and WIGOS/OSCAR Surface </w:t>
      </w:r>
    </w:p>
    <w:p w:rsidR="00825C14" w:rsidRPr="00825C14" w:rsidRDefault="00825C14" w:rsidP="00825C14">
      <w:pPr>
        <w:pStyle w:val="WMOBodyText"/>
        <w:tabs>
          <w:tab w:val="clear" w:pos="1134"/>
          <w:tab w:val="left" w:pos="851"/>
        </w:tabs>
        <w:rPr>
          <w:rFonts w:eastAsia="SimSun"/>
          <w:szCs w:val="20"/>
        </w:rPr>
      </w:pPr>
      <w:r>
        <w:rPr>
          <w:bCs/>
          <w:iCs/>
          <w:caps/>
          <w:szCs w:val="20"/>
        </w:rPr>
        <w:t>1</w:t>
      </w:r>
      <w:r w:rsidRPr="00825C14">
        <w:rPr>
          <w:bCs/>
          <w:iCs/>
          <w:caps/>
          <w:szCs w:val="20"/>
        </w:rPr>
        <w:t>.</w:t>
      </w:r>
      <w:r w:rsidR="006017DD">
        <w:rPr>
          <w:bCs/>
          <w:iCs/>
          <w:caps/>
          <w:szCs w:val="20"/>
        </w:rPr>
        <w:t>3</w:t>
      </w:r>
      <w:r w:rsidRPr="00825C14">
        <w:rPr>
          <w:bCs/>
          <w:iCs/>
          <w:caps/>
          <w:szCs w:val="20"/>
        </w:rPr>
        <w:t>.1</w:t>
      </w:r>
      <w:r w:rsidRPr="00825C14">
        <w:rPr>
          <w:bCs/>
          <w:iCs/>
          <w:caps/>
          <w:szCs w:val="20"/>
        </w:rPr>
        <w:tab/>
        <w:t>Resolution 43 (</w:t>
      </w:r>
      <w:r w:rsidRPr="00825C14">
        <w:rPr>
          <w:rFonts w:eastAsia="SimSun"/>
          <w:szCs w:val="20"/>
        </w:rPr>
        <w:t xml:space="preserve">Cg-17) decided: </w:t>
      </w:r>
    </w:p>
    <w:p w:rsidR="00825C14" w:rsidRPr="00825C14" w:rsidRDefault="00825C14" w:rsidP="00825C14">
      <w:pPr>
        <w:pStyle w:val="ListParagraph"/>
        <w:numPr>
          <w:ilvl w:val="0"/>
          <w:numId w:val="33"/>
        </w:numPr>
        <w:tabs>
          <w:tab w:val="clear" w:pos="1134"/>
        </w:tabs>
        <w:autoSpaceDE w:val="0"/>
        <w:autoSpaceDN w:val="0"/>
        <w:adjustRightInd w:val="0"/>
        <w:jc w:val="left"/>
        <w:rPr>
          <w:rFonts w:eastAsia="MS Mincho" w:cs="ArialMT"/>
          <w:lang w:val="en-US" w:eastAsia="zh-TW"/>
        </w:rPr>
      </w:pPr>
      <w:r w:rsidRPr="00825C14">
        <w:rPr>
          <w:rFonts w:eastAsia="MS Mincho" w:cs="ArialMT"/>
          <w:lang w:val="en-US" w:eastAsia="zh-TW"/>
        </w:rPr>
        <w:t>to mainstream and implement GCW in WMO Programmes as a cross-cutting activity;</w:t>
      </w:r>
    </w:p>
    <w:p w:rsidR="00825C14" w:rsidRPr="00825C14" w:rsidRDefault="00825C14" w:rsidP="00825C14">
      <w:pPr>
        <w:pStyle w:val="ListParagraph"/>
        <w:numPr>
          <w:ilvl w:val="0"/>
          <w:numId w:val="33"/>
        </w:numPr>
        <w:tabs>
          <w:tab w:val="clear" w:pos="1134"/>
        </w:tabs>
        <w:autoSpaceDE w:val="0"/>
        <w:autoSpaceDN w:val="0"/>
        <w:adjustRightInd w:val="0"/>
        <w:jc w:val="left"/>
        <w:rPr>
          <w:rFonts w:eastAsia="MS Mincho" w:cs="ArialMT"/>
          <w:lang w:val="en-US" w:eastAsia="zh-TW"/>
        </w:rPr>
      </w:pPr>
      <w:r w:rsidRPr="00825C14">
        <w:rPr>
          <w:rFonts w:eastAsia="MS Mincho" w:cs="ArialMT"/>
          <w:lang w:val="en-US" w:eastAsia="zh-TW"/>
        </w:rPr>
        <w:t>that implementation activities will be undertaken during the seventeenth financial</w:t>
      </w:r>
      <w:r>
        <w:rPr>
          <w:rFonts w:eastAsia="MS Mincho" w:cs="ArialMT"/>
          <w:lang w:val="en-US" w:eastAsia="zh-TW"/>
        </w:rPr>
        <w:t xml:space="preserve"> </w:t>
      </w:r>
      <w:r w:rsidRPr="00825C14">
        <w:rPr>
          <w:rFonts w:eastAsia="MS Mincho" w:cs="ArialMT"/>
          <w:lang w:val="en-US" w:eastAsia="zh-TW"/>
        </w:rPr>
        <w:t>period as one of the major efforts of the Organization with the goal that GCW should become operational;</w:t>
      </w:r>
    </w:p>
    <w:p w:rsidR="00E86BAA" w:rsidRDefault="00230DCF" w:rsidP="00EC118D">
      <w:pPr>
        <w:pStyle w:val="WMOBodyText"/>
        <w:tabs>
          <w:tab w:val="left" w:pos="851"/>
        </w:tabs>
      </w:pPr>
      <w:r>
        <w:rPr>
          <w:bCs/>
          <w:iCs/>
          <w:caps/>
          <w:szCs w:val="20"/>
        </w:rPr>
        <w:t>1</w:t>
      </w:r>
      <w:r w:rsidRPr="001064ED">
        <w:rPr>
          <w:bCs/>
          <w:iCs/>
          <w:caps/>
          <w:szCs w:val="20"/>
        </w:rPr>
        <w:t>.</w:t>
      </w:r>
      <w:r w:rsidR="006017DD">
        <w:rPr>
          <w:bCs/>
          <w:iCs/>
          <w:caps/>
          <w:szCs w:val="20"/>
        </w:rPr>
        <w:t>3</w:t>
      </w:r>
      <w:r>
        <w:rPr>
          <w:bCs/>
          <w:iCs/>
          <w:caps/>
          <w:szCs w:val="20"/>
        </w:rPr>
        <w:t>.</w:t>
      </w:r>
      <w:r w:rsidR="00825C14">
        <w:rPr>
          <w:bCs/>
          <w:iCs/>
          <w:caps/>
          <w:szCs w:val="20"/>
        </w:rPr>
        <w:t>2</w:t>
      </w:r>
      <w:r>
        <w:rPr>
          <w:bCs/>
          <w:iCs/>
          <w:caps/>
          <w:szCs w:val="20"/>
        </w:rPr>
        <w:t xml:space="preserve"> </w:t>
      </w:r>
      <w:r w:rsidR="00FA4C96">
        <w:t xml:space="preserve">Some variables </w:t>
      </w:r>
      <w:r w:rsidR="00825C14">
        <w:t xml:space="preserve">included in the GCW recommended observing programme </w:t>
      </w:r>
      <w:r w:rsidR="00FA4C96">
        <w:t xml:space="preserve">refer to the same </w:t>
      </w:r>
      <w:r>
        <w:t xml:space="preserve">measurand </w:t>
      </w:r>
      <w:r w:rsidR="00FA4C96">
        <w:t xml:space="preserve">for different domains, e.g. temperature, which is </w:t>
      </w:r>
      <w:r w:rsidR="005E505C">
        <w:t>included as</w:t>
      </w:r>
      <w:r w:rsidR="00E86BAA">
        <w:t>:</w:t>
      </w:r>
    </w:p>
    <w:p w:rsidR="00E86BAA" w:rsidRDefault="00FA4C96" w:rsidP="00E86BAA">
      <w:pPr>
        <w:pStyle w:val="WMOBodyText"/>
        <w:numPr>
          <w:ilvl w:val="0"/>
          <w:numId w:val="32"/>
        </w:numPr>
        <w:tabs>
          <w:tab w:val="left" w:pos="851"/>
        </w:tabs>
        <w:ind w:left="714" w:hanging="357"/>
        <w:contextualSpacing/>
      </w:pPr>
      <w:r>
        <w:t xml:space="preserve">snow surface temperature, </w:t>
      </w:r>
    </w:p>
    <w:p w:rsidR="00E86BAA" w:rsidRDefault="00FA4C96" w:rsidP="00E86BAA">
      <w:pPr>
        <w:pStyle w:val="WMOBodyText"/>
        <w:numPr>
          <w:ilvl w:val="0"/>
          <w:numId w:val="32"/>
        </w:numPr>
        <w:tabs>
          <w:tab w:val="left" w:pos="851"/>
        </w:tabs>
        <w:ind w:left="714" w:hanging="357"/>
        <w:contextualSpacing/>
      </w:pPr>
      <w:r>
        <w:t xml:space="preserve">snow temperature, </w:t>
      </w:r>
    </w:p>
    <w:p w:rsidR="00E86BAA" w:rsidRDefault="00FA4C96" w:rsidP="00E86BAA">
      <w:pPr>
        <w:pStyle w:val="WMOBodyText"/>
        <w:numPr>
          <w:ilvl w:val="0"/>
          <w:numId w:val="32"/>
        </w:numPr>
        <w:tabs>
          <w:tab w:val="left" w:pos="851"/>
        </w:tabs>
        <w:ind w:left="714" w:hanging="357"/>
        <w:contextualSpacing/>
      </w:pPr>
      <w:r>
        <w:t>ground temperature</w:t>
      </w:r>
      <w:r w:rsidR="00E86BAA">
        <w:t xml:space="preserve"> (permafrost or seasonally frozen ground)</w:t>
      </w:r>
      <w:r>
        <w:t xml:space="preserve">, </w:t>
      </w:r>
    </w:p>
    <w:p w:rsidR="00E86BAA" w:rsidRDefault="00E86BAA" w:rsidP="00E86BAA">
      <w:pPr>
        <w:pStyle w:val="WMOBodyText"/>
        <w:numPr>
          <w:ilvl w:val="0"/>
          <w:numId w:val="32"/>
        </w:numPr>
        <w:tabs>
          <w:tab w:val="left" w:pos="851"/>
        </w:tabs>
        <w:ind w:left="714" w:hanging="357"/>
        <w:contextualSpacing/>
      </w:pPr>
      <w:r>
        <w:t>r</w:t>
      </w:r>
      <w:r w:rsidR="005E505C">
        <w:t>ock glacier spring temperature (permafrost),</w:t>
      </w:r>
    </w:p>
    <w:p w:rsidR="00E86BAA" w:rsidRDefault="00E86BAA" w:rsidP="00E86BAA">
      <w:pPr>
        <w:pStyle w:val="WMOBodyText"/>
        <w:numPr>
          <w:ilvl w:val="0"/>
          <w:numId w:val="32"/>
        </w:numPr>
        <w:tabs>
          <w:tab w:val="left" w:pos="851"/>
        </w:tabs>
        <w:ind w:left="714" w:hanging="357"/>
        <w:contextualSpacing/>
      </w:pPr>
      <w:r>
        <w:t>surface tempera</w:t>
      </w:r>
      <w:r w:rsidR="005E505C">
        <w:t>ture (surface-air temperature) for sea ice;</w:t>
      </w:r>
    </w:p>
    <w:p w:rsidR="005E505C" w:rsidRDefault="005E505C" w:rsidP="00E86BAA">
      <w:pPr>
        <w:pStyle w:val="WMOBodyText"/>
        <w:numPr>
          <w:ilvl w:val="0"/>
          <w:numId w:val="32"/>
        </w:numPr>
        <w:tabs>
          <w:tab w:val="left" w:pos="851"/>
        </w:tabs>
        <w:ind w:left="714" w:hanging="357"/>
        <w:contextualSpacing/>
      </w:pPr>
      <w:r>
        <w:t>ice surface temperature (lake ice or river ice)</w:t>
      </w:r>
    </w:p>
    <w:p w:rsidR="00E86BAA" w:rsidRDefault="00E86BAA" w:rsidP="00E86BAA">
      <w:pPr>
        <w:pStyle w:val="WMOBodyText"/>
        <w:numPr>
          <w:ilvl w:val="0"/>
          <w:numId w:val="32"/>
        </w:numPr>
        <w:tabs>
          <w:tab w:val="left" w:pos="851"/>
        </w:tabs>
        <w:ind w:left="714" w:hanging="357"/>
        <w:contextualSpacing/>
      </w:pPr>
      <w:r>
        <w:t xml:space="preserve">air temperature, </w:t>
      </w:r>
    </w:p>
    <w:p w:rsidR="00E86BAA" w:rsidRDefault="00E86BAA" w:rsidP="00E86BAA">
      <w:pPr>
        <w:pStyle w:val="WMOBodyText"/>
        <w:numPr>
          <w:ilvl w:val="0"/>
          <w:numId w:val="32"/>
        </w:numPr>
        <w:tabs>
          <w:tab w:val="left" w:pos="851"/>
        </w:tabs>
        <w:ind w:left="714" w:hanging="357"/>
        <w:contextualSpacing/>
      </w:pPr>
      <w:r>
        <w:t>temperature profiles:</w:t>
      </w:r>
    </w:p>
    <w:p w:rsidR="00E86BAA" w:rsidRDefault="00E86BAA" w:rsidP="00E86BAA">
      <w:pPr>
        <w:pStyle w:val="WMOBodyText"/>
        <w:numPr>
          <w:ilvl w:val="1"/>
          <w:numId w:val="32"/>
        </w:numPr>
        <w:tabs>
          <w:tab w:val="left" w:pos="851"/>
        </w:tabs>
        <w:contextualSpacing/>
      </w:pPr>
      <w:r>
        <w:t xml:space="preserve">snow profiles, </w:t>
      </w:r>
    </w:p>
    <w:p w:rsidR="00E86BAA" w:rsidRDefault="00E86BAA" w:rsidP="00E86BAA">
      <w:pPr>
        <w:pStyle w:val="WMOBodyText"/>
        <w:numPr>
          <w:ilvl w:val="1"/>
          <w:numId w:val="32"/>
        </w:numPr>
        <w:tabs>
          <w:tab w:val="left" w:pos="851"/>
        </w:tabs>
        <w:contextualSpacing/>
      </w:pPr>
      <w:r>
        <w:t xml:space="preserve">ice/firn temperature profile (point) for glaciers, ice caps, or ice sheets; </w:t>
      </w:r>
    </w:p>
    <w:p w:rsidR="00E86BAA" w:rsidRDefault="00E86BAA" w:rsidP="00E86BAA">
      <w:pPr>
        <w:pStyle w:val="WMOBodyText"/>
        <w:numPr>
          <w:ilvl w:val="1"/>
          <w:numId w:val="32"/>
        </w:numPr>
        <w:tabs>
          <w:tab w:val="left" w:pos="851"/>
        </w:tabs>
        <w:contextualSpacing/>
      </w:pPr>
      <w:r>
        <w:t xml:space="preserve">sea ice temperature profile (vertical), </w:t>
      </w:r>
    </w:p>
    <w:p w:rsidR="00FA4C96" w:rsidRDefault="00E86BAA" w:rsidP="00E86BAA">
      <w:pPr>
        <w:pStyle w:val="WMOBodyText"/>
        <w:numPr>
          <w:ilvl w:val="1"/>
          <w:numId w:val="32"/>
        </w:numPr>
        <w:tabs>
          <w:tab w:val="left" w:pos="851"/>
        </w:tabs>
        <w:contextualSpacing/>
      </w:pPr>
      <w:r>
        <w:t>ice temperature profile (vertical)</w:t>
      </w:r>
      <w:r w:rsidR="005E505C">
        <w:t xml:space="preserve"> for river or lake ice.</w:t>
      </w:r>
    </w:p>
    <w:p w:rsidR="005E505C" w:rsidRDefault="005E505C" w:rsidP="005E505C">
      <w:pPr>
        <w:pStyle w:val="WMOBodyText"/>
        <w:tabs>
          <w:tab w:val="left" w:pos="851"/>
        </w:tabs>
        <w:contextualSpacing/>
      </w:pPr>
    </w:p>
    <w:p w:rsidR="005E505C" w:rsidRDefault="005E505C" w:rsidP="005E505C">
      <w:pPr>
        <w:pStyle w:val="WMOBodyText"/>
        <w:tabs>
          <w:tab w:val="left" w:pos="851"/>
        </w:tabs>
        <w:contextualSpacing/>
      </w:pPr>
      <w:r>
        <w:t>As a result</w:t>
      </w:r>
      <w:r w:rsidR="00230DCF">
        <w:t>,</w:t>
      </w:r>
      <w:r>
        <w:t xml:space="preserve"> the number of different variables </w:t>
      </w:r>
      <w:r w:rsidR="00230DCF">
        <w:t xml:space="preserve">to be tracked </w:t>
      </w:r>
      <w:r>
        <w:t xml:space="preserve">is smaller </w:t>
      </w:r>
      <w:r w:rsidR="00825C14">
        <w:t xml:space="preserve">provided that the physical domain for which the measurement is taken is well characterised with appropriate metadata </w:t>
      </w:r>
      <w:r>
        <w:t xml:space="preserve">(domain, </w:t>
      </w:r>
      <w:r w:rsidR="00825C14">
        <w:t xml:space="preserve">instrumentation, </w:t>
      </w:r>
      <w:r>
        <w:t xml:space="preserve"> </w:t>
      </w:r>
      <w:r w:rsidR="00825C14">
        <w:t xml:space="preserve">location, method, </w:t>
      </w:r>
      <w:proofErr w:type="spellStart"/>
      <w:r>
        <w:t>etc</w:t>
      </w:r>
      <w:proofErr w:type="spellEnd"/>
      <w:r>
        <w:t>…).</w:t>
      </w:r>
    </w:p>
    <w:p w:rsidR="005E505C" w:rsidRPr="00372DBC" w:rsidRDefault="005E505C" w:rsidP="005E505C">
      <w:pPr>
        <w:pStyle w:val="WMOBodyText"/>
        <w:tabs>
          <w:tab w:val="left" w:pos="851"/>
        </w:tabs>
        <w:contextualSpacing/>
        <w:rPr>
          <w:i/>
        </w:rPr>
      </w:pPr>
      <w:r w:rsidRPr="00372DBC">
        <w:rPr>
          <w:i/>
        </w:rPr>
        <w:t xml:space="preserve">Alternatively, </w:t>
      </w:r>
      <w:r w:rsidR="00825C14" w:rsidRPr="00372DBC">
        <w:rPr>
          <w:i/>
        </w:rPr>
        <w:t xml:space="preserve">metadata for </w:t>
      </w:r>
      <w:r w:rsidRPr="00372DBC">
        <w:rPr>
          <w:i/>
        </w:rPr>
        <w:t>compounded variables could be developed, to account</w:t>
      </w:r>
      <w:r w:rsidR="001C24B2" w:rsidRPr="00372DBC">
        <w:rPr>
          <w:i/>
        </w:rPr>
        <w:t xml:space="preserve"> for the above listed variables (discussion on decision 3).</w:t>
      </w:r>
      <w:r w:rsidR="00825C14" w:rsidRPr="00372DBC">
        <w:rPr>
          <w:i/>
        </w:rPr>
        <w:t xml:space="preserve"> </w:t>
      </w:r>
    </w:p>
    <w:p w:rsidR="00ED7FF2" w:rsidRDefault="00825C14" w:rsidP="00EC118D">
      <w:pPr>
        <w:pStyle w:val="WMOBodyText"/>
        <w:tabs>
          <w:tab w:val="left" w:pos="851"/>
        </w:tabs>
      </w:pPr>
      <w:r>
        <w:t>1</w:t>
      </w:r>
      <w:r w:rsidR="007458B4">
        <w:t>.</w:t>
      </w:r>
      <w:r w:rsidR="006017DD">
        <w:t>3</w:t>
      </w:r>
      <w:r w:rsidR="007458B4">
        <w:t>.</w:t>
      </w:r>
      <w:r>
        <w:t>3</w:t>
      </w:r>
      <w:r w:rsidR="007458B4">
        <w:t>.</w:t>
      </w:r>
      <w:r w:rsidR="007458B4">
        <w:tab/>
      </w:r>
      <w:r w:rsidR="00EC118D">
        <w:t xml:space="preserve"> </w:t>
      </w:r>
      <w:r>
        <w:t>G</w:t>
      </w:r>
      <w:r w:rsidR="00F518F7">
        <w:t xml:space="preserve">iven the </w:t>
      </w:r>
      <w:r w:rsidR="00524FB7">
        <w:t>large number of new variables</w:t>
      </w:r>
      <w:r w:rsidR="001B3C41">
        <w:t xml:space="preserve"> for the WIGOS Metadata catalogue</w:t>
      </w:r>
      <w:r>
        <w:t>,</w:t>
      </w:r>
      <w:r w:rsidR="00524FB7">
        <w:t xml:space="preserve"> and the need to </w:t>
      </w:r>
      <w:r>
        <w:t>support communities of practice</w:t>
      </w:r>
      <w:r w:rsidR="00524FB7">
        <w:t xml:space="preserve"> which have not traditionally been supported before, </w:t>
      </w:r>
      <w:r w:rsidR="00372DBC">
        <w:t xml:space="preserve">this will be prioritised for action  to address </w:t>
      </w:r>
      <w:r w:rsidR="00524FB7">
        <w:t xml:space="preserve">discrepancies </w:t>
      </w:r>
      <w:r w:rsidR="00372DBC">
        <w:t>in</w:t>
      </w:r>
      <w:r w:rsidR="00524FB7">
        <w:t xml:space="preserve"> </w:t>
      </w:r>
      <w:r w:rsidR="00372DBC">
        <w:t>2018</w:t>
      </w:r>
      <w:r w:rsidR="00524FB7">
        <w:t>.</w:t>
      </w:r>
    </w:p>
    <w:p w:rsidR="00524FB7" w:rsidRPr="00372DBC" w:rsidRDefault="00372DBC" w:rsidP="00EC118D">
      <w:pPr>
        <w:pStyle w:val="WMOBodyText"/>
        <w:tabs>
          <w:tab w:val="left" w:pos="851"/>
        </w:tabs>
        <w:rPr>
          <w:i/>
        </w:rPr>
      </w:pPr>
      <w:r w:rsidRPr="00372DBC">
        <w:rPr>
          <w:i/>
        </w:rPr>
        <w:t>GCW will work with WIGOS TT, IPET-OSDE, and the</w:t>
      </w:r>
      <w:r w:rsidR="00524FB7" w:rsidRPr="00372DBC">
        <w:rPr>
          <w:i/>
        </w:rPr>
        <w:t xml:space="preserve"> </w:t>
      </w:r>
      <w:r w:rsidR="001B3C41" w:rsidRPr="00372DBC">
        <w:rPr>
          <w:i/>
        </w:rPr>
        <w:t xml:space="preserve">cryosphere </w:t>
      </w:r>
      <w:r w:rsidR="00524FB7" w:rsidRPr="00372DBC">
        <w:rPr>
          <w:i/>
        </w:rPr>
        <w:t>scientific and operational communities</w:t>
      </w:r>
      <w:r w:rsidR="001B3C41" w:rsidRPr="00372DBC">
        <w:rPr>
          <w:i/>
        </w:rPr>
        <w:t>, to</w:t>
      </w:r>
      <w:r w:rsidR="00524FB7" w:rsidRPr="00372DBC">
        <w:rPr>
          <w:i/>
        </w:rPr>
        <w:t xml:space="preserve"> ensure that there is a general agreement on terminology and semantics.</w:t>
      </w:r>
    </w:p>
    <w:p w:rsidR="007458B4" w:rsidRDefault="00524FB7" w:rsidP="00ED7FF2">
      <w:pPr>
        <w:pStyle w:val="WMOBodyText"/>
        <w:tabs>
          <w:tab w:val="left" w:pos="851"/>
        </w:tabs>
      </w:pPr>
      <w:r>
        <w:lastRenderedPageBreak/>
        <w:t xml:space="preserve">This is an area of </w:t>
      </w:r>
      <w:r w:rsidR="001B3C41">
        <w:t>great</w:t>
      </w:r>
      <w:r>
        <w:t xml:space="preserve"> interest, well beyond the WMO communities, and includes the Arctic Data Committee (SAON), GEO, EU Arctic Cluster of projects, Scientific Committee of Antarctic Research, World Glacier Monitoring Services, </w:t>
      </w:r>
      <w:proofErr w:type="spellStart"/>
      <w:r>
        <w:t>etc</w:t>
      </w:r>
      <w:proofErr w:type="spellEnd"/>
      <w:r>
        <w:t>…</w:t>
      </w:r>
      <w:r w:rsidR="001B3C41">
        <w:t xml:space="preserve"> They are recognizing WMO’s experience in establishing regulatory frameworks for data </w:t>
      </w:r>
      <w:r w:rsidR="00372DBC">
        <w:t>exchange</w:t>
      </w:r>
      <w:r w:rsidR="001B3C41">
        <w:t>.</w:t>
      </w:r>
    </w:p>
    <w:p w:rsidR="00372DBC" w:rsidRDefault="00372DBC" w:rsidP="00372DBC">
      <w:pPr>
        <w:pStyle w:val="WMOBodyText"/>
        <w:tabs>
          <w:tab w:val="left" w:pos="851"/>
        </w:tabs>
      </w:pPr>
      <w:r>
        <w:t>1.3.5</w:t>
      </w:r>
      <w:r>
        <w:tab/>
        <w:t>The exchange of cryosphere data requires the standardization of terminology (name, definition), observing practices and methodologies (development of GCW best practices guides), and support from the diverse communities of practitioners (science).</w:t>
      </w:r>
    </w:p>
    <w:p w:rsidR="00372DBC" w:rsidRDefault="00372DBC" w:rsidP="00372DBC">
      <w:pPr>
        <w:pStyle w:val="WMOBodyText"/>
        <w:tabs>
          <w:tab w:val="left" w:pos="851"/>
        </w:tabs>
        <w:rPr>
          <w:i/>
        </w:rPr>
      </w:pPr>
      <w:r w:rsidRPr="00372DBC">
        <w:rPr>
          <w:i/>
        </w:rPr>
        <w:t xml:space="preserve">To support this effort, GCW is working with the international community to address the requirement for consistency in terminology and semantics for the naming of variables, their definitions, and for documenting the observing methods. </w:t>
      </w:r>
    </w:p>
    <w:p w:rsidR="00372DBC" w:rsidRDefault="00372DBC" w:rsidP="00372DBC">
      <w:pPr>
        <w:pStyle w:val="WMOBodyText"/>
        <w:tabs>
          <w:tab w:val="left" w:pos="851"/>
        </w:tabs>
        <w:rPr>
          <w:i/>
        </w:rPr>
      </w:pPr>
      <w:r>
        <w:rPr>
          <w:i/>
        </w:rPr>
        <w:t>A contract has been issued to review and streamline definitions and gain acceptance of naming of variables.</w:t>
      </w:r>
    </w:p>
    <w:p w:rsidR="00372DBC" w:rsidRPr="00372DBC" w:rsidRDefault="00372DBC" w:rsidP="00372DBC">
      <w:pPr>
        <w:pStyle w:val="WMOBodyText"/>
        <w:tabs>
          <w:tab w:val="left" w:pos="851"/>
        </w:tabs>
        <w:rPr>
          <w:i/>
        </w:rPr>
      </w:pPr>
      <w:r>
        <w:rPr>
          <w:i/>
        </w:rPr>
        <w:t xml:space="preserve">The Best practices Guide, under development, will provide the information needed for the measurement methods, configuration, etc. </w:t>
      </w:r>
    </w:p>
    <w:p w:rsidR="00F80A00" w:rsidRDefault="00825C14" w:rsidP="00EC118D">
      <w:pPr>
        <w:pStyle w:val="WMOBodyText"/>
        <w:tabs>
          <w:tab w:val="left" w:pos="851"/>
        </w:tabs>
      </w:pPr>
      <w:r>
        <w:t>1</w:t>
      </w:r>
      <w:r w:rsidR="006E5E6F">
        <w:t>.</w:t>
      </w:r>
      <w:r w:rsidR="006017DD">
        <w:t>3</w:t>
      </w:r>
      <w:r w:rsidR="006E5E6F">
        <w:t>.</w:t>
      </w:r>
      <w:r>
        <w:t>4</w:t>
      </w:r>
      <w:r w:rsidR="006E5E6F">
        <w:tab/>
      </w:r>
      <w:r w:rsidR="00EC118D">
        <w:t xml:space="preserve"> </w:t>
      </w:r>
      <w:r w:rsidR="007944AD">
        <w:t>At its 5</w:t>
      </w:r>
      <w:r w:rsidR="007944AD" w:rsidRPr="007944AD">
        <w:rPr>
          <w:vertAlign w:val="superscript"/>
        </w:rPr>
        <w:t>th</w:t>
      </w:r>
      <w:r w:rsidR="007944AD">
        <w:t xml:space="preserve"> session, in Jan 2018, the GCW Steering Group will identify the areas of focus to demonstrate the operationalization of GCW by 2020. One primary area is the ability to exchange data in real time from the stations included in the GCW observing network.</w:t>
      </w:r>
    </w:p>
    <w:p w:rsidR="007944AD" w:rsidRDefault="007944AD" w:rsidP="00EC118D">
      <w:pPr>
        <w:pStyle w:val="WMOBodyText"/>
        <w:tabs>
          <w:tab w:val="left" w:pos="851"/>
        </w:tabs>
      </w:pPr>
      <w:r>
        <w:t>Priority will be given to the meteorological variables, selected snow variables, and others to be determined. As a result metadata for the selected variables need to be established and endorsed by the community of users.</w:t>
      </w:r>
    </w:p>
    <w:p w:rsidR="00F80A00" w:rsidRDefault="00825C14" w:rsidP="00EC118D">
      <w:pPr>
        <w:pStyle w:val="WMOBodyText"/>
        <w:tabs>
          <w:tab w:val="left" w:pos="851"/>
        </w:tabs>
      </w:pPr>
      <w:r>
        <w:t>1</w:t>
      </w:r>
      <w:r w:rsidR="00F80A00">
        <w:t>.</w:t>
      </w:r>
      <w:r w:rsidR="001B3C41">
        <w:t>3</w:t>
      </w:r>
      <w:r w:rsidR="00F80A00">
        <w:t>.</w:t>
      </w:r>
      <w:r>
        <w:t xml:space="preserve">6 </w:t>
      </w:r>
      <w:r w:rsidR="00F80A00">
        <w:tab/>
      </w:r>
      <w:r w:rsidR="001B3C41">
        <w:t xml:space="preserve">An analysis of the existing cryosphere variables in the WIGOS Manual and their status, for snow observations, is provided in </w:t>
      </w:r>
      <w:hyperlink w:anchor="Annex1" w:history="1">
        <w:r w:rsidR="001B3C41" w:rsidRPr="00372DBC">
          <w:rPr>
            <w:rStyle w:val="Hyperlink"/>
          </w:rPr>
          <w:t>Annex 1</w:t>
        </w:r>
      </w:hyperlink>
      <w:r w:rsidR="001B3C41">
        <w:t>.</w:t>
      </w:r>
    </w:p>
    <w:p w:rsidR="001B3C41" w:rsidRPr="00372DBC" w:rsidRDefault="001B3C41" w:rsidP="00EC118D">
      <w:pPr>
        <w:pStyle w:val="WMOBodyText"/>
        <w:tabs>
          <w:tab w:val="left" w:pos="851"/>
        </w:tabs>
        <w:rPr>
          <w:i/>
        </w:rPr>
      </w:pPr>
      <w:r>
        <w:t>1.3.7</w:t>
      </w:r>
      <w:r>
        <w:tab/>
      </w:r>
      <w:hyperlink w:anchor="Annex2" w:history="1">
        <w:r w:rsidRPr="00372DBC">
          <w:rPr>
            <w:rStyle w:val="Hyperlink"/>
          </w:rPr>
          <w:t>Annex 2</w:t>
        </w:r>
      </w:hyperlink>
      <w:r>
        <w:t xml:space="preserve"> provides examples of entries in the OSCAR table (version 20.09.2017) which require further clarification </w:t>
      </w:r>
      <w:r w:rsidR="00372DBC">
        <w:t>in relation to the</w:t>
      </w:r>
      <w:r>
        <w:t xml:space="preserve"> GCW recommended observing programmes.</w:t>
      </w:r>
      <w:r w:rsidR="00372DBC">
        <w:t xml:space="preserve"> </w:t>
      </w:r>
      <w:r w:rsidR="00372DBC" w:rsidRPr="00372DBC">
        <w:rPr>
          <w:i/>
        </w:rPr>
        <w:t>This work will be conducted in conjunction with WIGOS and IPET-OSDE.</w:t>
      </w:r>
    </w:p>
    <w:p w:rsidR="001B3C41" w:rsidRDefault="001B3C41" w:rsidP="00EC118D">
      <w:pPr>
        <w:pStyle w:val="WMOBodyText"/>
        <w:tabs>
          <w:tab w:val="left" w:pos="851"/>
        </w:tabs>
      </w:pPr>
    </w:p>
    <w:p w:rsidR="00EC118D" w:rsidRDefault="00EC118D" w:rsidP="005639F0">
      <w:pPr>
        <w:pStyle w:val="Heading1"/>
        <w:spacing w:before="240"/>
        <w:rPr>
          <w:b w:val="0"/>
          <w:bCs w:val="0"/>
          <w:sz w:val="20"/>
          <w:szCs w:val="20"/>
        </w:rPr>
      </w:pPr>
    </w:p>
    <w:p w:rsidR="001B3C41" w:rsidRDefault="001B3C41">
      <w:pPr>
        <w:tabs>
          <w:tab w:val="clear" w:pos="1134"/>
        </w:tabs>
        <w:jc w:val="left"/>
        <w:rPr>
          <w:lang w:eastAsia="zh-TW"/>
        </w:rPr>
      </w:pPr>
      <w:r>
        <w:rPr>
          <w:lang w:eastAsia="zh-TW"/>
        </w:rPr>
        <w:br w:type="page"/>
      </w:r>
    </w:p>
    <w:p w:rsidR="001B3C41" w:rsidRPr="00C526F1" w:rsidRDefault="001B3C41" w:rsidP="001B3C41">
      <w:pPr>
        <w:tabs>
          <w:tab w:val="clear" w:pos="1134"/>
        </w:tabs>
        <w:rPr>
          <w:rFonts w:ascii="Calibri" w:eastAsiaTheme="minorHAnsi" w:hAnsi="Calibri" w:cstheme="minorBidi"/>
          <w:b/>
        </w:rPr>
      </w:pPr>
      <w:bookmarkStart w:id="3" w:name="Annex1"/>
      <w:r w:rsidRPr="009C37F2">
        <w:rPr>
          <w:rFonts w:ascii="Calibri" w:hAnsi="Calibri"/>
          <w:lang w:eastAsia="zh-TW"/>
        </w:rPr>
        <w:lastRenderedPageBreak/>
        <w:t>Annex 1</w:t>
      </w:r>
      <w:r w:rsidRPr="009C37F2">
        <w:rPr>
          <w:rFonts w:ascii="Calibri" w:eastAsiaTheme="minorHAnsi" w:hAnsi="Calibri" w:cstheme="minorBidi"/>
          <w:b/>
        </w:rPr>
        <w:t xml:space="preserve"> </w:t>
      </w:r>
      <w:bookmarkEnd w:id="3"/>
      <w:r w:rsidRPr="00C526F1">
        <w:rPr>
          <w:rFonts w:ascii="Calibri" w:eastAsiaTheme="minorHAnsi" w:hAnsi="Calibri" w:cstheme="minorBidi"/>
          <w:b/>
        </w:rPr>
        <w:t>Recommended Measurements for CryoNet Stations and how they compare with WMO Code Registry, WIGOS and OSCAR</w:t>
      </w:r>
    </w:p>
    <w:p w:rsidR="001B3C41" w:rsidRPr="009C37F2" w:rsidRDefault="001B3C41" w:rsidP="001B3C41">
      <w:pPr>
        <w:rPr>
          <w:rFonts w:ascii="Calibri" w:hAnsi="Calibri"/>
          <w:lang w:eastAsia="zh-TW"/>
        </w:rPr>
      </w:pPr>
    </w:p>
    <w:tbl>
      <w:tblPr>
        <w:tblStyle w:val="TableGrid1"/>
        <w:tblpPr w:leftFromText="180" w:rightFromText="180" w:vertAnchor="page" w:horzAnchor="margin" w:tblpX="183" w:tblpY="3653"/>
        <w:tblW w:w="10031" w:type="dxa"/>
        <w:tblLayout w:type="fixed"/>
        <w:tblLook w:val="04A0" w:firstRow="1" w:lastRow="0" w:firstColumn="1" w:lastColumn="0" w:noHBand="0" w:noVBand="1"/>
      </w:tblPr>
      <w:tblGrid>
        <w:gridCol w:w="1476"/>
        <w:gridCol w:w="1113"/>
        <w:gridCol w:w="1182"/>
        <w:gridCol w:w="974"/>
        <w:gridCol w:w="1115"/>
        <w:gridCol w:w="1761"/>
        <w:gridCol w:w="2410"/>
      </w:tblGrid>
      <w:tr w:rsidR="001B3C41" w:rsidRPr="009C37F2" w:rsidTr="0079284D">
        <w:tc>
          <w:tcPr>
            <w:tcW w:w="1476" w:type="dxa"/>
          </w:tcPr>
          <w:p w:rsidR="001B3C41" w:rsidRPr="00C526F1" w:rsidRDefault="001B3C41" w:rsidP="0079284D">
            <w:pPr>
              <w:tabs>
                <w:tab w:val="clear" w:pos="1134"/>
              </w:tabs>
              <w:jc w:val="left"/>
              <w:rPr>
                <w:rFonts w:ascii="Calibri" w:eastAsiaTheme="minorHAnsi" w:hAnsi="Calibri" w:cstheme="minorBidi"/>
                <w:b/>
                <w:sz w:val="20"/>
                <w:szCs w:val="20"/>
              </w:rPr>
            </w:pPr>
            <w:r w:rsidRPr="00C526F1">
              <w:rPr>
                <w:rFonts w:ascii="Calibri" w:eastAsiaTheme="minorHAnsi" w:hAnsi="Calibri" w:cstheme="minorBidi"/>
                <w:b/>
                <w:sz w:val="20"/>
                <w:szCs w:val="20"/>
              </w:rPr>
              <w:t xml:space="preserve">Variable </w:t>
            </w:r>
            <w:r w:rsidRPr="009C37F2">
              <w:rPr>
                <w:rFonts w:ascii="Calibri" w:eastAsiaTheme="minorHAnsi" w:hAnsi="Calibri" w:cstheme="minorBidi"/>
                <w:b/>
                <w:sz w:val="20"/>
                <w:szCs w:val="20"/>
              </w:rPr>
              <w:t>(</w:t>
            </w:r>
            <w:r w:rsidRPr="00C526F1">
              <w:rPr>
                <w:rFonts w:ascii="Calibri" w:eastAsiaTheme="minorHAnsi" w:hAnsi="Calibri" w:cstheme="minorBidi"/>
                <w:b/>
                <w:sz w:val="20"/>
                <w:szCs w:val="20"/>
              </w:rPr>
              <w:t>source</w:t>
            </w:r>
            <w:r w:rsidRPr="009C37F2">
              <w:rPr>
                <w:rFonts w:ascii="Calibri" w:eastAsiaTheme="minorHAnsi" w:hAnsi="Calibri" w:cstheme="minorBidi"/>
                <w:b/>
                <w:sz w:val="20"/>
                <w:szCs w:val="20"/>
              </w:rPr>
              <w:t>:</w:t>
            </w:r>
            <w:r w:rsidRPr="00C526F1">
              <w:rPr>
                <w:rFonts w:ascii="Calibri" w:eastAsiaTheme="minorHAnsi" w:hAnsi="Calibri" w:cstheme="minorBidi"/>
                <w:b/>
                <w:sz w:val="20"/>
                <w:szCs w:val="20"/>
              </w:rPr>
              <w:t xml:space="preserve"> GCW recommended variable list)</w:t>
            </w:r>
          </w:p>
          <w:p w:rsidR="001B3C41" w:rsidRPr="00C526F1" w:rsidRDefault="001B3C41" w:rsidP="0079284D">
            <w:pPr>
              <w:tabs>
                <w:tab w:val="clear" w:pos="1134"/>
              </w:tabs>
              <w:jc w:val="left"/>
              <w:rPr>
                <w:rFonts w:ascii="Calibri" w:eastAsiaTheme="minorHAnsi" w:hAnsi="Calibri" w:cstheme="minorBidi"/>
                <w:b/>
                <w:sz w:val="20"/>
                <w:szCs w:val="20"/>
              </w:rPr>
            </w:pPr>
          </w:p>
        </w:tc>
        <w:tc>
          <w:tcPr>
            <w:tcW w:w="1113" w:type="dxa"/>
          </w:tcPr>
          <w:p w:rsidR="001B3C41" w:rsidRPr="00C526F1" w:rsidRDefault="001B3C41" w:rsidP="0079284D">
            <w:pPr>
              <w:tabs>
                <w:tab w:val="clear" w:pos="1134"/>
              </w:tabs>
              <w:jc w:val="left"/>
              <w:rPr>
                <w:rFonts w:ascii="Calibri" w:eastAsiaTheme="minorHAnsi" w:hAnsi="Calibri" w:cstheme="minorBidi"/>
                <w:b/>
                <w:sz w:val="20"/>
                <w:szCs w:val="20"/>
              </w:rPr>
            </w:pPr>
            <w:r w:rsidRPr="00C526F1">
              <w:rPr>
                <w:rFonts w:ascii="Calibri" w:eastAsiaTheme="minorHAnsi" w:hAnsi="Calibri" w:cstheme="minorBidi"/>
                <w:b/>
                <w:sz w:val="20"/>
                <w:szCs w:val="20"/>
              </w:rPr>
              <w:t>Included in the WMO Code Registry (y/n)</w:t>
            </w:r>
          </w:p>
        </w:tc>
        <w:tc>
          <w:tcPr>
            <w:tcW w:w="1182" w:type="dxa"/>
          </w:tcPr>
          <w:p w:rsidR="001B3C41" w:rsidRPr="00C526F1" w:rsidRDefault="001B3C41" w:rsidP="0079284D">
            <w:pPr>
              <w:tabs>
                <w:tab w:val="clear" w:pos="1134"/>
              </w:tabs>
              <w:jc w:val="left"/>
              <w:rPr>
                <w:rFonts w:ascii="Calibri" w:eastAsiaTheme="minorHAnsi" w:hAnsi="Calibri" w:cstheme="minorBidi"/>
                <w:b/>
                <w:sz w:val="20"/>
                <w:szCs w:val="20"/>
              </w:rPr>
            </w:pPr>
            <w:r w:rsidRPr="00C526F1">
              <w:rPr>
                <w:rFonts w:ascii="Calibri" w:eastAsiaTheme="minorHAnsi" w:hAnsi="Calibri" w:cstheme="minorBidi"/>
                <w:b/>
                <w:sz w:val="20"/>
                <w:szCs w:val="20"/>
              </w:rPr>
              <w:t>WMO Identifier</w:t>
            </w:r>
          </w:p>
        </w:tc>
        <w:tc>
          <w:tcPr>
            <w:tcW w:w="974" w:type="dxa"/>
          </w:tcPr>
          <w:p w:rsidR="001B3C41" w:rsidRPr="00C526F1" w:rsidRDefault="001B3C41" w:rsidP="0079284D">
            <w:pPr>
              <w:tabs>
                <w:tab w:val="clear" w:pos="1134"/>
              </w:tabs>
              <w:jc w:val="left"/>
              <w:rPr>
                <w:rFonts w:ascii="Calibri" w:eastAsiaTheme="minorHAnsi" w:hAnsi="Calibri" w:cstheme="minorBidi"/>
                <w:b/>
                <w:sz w:val="20"/>
                <w:szCs w:val="20"/>
              </w:rPr>
            </w:pPr>
            <w:r w:rsidRPr="00C526F1">
              <w:rPr>
                <w:rFonts w:ascii="Calibri" w:eastAsiaTheme="minorHAnsi" w:hAnsi="Calibri" w:cstheme="minorBidi"/>
                <w:b/>
                <w:sz w:val="20"/>
                <w:szCs w:val="20"/>
              </w:rPr>
              <w:t>Included in OSCAR</w:t>
            </w:r>
          </w:p>
        </w:tc>
        <w:tc>
          <w:tcPr>
            <w:tcW w:w="1115" w:type="dxa"/>
          </w:tcPr>
          <w:p w:rsidR="001B3C41" w:rsidRPr="00C526F1" w:rsidRDefault="001B3C41" w:rsidP="0079284D">
            <w:pPr>
              <w:tabs>
                <w:tab w:val="clear" w:pos="1134"/>
              </w:tabs>
              <w:jc w:val="left"/>
              <w:rPr>
                <w:rFonts w:ascii="Calibri" w:eastAsiaTheme="minorHAnsi" w:hAnsi="Calibri" w:cstheme="minorBidi"/>
                <w:b/>
                <w:sz w:val="20"/>
                <w:szCs w:val="20"/>
              </w:rPr>
            </w:pPr>
            <w:r w:rsidRPr="00C526F1">
              <w:rPr>
                <w:rFonts w:ascii="Calibri" w:eastAsiaTheme="minorHAnsi" w:hAnsi="Calibri" w:cstheme="minorBidi"/>
                <w:b/>
                <w:sz w:val="20"/>
                <w:szCs w:val="20"/>
              </w:rPr>
              <w:t>Is it defined (No, W, O)</w:t>
            </w:r>
          </w:p>
        </w:tc>
        <w:tc>
          <w:tcPr>
            <w:tcW w:w="1761" w:type="dxa"/>
          </w:tcPr>
          <w:p w:rsidR="001B3C41" w:rsidRPr="00C526F1" w:rsidRDefault="001B3C41" w:rsidP="0079284D">
            <w:pPr>
              <w:tabs>
                <w:tab w:val="clear" w:pos="1134"/>
              </w:tabs>
              <w:jc w:val="left"/>
              <w:rPr>
                <w:rFonts w:ascii="Calibri" w:eastAsiaTheme="minorHAnsi" w:hAnsi="Calibri" w:cstheme="minorBidi"/>
                <w:b/>
                <w:sz w:val="20"/>
                <w:szCs w:val="20"/>
              </w:rPr>
            </w:pPr>
            <w:r w:rsidRPr="00C526F1">
              <w:rPr>
                <w:rFonts w:ascii="Calibri" w:eastAsiaTheme="minorHAnsi" w:hAnsi="Calibri" w:cstheme="minorBidi"/>
                <w:b/>
                <w:sz w:val="20"/>
                <w:szCs w:val="20"/>
              </w:rPr>
              <w:t>Definition: agreement with GCW Glossary definitions?</w:t>
            </w:r>
          </w:p>
        </w:tc>
        <w:tc>
          <w:tcPr>
            <w:tcW w:w="2410" w:type="dxa"/>
          </w:tcPr>
          <w:p w:rsidR="001B3C41" w:rsidRPr="00C526F1" w:rsidRDefault="001B3C41" w:rsidP="0079284D">
            <w:pPr>
              <w:tabs>
                <w:tab w:val="clear" w:pos="1134"/>
              </w:tabs>
              <w:jc w:val="left"/>
              <w:rPr>
                <w:rFonts w:ascii="Calibri" w:eastAsiaTheme="minorHAnsi" w:hAnsi="Calibri" w:cstheme="minorBidi"/>
                <w:b/>
                <w:sz w:val="20"/>
                <w:szCs w:val="20"/>
              </w:rPr>
            </w:pPr>
            <w:r w:rsidRPr="00C526F1">
              <w:rPr>
                <w:rFonts w:ascii="Calibri" w:eastAsiaTheme="minorHAnsi" w:hAnsi="Calibri" w:cstheme="minorBidi"/>
                <w:b/>
                <w:sz w:val="20"/>
                <w:szCs w:val="20"/>
              </w:rPr>
              <w:t>Comments</w:t>
            </w:r>
          </w:p>
        </w:tc>
      </w:tr>
      <w:tr w:rsidR="001B3C41" w:rsidRPr="009C37F2" w:rsidTr="009C37F2">
        <w:trPr>
          <w:trHeight w:val="646"/>
        </w:trPr>
        <w:tc>
          <w:tcPr>
            <w:tcW w:w="1476"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Snow on the ground</w:t>
            </w:r>
          </w:p>
        </w:tc>
        <w:tc>
          <w:tcPr>
            <w:tcW w:w="1113"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182"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n/a</w:t>
            </w:r>
          </w:p>
        </w:tc>
        <w:tc>
          <w:tcPr>
            <w:tcW w:w="974"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n/a</w:t>
            </w:r>
          </w:p>
        </w:tc>
        <w:tc>
          <w:tcPr>
            <w:tcW w:w="1115"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761"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Not defined in GCW Glossary</w:t>
            </w:r>
          </w:p>
        </w:tc>
        <w:tc>
          <w:tcPr>
            <w:tcW w:w="2410"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GCW experts to clarify the term Snow on the Ground</w:t>
            </w:r>
          </w:p>
        </w:tc>
      </w:tr>
      <w:tr w:rsidR="001B3C41" w:rsidRPr="009C37F2" w:rsidTr="009C37F2">
        <w:trPr>
          <w:trHeight w:val="1690"/>
        </w:trPr>
        <w:tc>
          <w:tcPr>
            <w:tcW w:w="1476"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Snow depth</w:t>
            </w:r>
          </w:p>
        </w:tc>
        <w:tc>
          <w:tcPr>
            <w:tcW w:w="1113"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Yes</w:t>
            </w:r>
          </w:p>
        </w:tc>
        <w:tc>
          <w:tcPr>
            <w:tcW w:w="1182"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629</w:t>
            </w:r>
          </w:p>
        </w:tc>
        <w:tc>
          <w:tcPr>
            <w:tcW w:w="974"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Yes</w:t>
            </w:r>
          </w:p>
        </w:tc>
        <w:tc>
          <w:tcPr>
            <w:tcW w:w="1115"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Yes, W,O</w:t>
            </w:r>
          </w:p>
        </w:tc>
        <w:tc>
          <w:tcPr>
            <w:tcW w:w="1761"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 xml:space="preserve">6 </w:t>
            </w:r>
            <w:proofErr w:type="spellStart"/>
            <w:r w:rsidRPr="00C526F1">
              <w:rPr>
                <w:rFonts w:ascii="Calibri" w:eastAsiaTheme="minorHAnsi" w:hAnsi="Calibri" w:cstheme="minorBidi"/>
                <w:sz w:val="20"/>
                <w:szCs w:val="20"/>
              </w:rPr>
              <w:t>def’s</w:t>
            </w:r>
            <w:proofErr w:type="spellEnd"/>
            <w:r w:rsidRPr="00C526F1">
              <w:rPr>
                <w:rFonts w:ascii="Calibri" w:eastAsiaTheme="minorHAnsi" w:hAnsi="Calibri" w:cstheme="minorBidi"/>
                <w:sz w:val="20"/>
                <w:szCs w:val="20"/>
              </w:rPr>
              <w:t xml:space="preserve"> in GCW glossary plus 1 called “depth of snow” (AMS). WIGOS/OSCAR definitions are in agreement.</w:t>
            </w:r>
          </w:p>
        </w:tc>
        <w:tc>
          <w:tcPr>
            <w:tcW w:w="2410"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Note distance from “ground” is specified in most definitions in GCW glossary, while WMO codes includes both ground and ice.</w:t>
            </w:r>
          </w:p>
        </w:tc>
      </w:tr>
      <w:tr w:rsidR="001B3C41" w:rsidRPr="009C37F2" w:rsidTr="0079284D">
        <w:tc>
          <w:tcPr>
            <w:tcW w:w="1476"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Snow Water Equivalent</w:t>
            </w:r>
          </w:p>
        </w:tc>
        <w:tc>
          <w:tcPr>
            <w:tcW w:w="1113"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Yes</w:t>
            </w:r>
          </w:p>
        </w:tc>
        <w:tc>
          <w:tcPr>
            <w:tcW w:w="1182"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631</w:t>
            </w:r>
          </w:p>
        </w:tc>
        <w:tc>
          <w:tcPr>
            <w:tcW w:w="974"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Yes</w:t>
            </w:r>
          </w:p>
        </w:tc>
        <w:tc>
          <w:tcPr>
            <w:tcW w:w="1115"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Yes, W,O</w:t>
            </w:r>
          </w:p>
        </w:tc>
        <w:tc>
          <w:tcPr>
            <w:tcW w:w="1761"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 xml:space="preserve">Somewhat; GCW glossary has 5 related definitions, but agreement is needed (IPCC </w:t>
            </w:r>
            <w:proofErr w:type="spellStart"/>
            <w:r w:rsidRPr="00C526F1">
              <w:rPr>
                <w:rFonts w:ascii="Calibri" w:eastAsiaTheme="minorHAnsi" w:hAnsi="Calibri" w:cstheme="minorBidi"/>
                <w:sz w:val="20"/>
                <w:szCs w:val="20"/>
              </w:rPr>
              <w:t>def</w:t>
            </w:r>
            <w:proofErr w:type="spellEnd"/>
            <w:r w:rsidRPr="00C526F1">
              <w:rPr>
                <w:rFonts w:ascii="Calibri" w:eastAsiaTheme="minorHAnsi" w:hAnsi="Calibri" w:cstheme="minorBidi"/>
                <w:sz w:val="20"/>
                <w:szCs w:val="20"/>
              </w:rPr>
              <w:t xml:space="preserve"> looks clearest).</w:t>
            </w:r>
          </w:p>
        </w:tc>
        <w:tc>
          <w:tcPr>
            <w:tcW w:w="2410"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WIGOS/OSCAR definition is comprehensive but reference to density may need clarification?</w:t>
            </w:r>
          </w:p>
        </w:tc>
      </w:tr>
      <w:tr w:rsidR="001B3C41" w:rsidRPr="009C37F2" w:rsidTr="0079284D">
        <w:tc>
          <w:tcPr>
            <w:tcW w:w="1476"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Solid Precipitation</w:t>
            </w:r>
          </w:p>
        </w:tc>
        <w:tc>
          <w:tcPr>
            <w:tcW w:w="1113"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182"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n/a</w:t>
            </w:r>
          </w:p>
        </w:tc>
        <w:tc>
          <w:tcPr>
            <w:tcW w:w="974"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115"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761"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n/a</w:t>
            </w:r>
          </w:p>
        </w:tc>
        <w:tc>
          <w:tcPr>
            <w:tcW w:w="2410"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One definition in GCW glossary</w:t>
            </w:r>
            <w:r w:rsidR="00D71788">
              <w:rPr>
                <w:rFonts w:ascii="Calibri" w:eastAsiaTheme="minorHAnsi" w:hAnsi="Calibri" w:cstheme="minorBidi"/>
                <w:sz w:val="20"/>
                <w:szCs w:val="20"/>
              </w:rPr>
              <w:t xml:space="preserve">; likely a measurement of two parameters: amount and type of </w:t>
            </w:r>
            <w:proofErr w:type="spellStart"/>
            <w:r w:rsidR="00D71788">
              <w:rPr>
                <w:rFonts w:ascii="Calibri" w:eastAsiaTheme="minorHAnsi" w:hAnsi="Calibri" w:cstheme="minorBidi"/>
                <w:sz w:val="20"/>
                <w:szCs w:val="20"/>
              </w:rPr>
              <w:t>precip</w:t>
            </w:r>
            <w:proofErr w:type="spellEnd"/>
            <w:r w:rsidR="00D71788">
              <w:rPr>
                <w:rFonts w:ascii="Calibri" w:eastAsiaTheme="minorHAnsi" w:hAnsi="Calibri" w:cstheme="minorBidi"/>
                <w:sz w:val="20"/>
                <w:szCs w:val="20"/>
              </w:rPr>
              <w:t>.</w:t>
            </w:r>
          </w:p>
        </w:tc>
      </w:tr>
      <w:tr w:rsidR="001B3C41" w:rsidRPr="009C37F2" w:rsidTr="0079284D">
        <w:tc>
          <w:tcPr>
            <w:tcW w:w="1476"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Snow profiles (density, grain shape &amp; size, hardness, liquid water content, salinity, temperature)</w:t>
            </w:r>
          </w:p>
        </w:tc>
        <w:tc>
          <w:tcPr>
            <w:tcW w:w="1113"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182"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n/a</w:t>
            </w:r>
          </w:p>
        </w:tc>
        <w:tc>
          <w:tcPr>
            <w:tcW w:w="974"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115"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No</w:t>
            </w:r>
          </w:p>
        </w:tc>
        <w:tc>
          <w:tcPr>
            <w:tcW w:w="1761"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n/a</w:t>
            </w:r>
          </w:p>
        </w:tc>
        <w:tc>
          <w:tcPr>
            <w:tcW w:w="2410" w:type="dxa"/>
          </w:tcPr>
          <w:p w:rsidR="001B3C41" w:rsidRPr="00C526F1" w:rsidRDefault="001B3C41" w:rsidP="0079284D">
            <w:pPr>
              <w:tabs>
                <w:tab w:val="clear" w:pos="1134"/>
              </w:tabs>
              <w:jc w:val="left"/>
              <w:rPr>
                <w:rFonts w:ascii="Calibri" w:eastAsiaTheme="minorHAnsi" w:hAnsi="Calibri" w:cstheme="minorBidi"/>
                <w:sz w:val="20"/>
                <w:szCs w:val="20"/>
              </w:rPr>
            </w:pPr>
            <w:r w:rsidRPr="00C526F1">
              <w:rPr>
                <w:rFonts w:ascii="Calibri" w:eastAsiaTheme="minorHAnsi" w:hAnsi="Calibri" w:cstheme="minorBidi"/>
                <w:sz w:val="20"/>
                <w:szCs w:val="20"/>
              </w:rPr>
              <w:t>Recommend to change from “profiles” to “profile”</w:t>
            </w:r>
            <w:r w:rsidR="00D71788">
              <w:rPr>
                <w:rFonts w:ascii="Calibri" w:eastAsiaTheme="minorHAnsi" w:hAnsi="Calibri" w:cstheme="minorBidi"/>
                <w:sz w:val="20"/>
                <w:szCs w:val="20"/>
              </w:rPr>
              <w:t xml:space="preserve">. It may </w:t>
            </w:r>
            <w:proofErr w:type="spellStart"/>
            <w:r w:rsidR="00D71788">
              <w:rPr>
                <w:rFonts w:ascii="Calibri" w:eastAsiaTheme="minorHAnsi" w:hAnsi="Calibri" w:cstheme="minorBidi"/>
                <w:sz w:val="20"/>
                <w:szCs w:val="20"/>
              </w:rPr>
              <w:t>erquire</w:t>
            </w:r>
            <w:proofErr w:type="spellEnd"/>
            <w:r w:rsidR="00D71788">
              <w:rPr>
                <w:rFonts w:ascii="Calibri" w:eastAsiaTheme="minorHAnsi" w:hAnsi="Calibri" w:cstheme="minorBidi"/>
                <w:sz w:val="20"/>
                <w:szCs w:val="20"/>
              </w:rPr>
              <w:t xml:space="preserve"> the definition of several measured/observed variables to include all elements listed in paranthesis</w:t>
            </w:r>
            <w:r w:rsidRPr="00C526F1">
              <w:rPr>
                <w:rFonts w:ascii="Calibri" w:eastAsiaTheme="minorHAnsi" w:hAnsi="Calibri" w:cstheme="minorBidi"/>
                <w:sz w:val="20"/>
                <w:szCs w:val="20"/>
              </w:rPr>
              <w:t>. One definition in GCW glossary.</w:t>
            </w:r>
          </w:p>
        </w:tc>
      </w:tr>
      <w:tr w:rsidR="001B3C41" w:rsidRPr="009C37F2" w:rsidTr="0079284D">
        <w:tc>
          <w:tcPr>
            <w:tcW w:w="1476" w:type="dxa"/>
          </w:tcPr>
          <w:p w:rsidR="001B3C41" w:rsidRPr="009C37F2" w:rsidRDefault="001B3C41" w:rsidP="0079284D">
            <w:pPr>
              <w:tabs>
                <w:tab w:val="clear" w:pos="1134"/>
              </w:tabs>
              <w:jc w:val="left"/>
              <w:rPr>
                <w:rFonts w:ascii="Calibri" w:eastAsiaTheme="minorHAnsi" w:hAnsi="Calibri" w:cstheme="minorBidi"/>
                <w:sz w:val="20"/>
                <w:szCs w:val="20"/>
              </w:rPr>
            </w:pPr>
          </w:p>
        </w:tc>
        <w:tc>
          <w:tcPr>
            <w:tcW w:w="1113" w:type="dxa"/>
          </w:tcPr>
          <w:p w:rsidR="001B3C41" w:rsidRPr="009C37F2" w:rsidRDefault="001B3C41" w:rsidP="0079284D">
            <w:pPr>
              <w:tabs>
                <w:tab w:val="clear" w:pos="1134"/>
              </w:tabs>
              <w:jc w:val="left"/>
              <w:rPr>
                <w:rFonts w:ascii="Calibri" w:eastAsiaTheme="minorHAnsi" w:hAnsi="Calibri" w:cstheme="minorBidi"/>
                <w:sz w:val="20"/>
                <w:szCs w:val="20"/>
              </w:rPr>
            </w:pPr>
          </w:p>
        </w:tc>
        <w:tc>
          <w:tcPr>
            <w:tcW w:w="1182" w:type="dxa"/>
          </w:tcPr>
          <w:p w:rsidR="001B3C41" w:rsidRPr="009C37F2" w:rsidRDefault="001B3C41" w:rsidP="0079284D">
            <w:pPr>
              <w:tabs>
                <w:tab w:val="clear" w:pos="1134"/>
              </w:tabs>
              <w:jc w:val="left"/>
              <w:rPr>
                <w:rFonts w:ascii="Calibri" w:eastAsiaTheme="minorHAnsi" w:hAnsi="Calibri" w:cstheme="minorBidi"/>
                <w:sz w:val="20"/>
                <w:szCs w:val="20"/>
              </w:rPr>
            </w:pPr>
          </w:p>
        </w:tc>
        <w:tc>
          <w:tcPr>
            <w:tcW w:w="974" w:type="dxa"/>
          </w:tcPr>
          <w:p w:rsidR="001B3C41" w:rsidRPr="009C37F2" w:rsidRDefault="001B3C41" w:rsidP="0079284D">
            <w:pPr>
              <w:tabs>
                <w:tab w:val="clear" w:pos="1134"/>
              </w:tabs>
              <w:jc w:val="left"/>
              <w:rPr>
                <w:rFonts w:ascii="Calibri" w:eastAsiaTheme="minorHAnsi" w:hAnsi="Calibri" w:cstheme="minorBidi"/>
                <w:sz w:val="20"/>
                <w:szCs w:val="20"/>
              </w:rPr>
            </w:pPr>
          </w:p>
        </w:tc>
        <w:tc>
          <w:tcPr>
            <w:tcW w:w="1115" w:type="dxa"/>
          </w:tcPr>
          <w:p w:rsidR="001B3C41" w:rsidRPr="009C37F2" w:rsidRDefault="001B3C41" w:rsidP="0079284D">
            <w:pPr>
              <w:tabs>
                <w:tab w:val="clear" w:pos="1134"/>
              </w:tabs>
              <w:jc w:val="left"/>
              <w:rPr>
                <w:rFonts w:ascii="Calibri" w:eastAsiaTheme="minorHAnsi" w:hAnsi="Calibri" w:cstheme="minorBidi"/>
                <w:sz w:val="20"/>
                <w:szCs w:val="20"/>
              </w:rPr>
            </w:pPr>
          </w:p>
        </w:tc>
        <w:tc>
          <w:tcPr>
            <w:tcW w:w="1761" w:type="dxa"/>
          </w:tcPr>
          <w:p w:rsidR="001B3C41" w:rsidRPr="009C37F2" w:rsidRDefault="001B3C41" w:rsidP="0079284D">
            <w:pPr>
              <w:tabs>
                <w:tab w:val="clear" w:pos="1134"/>
              </w:tabs>
              <w:jc w:val="left"/>
              <w:rPr>
                <w:rFonts w:ascii="Calibri" w:eastAsiaTheme="minorHAnsi" w:hAnsi="Calibri" w:cstheme="minorBidi"/>
                <w:sz w:val="20"/>
                <w:szCs w:val="20"/>
              </w:rPr>
            </w:pPr>
          </w:p>
        </w:tc>
        <w:tc>
          <w:tcPr>
            <w:tcW w:w="2410" w:type="dxa"/>
          </w:tcPr>
          <w:p w:rsidR="001B3C41" w:rsidRPr="009C37F2" w:rsidRDefault="001B3C41" w:rsidP="0079284D">
            <w:pPr>
              <w:tabs>
                <w:tab w:val="clear" w:pos="1134"/>
              </w:tabs>
              <w:jc w:val="left"/>
              <w:rPr>
                <w:rFonts w:ascii="Calibri" w:eastAsiaTheme="minorHAnsi" w:hAnsi="Calibri" w:cstheme="minorBidi"/>
                <w:sz w:val="20"/>
                <w:szCs w:val="20"/>
              </w:rPr>
            </w:pPr>
          </w:p>
        </w:tc>
      </w:tr>
      <w:bookmarkEnd w:id="1"/>
    </w:tbl>
    <w:p w:rsidR="001B3C41" w:rsidRPr="009C37F2" w:rsidRDefault="001B3C41" w:rsidP="001B3C41">
      <w:pPr>
        <w:pStyle w:val="WMOBodyText"/>
        <w:rPr>
          <w:rFonts w:ascii="Calibri" w:hAnsi="Calibri"/>
          <w:szCs w:val="20"/>
        </w:rPr>
      </w:pPr>
    </w:p>
    <w:tbl>
      <w:tblPr>
        <w:tblStyle w:val="TableGrid"/>
        <w:tblpPr w:leftFromText="180" w:rightFromText="180" w:vertAnchor="page" w:horzAnchor="margin" w:tblpY="2081"/>
        <w:tblW w:w="0" w:type="auto"/>
        <w:tblLook w:val="04A0" w:firstRow="1" w:lastRow="0" w:firstColumn="1" w:lastColumn="0" w:noHBand="0" w:noVBand="1"/>
      </w:tblPr>
      <w:tblGrid>
        <w:gridCol w:w="1620"/>
        <w:gridCol w:w="1022"/>
        <w:gridCol w:w="1083"/>
        <w:gridCol w:w="1022"/>
        <w:gridCol w:w="898"/>
        <w:gridCol w:w="1285"/>
        <w:gridCol w:w="2646"/>
      </w:tblGrid>
      <w:tr w:rsidR="001B3C41" w:rsidRPr="009C37F2" w:rsidTr="001B3C41">
        <w:tc>
          <w:tcPr>
            <w:tcW w:w="9576" w:type="dxa"/>
            <w:gridSpan w:val="7"/>
            <w:tcBorders>
              <w:top w:val="single" w:sz="4" w:space="0" w:color="auto"/>
              <w:left w:val="single" w:sz="4" w:space="0" w:color="auto"/>
              <w:bottom w:val="single" w:sz="4" w:space="0" w:color="auto"/>
              <w:right w:val="single" w:sz="4" w:space="0" w:color="auto"/>
            </w:tcBorders>
          </w:tcPr>
          <w:p w:rsidR="001B3C41" w:rsidRPr="009C37F2" w:rsidRDefault="001B3C41" w:rsidP="001B3C41">
            <w:pPr>
              <w:jc w:val="center"/>
              <w:rPr>
                <w:rFonts w:ascii="Calibri" w:hAnsi="Calibri" w:cstheme="minorBidi"/>
                <w:b/>
              </w:rPr>
            </w:pPr>
            <w:bookmarkStart w:id="4" w:name="Annex2"/>
            <w:r w:rsidRPr="009C37F2">
              <w:rPr>
                <w:rFonts w:ascii="Calibri" w:hAnsi="Calibri"/>
                <w:b/>
              </w:rPr>
              <w:lastRenderedPageBreak/>
              <w:t>Annex 2</w:t>
            </w:r>
            <w:bookmarkEnd w:id="4"/>
            <w:r w:rsidRPr="009C37F2">
              <w:rPr>
                <w:rFonts w:ascii="Calibri" w:hAnsi="Calibri"/>
                <w:b/>
              </w:rPr>
              <w:t>. WIGOS/OSCAR variables and their agreement with CryoNet list and/or GCW Glossary</w:t>
            </w:r>
          </w:p>
          <w:p w:rsidR="001B3C41" w:rsidRPr="009C37F2" w:rsidRDefault="001B3C41" w:rsidP="001B3C41">
            <w:pPr>
              <w:jc w:val="center"/>
              <w:rPr>
                <w:rFonts w:ascii="Calibri" w:hAnsi="Calibri"/>
                <w:b/>
              </w:rPr>
            </w:pP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tcPr>
          <w:p w:rsidR="001B3C41" w:rsidRPr="009C37F2" w:rsidRDefault="001B3C41">
            <w:pPr>
              <w:rPr>
                <w:rFonts w:ascii="Calibri" w:hAnsi="Calibri" w:cstheme="minorBidi"/>
                <w:b/>
              </w:rPr>
            </w:pPr>
            <w:r w:rsidRPr="009C37F2">
              <w:rPr>
                <w:rFonts w:ascii="Calibri" w:hAnsi="Calibri"/>
                <w:b/>
              </w:rPr>
              <w:t>Variable (primary source is the WIGOS/OSCAR table)</w:t>
            </w:r>
          </w:p>
          <w:p w:rsidR="001B3C41" w:rsidRPr="009C37F2" w:rsidRDefault="001B3C41">
            <w:pPr>
              <w:rPr>
                <w:rFonts w:ascii="Calibri" w:hAnsi="Calibri"/>
                <w:b/>
              </w:rPr>
            </w:pP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b/>
              </w:rPr>
            </w:pPr>
            <w:r w:rsidRPr="009C37F2">
              <w:rPr>
                <w:rFonts w:ascii="Calibri" w:hAnsi="Calibri"/>
                <w:b/>
              </w:rPr>
              <w:t>Included in the WMO Code Registry (y/n)</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b/>
              </w:rPr>
            </w:pPr>
            <w:r w:rsidRPr="009C37F2">
              <w:rPr>
                <w:rFonts w:ascii="Calibri" w:hAnsi="Calibri"/>
                <w:b/>
              </w:rPr>
              <w:t>WMO Identifier</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b/>
              </w:rPr>
            </w:pPr>
            <w:r w:rsidRPr="009C37F2">
              <w:rPr>
                <w:rFonts w:ascii="Calibri" w:hAnsi="Calibri"/>
                <w:b/>
              </w:rPr>
              <w:t>Included in OSCAR</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b/>
              </w:rPr>
            </w:pPr>
            <w:r w:rsidRPr="009C37F2">
              <w:rPr>
                <w:rFonts w:ascii="Calibri" w:hAnsi="Calibri"/>
                <w:b/>
              </w:rPr>
              <w:t>Is it defined (No, W, 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b/>
              </w:rPr>
            </w:pPr>
            <w:r w:rsidRPr="009C37F2">
              <w:rPr>
                <w:rFonts w:ascii="Calibri" w:hAnsi="Calibri"/>
                <w:b/>
              </w:rPr>
              <w:t>Definition: agreement with GCW Glossary definitions?</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b/>
              </w:rPr>
            </w:pPr>
            <w:r w:rsidRPr="009C37F2">
              <w:rPr>
                <w:rFonts w:ascii="Calibri" w:hAnsi="Calibri"/>
                <w:b/>
              </w:rPr>
              <w:t>Comments</w:t>
            </w:r>
          </w:p>
        </w:tc>
      </w:tr>
      <w:tr w:rsidR="001B3C41" w:rsidRPr="009C37F2" w:rsidTr="001B3C41">
        <w:trPr>
          <w:trHeight w:val="1009"/>
        </w:trPr>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Ice</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10017</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 different definitions of ice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WIGOS/OSCAR table refers to “clouds” as the medium. The 10017 code doesn’t seem to exist in the online WMO codes list.</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Snow/Ice/Glacier</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10077</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Not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WIGOS/OSCAR table – refers to “sea-water” as medium. The 10077 code doesn’t seem to exist in the online WMO codes list.</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Ice</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10078</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 different definitions of ice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 xml:space="preserve">WIGOS/OSCAR table – refers to “sea-water” as medium. </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Snow/Ice/Glacier</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10094</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Not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cstheme="minorBidi"/>
              </w:rPr>
            </w:pPr>
            <w:r w:rsidRPr="009C37F2">
              <w:rPr>
                <w:rFonts w:ascii="Calibri" w:hAnsi="Calibri"/>
              </w:rPr>
              <w:t>WIGOS/OSCAR table refers to “ice-water(?)” as species. WMO Codes Notation is “</w:t>
            </w:r>
            <w:proofErr w:type="spellStart"/>
            <w:r w:rsidRPr="009C37F2">
              <w:rPr>
                <w:rFonts w:ascii="Calibri" w:hAnsi="Calibri"/>
              </w:rPr>
              <w:t>lakeSnowIceGlacier</w:t>
            </w:r>
            <w:proofErr w:type="spellEnd"/>
            <w:r w:rsidRPr="009C37F2">
              <w:rPr>
                <w:rFonts w:ascii="Calibri" w:hAnsi="Calibri"/>
              </w:rPr>
              <w:t>”.</w:t>
            </w:r>
          </w:p>
          <w:p w:rsidR="001B3C41" w:rsidRPr="009C37F2" w:rsidRDefault="001B3C41">
            <w:pPr>
              <w:rPr>
                <w:rFonts w:ascii="Calibri" w:hAnsi="Calibri"/>
              </w:rPr>
            </w:pPr>
            <w:r w:rsidRPr="009C37F2">
              <w:rPr>
                <w:rFonts w:ascii="Calibri" w:hAnsi="Calibri"/>
              </w:rPr>
              <w:t>Unclear of what this refers to.</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Ice</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10095</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 different definitions of ice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WIGOS/OSCAR table refers to “ice-water(?)” as species. WMO Codes Notation: “ice” (same as identifier #10104). Not sure why “ice” has two identifier numbers.</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Snow/Ice/Glacier</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10102</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Not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WMO Codes Notation is “</w:t>
            </w:r>
            <w:proofErr w:type="spellStart"/>
            <w:r w:rsidRPr="009C37F2">
              <w:rPr>
                <w:rFonts w:ascii="Calibri" w:hAnsi="Calibri"/>
              </w:rPr>
              <w:t>landSurfaceSnowIceGlacier</w:t>
            </w:r>
            <w:proofErr w:type="spellEnd"/>
            <w:r w:rsidRPr="009C37F2">
              <w:rPr>
                <w:rFonts w:ascii="Calibri" w:hAnsi="Calibri"/>
              </w:rPr>
              <w:t xml:space="preserve">”. </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Glacier</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10103</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14 different definitions of “glacier” in GCW glossary.</w:t>
            </w:r>
          </w:p>
        </w:tc>
        <w:tc>
          <w:tcPr>
            <w:tcW w:w="2646" w:type="dxa"/>
            <w:tcBorders>
              <w:top w:val="single" w:sz="4" w:space="0" w:color="auto"/>
              <w:left w:val="single" w:sz="4" w:space="0" w:color="auto"/>
              <w:bottom w:val="single" w:sz="4" w:space="0" w:color="auto"/>
              <w:right w:val="single" w:sz="4" w:space="0" w:color="auto"/>
            </w:tcBorders>
          </w:tcPr>
          <w:p w:rsidR="001B3C41" w:rsidRPr="009C37F2" w:rsidRDefault="001B3C41">
            <w:pPr>
              <w:rPr>
                <w:rFonts w:ascii="Calibri" w:hAnsi="Calibri"/>
              </w:rPr>
            </w:pP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Ice</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10104</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 different definitions of ice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WMO Codes Notation is “ice” (same as identifier #10095). Not sure why “ice” has two identifier numbers.</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Snow</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10105</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14 different definitions of “snow” in GCW glossary.</w:t>
            </w:r>
          </w:p>
        </w:tc>
        <w:tc>
          <w:tcPr>
            <w:tcW w:w="2646" w:type="dxa"/>
            <w:tcBorders>
              <w:top w:val="single" w:sz="4" w:space="0" w:color="auto"/>
              <w:left w:val="single" w:sz="4" w:space="0" w:color="auto"/>
              <w:bottom w:val="single" w:sz="4" w:space="0" w:color="auto"/>
              <w:right w:val="single" w:sz="4" w:space="0" w:color="auto"/>
            </w:tcBorders>
          </w:tcPr>
          <w:p w:rsidR="001B3C41" w:rsidRPr="009C37F2" w:rsidRDefault="001B3C41">
            <w:pPr>
              <w:rPr>
                <w:rFonts w:ascii="Calibri" w:hAnsi="Calibri"/>
              </w:rPr>
            </w:pP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Snow/Ice/Glacier</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10109</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Not in GCW glossary.</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WMO Codes Notation is “</w:t>
            </w:r>
            <w:proofErr w:type="spellStart"/>
            <w:r w:rsidRPr="009C37F2">
              <w:rPr>
                <w:rFonts w:ascii="Calibri" w:hAnsi="Calibri"/>
              </w:rPr>
              <w:t>riverSnowIceGlacier</w:t>
            </w:r>
            <w:proofErr w:type="spellEnd"/>
            <w:r w:rsidRPr="009C37F2">
              <w:rPr>
                <w:rFonts w:ascii="Calibri" w:hAnsi="Calibri"/>
              </w:rPr>
              <w:t>”</w:t>
            </w:r>
          </w:p>
        </w:tc>
      </w:tr>
      <w:tr w:rsidR="001B3C41" w:rsidRPr="009C37F2" w:rsidTr="001B3C41">
        <w:tc>
          <w:tcPr>
            <w:tcW w:w="1620"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Ice</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1083"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10110</w:t>
            </w:r>
          </w:p>
        </w:tc>
        <w:tc>
          <w:tcPr>
            <w:tcW w:w="1022"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Yes</w:t>
            </w:r>
          </w:p>
        </w:tc>
        <w:tc>
          <w:tcPr>
            <w:tcW w:w="898"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No</w:t>
            </w:r>
          </w:p>
        </w:tc>
        <w:tc>
          <w:tcPr>
            <w:tcW w:w="1285"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4 different definitions of “river ice"</w:t>
            </w:r>
          </w:p>
        </w:tc>
        <w:tc>
          <w:tcPr>
            <w:tcW w:w="2646" w:type="dxa"/>
            <w:tcBorders>
              <w:top w:val="single" w:sz="4" w:space="0" w:color="auto"/>
              <w:left w:val="single" w:sz="4" w:space="0" w:color="auto"/>
              <w:bottom w:val="single" w:sz="4" w:space="0" w:color="auto"/>
              <w:right w:val="single" w:sz="4" w:space="0" w:color="auto"/>
            </w:tcBorders>
            <w:hideMark/>
          </w:tcPr>
          <w:p w:rsidR="001B3C41" w:rsidRPr="009C37F2" w:rsidRDefault="001B3C41">
            <w:pPr>
              <w:rPr>
                <w:rFonts w:ascii="Calibri" w:hAnsi="Calibri"/>
              </w:rPr>
            </w:pPr>
            <w:r w:rsidRPr="009C37F2">
              <w:rPr>
                <w:rFonts w:ascii="Calibri" w:hAnsi="Calibri"/>
              </w:rPr>
              <w:t>WIGOS/OSCAR table refers to “river” as medium. WMO Codes Notation is “</w:t>
            </w:r>
            <w:proofErr w:type="spellStart"/>
            <w:r w:rsidRPr="009C37F2">
              <w:rPr>
                <w:rFonts w:ascii="Calibri" w:hAnsi="Calibri"/>
              </w:rPr>
              <w:t>riverIce</w:t>
            </w:r>
            <w:proofErr w:type="spellEnd"/>
            <w:r w:rsidRPr="009C37F2">
              <w:rPr>
                <w:rFonts w:ascii="Calibri" w:hAnsi="Calibri"/>
              </w:rPr>
              <w:t>”</w:t>
            </w:r>
          </w:p>
        </w:tc>
      </w:tr>
    </w:tbl>
    <w:p w:rsidR="00C526F1" w:rsidRPr="009C37F2" w:rsidRDefault="00C526F1" w:rsidP="001B3C41">
      <w:pPr>
        <w:tabs>
          <w:tab w:val="clear" w:pos="1134"/>
        </w:tabs>
        <w:jc w:val="left"/>
        <w:rPr>
          <w:rFonts w:ascii="Calibri" w:hAnsi="Calibri"/>
          <w:lang w:val="en-US"/>
        </w:rPr>
      </w:pPr>
    </w:p>
    <w:sectPr w:rsidR="00C526F1" w:rsidRPr="009C37F2" w:rsidSect="006533FF">
      <w:headerReference w:type="even" r:id="rId17"/>
      <w:headerReference w:type="default" r:id="rId18"/>
      <w:headerReference w:type="first" r:id="rId19"/>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76" w:rsidRDefault="00550876">
      <w:r>
        <w:separator/>
      </w:r>
    </w:p>
    <w:p w:rsidR="00550876" w:rsidRDefault="00550876"/>
    <w:p w:rsidR="00550876" w:rsidRDefault="00550876"/>
  </w:endnote>
  <w:endnote w:type="continuationSeparator" w:id="0">
    <w:p w:rsidR="00550876" w:rsidRDefault="00550876">
      <w:r>
        <w:continuationSeparator/>
      </w:r>
    </w:p>
    <w:p w:rsidR="00550876" w:rsidRDefault="00550876"/>
    <w:p w:rsidR="00550876" w:rsidRDefault="00550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76" w:rsidRDefault="00550876">
      <w:r>
        <w:separator/>
      </w:r>
    </w:p>
  </w:footnote>
  <w:footnote w:type="continuationSeparator" w:id="0">
    <w:p w:rsidR="00550876" w:rsidRDefault="00550876">
      <w:r>
        <w:continuationSeparator/>
      </w:r>
    </w:p>
    <w:p w:rsidR="00550876" w:rsidRDefault="00550876"/>
    <w:p w:rsidR="00550876" w:rsidRDefault="00550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3</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val="en-US" w:eastAsia="zh-CN"/>
      </w:rPr>
      <mc:AlternateContent>
        <mc:Choice Requires="wps">
          <w:drawing>
            <wp:anchor distT="0" distB="0" distL="114300" distR="114300" simplePos="0" relativeHeight="251647488" behindDoc="0" locked="0" layoutInCell="1" allowOverlap="1" wp14:anchorId="5F5484D8" wp14:editId="48794C27">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5920" behindDoc="1" locked="0" layoutInCell="0" allowOverlap="1" wp14:anchorId="706B4D68" wp14:editId="5F85756E">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8512" behindDoc="0" locked="0" layoutInCell="1" allowOverlap="1" wp14:anchorId="1DF6F752" wp14:editId="267AD005">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4896" behindDoc="1" locked="0" layoutInCell="0" allowOverlap="1" wp14:anchorId="508B1161" wp14:editId="02268D9C">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9536" behindDoc="0" locked="0" layoutInCell="1" allowOverlap="1" wp14:anchorId="1C134535" wp14:editId="2A52CA30">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3872" behindDoc="1" locked="0" layoutInCell="0" allowOverlap="1" wp14:anchorId="45236C4D" wp14:editId="7AFEB025">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50560" behindDoc="0" locked="0" layoutInCell="1" allowOverlap="1" wp14:anchorId="17B8640B" wp14:editId="17E2C35B">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2848" behindDoc="1" locked="0" layoutInCell="0" allowOverlap="1" wp14:anchorId="716D26DD" wp14:editId="0378DDF5">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val="en-US" w:eastAsia="zh-CN"/>
      </w:rPr>
      <mc:AlternateContent>
        <mc:Choice Requires="wps">
          <w:drawing>
            <wp:anchor distT="0" distB="0" distL="114300" distR="114300" simplePos="0" relativeHeight="251653632" behindDoc="0" locked="0" layoutInCell="1" allowOverlap="1" wp14:anchorId="4EE7A23F" wp14:editId="2748251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1584" behindDoc="0" locked="0" layoutInCell="1" allowOverlap="1" wp14:anchorId="15C42499" wp14:editId="20BCC65E">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CA3D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val="en-US" w:eastAsia="zh-CN"/>
      </w:rPr>
      <mc:AlternateContent>
        <mc:Choice Requires="wps">
          <w:drawing>
            <wp:anchor distT="0" distB="0" distL="114300" distR="114300" simplePos="0" relativeHeight="251658752" behindDoc="0" locked="0" layoutInCell="1" allowOverlap="1" wp14:anchorId="0512D440" wp14:editId="3E655565">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2608" behindDoc="0" locked="0" layoutInCell="1" allowOverlap="1" wp14:anchorId="5089DBBB" wp14:editId="53BF7F2E">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59776" behindDoc="0" locked="0" layoutInCell="1" allowOverlap="1" wp14:anchorId="747EF747" wp14:editId="45E14A64">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60800" behindDoc="0" locked="0" layoutInCell="1" allowOverlap="1" wp14:anchorId="6EEFB1DF" wp14:editId="7C87A627">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pPr>
      <w:pStyle w:val="Header"/>
    </w:pPr>
    <w:r>
      <w:rPr>
        <w:noProof/>
        <w:lang w:val="en-US" w:eastAsia="zh-CN"/>
      </w:rPr>
      <mc:AlternateContent>
        <mc:Choice Requires="wps">
          <w:drawing>
            <wp:anchor distT="0" distB="0" distL="114300" distR="114300" simplePos="0" relativeHeight="251661824" behindDoc="0" locked="0" layoutInCell="1" allowOverlap="1" wp14:anchorId="7AFE26D1" wp14:editId="03241B7D">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4656" behindDoc="0" locked="0" layoutInCell="1" allowOverlap="1" wp14:anchorId="1B3F2BC1" wp14:editId="617E5E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5680" behindDoc="0" locked="0" layoutInCell="1" allowOverlap="1" wp14:anchorId="47F9B891" wp14:editId="522A7043">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EC118D">
    <w:pPr>
      <w:pStyle w:val="Header"/>
      <w:spacing w:after="120"/>
    </w:pPr>
    <w:r>
      <w:rPr>
        <w:noProof/>
        <w:lang w:val="en-US" w:eastAsia="zh-CN"/>
      </w:rPr>
      <mc:AlternateContent>
        <mc:Choice Requires="wps">
          <w:drawing>
            <wp:anchor distT="0" distB="0" distL="114300" distR="114300" simplePos="0" relativeHeight="251666944" behindDoc="0" locked="0" layoutInCell="1" allowOverlap="1" wp14:anchorId="41218F29" wp14:editId="3F7DE30C">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6704" behindDoc="0" locked="0" layoutInCell="1" allowOverlap="1" wp14:anchorId="5B7C2451" wp14:editId="448A12EA">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7728" behindDoc="0" locked="0" layoutInCell="1" allowOverlap="1" wp14:anchorId="00046C89" wp14:editId="44C468DC">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4C52A7">
      <w:t>TT-</w:t>
    </w:r>
    <w:r w:rsidR="000A5DBD">
      <w:t>W</w:t>
    </w:r>
    <w:r w:rsidR="004C52A7">
      <w:t>MD</w:t>
    </w:r>
    <w:r w:rsidR="000A5DBD">
      <w:t>-</w:t>
    </w:r>
    <w:r w:rsidR="004C52A7">
      <w:t>6</w:t>
    </w:r>
    <w:r w:rsidR="000A5DBD">
      <w:t>/</w:t>
    </w:r>
    <w:proofErr w:type="spellStart"/>
    <w:r w:rsidR="000A5DBD">
      <w:t>Doc.</w:t>
    </w:r>
    <w:r w:rsidR="00EC118D">
      <w:t>X</w:t>
    </w:r>
    <w:proofErr w:type="spellEnd"/>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F862B4"/>
    <w:multiLevelType w:val="hybridMultilevel"/>
    <w:tmpl w:val="CA26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02BDA"/>
    <w:multiLevelType w:val="hybridMultilevel"/>
    <w:tmpl w:val="0EB69DF6"/>
    <w:lvl w:ilvl="0" w:tplc="70CCC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FA80A93"/>
    <w:multiLevelType w:val="hybridMultilevel"/>
    <w:tmpl w:val="BEEC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6">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72E71B6"/>
    <w:multiLevelType w:val="hybridMultilevel"/>
    <w:tmpl w:val="FC3ACA00"/>
    <w:lvl w:ilvl="0" w:tplc="F1E201A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4"/>
  </w:num>
  <w:num w:numId="9">
    <w:abstractNumId w:val="4"/>
  </w:num>
  <w:num w:numId="10">
    <w:abstractNumId w:val="9"/>
  </w:num>
  <w:num w:numId="11">
    <w:abstractNumId w:val="15"/>
  </w:num>
  <w:num w:numId="12">
    <w:abstractNumId w:val="0"/>
  </w:num>
  <w:num w:numId="13">
    <w:abstractNumId w:val="23"/>
  </w:num>
  <w:num w:numId="14">
    <w:abstractNumId w:val="21"/>
  </w:num>
  <w:num w:numId="15">
    <w:abstractNumId w:val="24"/>
  </w:num>
  <w:num w:numId="16">
    <w:abstractNumId w:val="2"/>
  </w:num>
  <w:num w:numId="17">
    <w:abstractNumId w:val="8"/>
  </w:num>
  <w:num w:numId="18">
    <w:abstractNumId w:val="18"/>
  </w:num>
  <w:num w:numId="19">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5"/>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20"/>
  </w:num>
  <w:num w:numId="24">
    <w:abstractNumId w:val="12"/>
  </w:num>
  <w:num w:numId="25">
    <w:abstractNumId w:val="17"/>
  </w:num>
  <w:num w:numId="26">
    <w:abstractNumId w:val="1"/>
  </w:num>
  <w:num w:numId="27">
    <w:abstractNumId w:val="26"/>
  </w:num>
  <w:num w:numId="28">
    <w:abstractNumId w:val="19"/>
  </w:num>
  <w:num w:numId="29">
    <w:abstractNumId w:val="13"/>
  </w:num>
  <w:num w:numId="30">
    <w:abstractNumId w:val="11"/>
  </w:num>
  <w:num w:numId="31">
    <w:abstractNumId w:val="27"/>
  </w:num>
  <w:num w:numId="32">
    <w:abstractNumId w:val="22"/>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060BE"/>
    <w:rsid w:val="00014734"/>
    <w:rsid w:val="000212C2"/>
    <w:rsid w:val="00022D4E"/>
    <w:rsid w:val="0002669E"/>
    <w:rsid w:val="0003137A"/>
    <w:rsid w:val="00035BAA"/>
    <w:rsid w:val="00041171"/>
    <w:rsid w:val="00042A0E"/>
    <w:rsid w:val="0004782C"/>
    <w:rsid w:val="00050F8E"/>
    <w:rsid w:val="00054089"/>
    <w:rsid w:val="000573AD"/>
    <w:rsid w:val="00072F17"/>
    <w:rsid w:val="0007688B"/>
    <w:rsid w:val="000806D8"/>
    <w:rsid w:val="00082C80"/>
    <w:rsid w:val="00083847"/>
    <w:rsid w:val="00083C36"/>
    <w:rsid w:val="00085B5B"/>
    <w:rsid w:val="000A5DBD"/>
    <w:rsid w:val="000A69BF"/>
    <w:rsid w:val="000C1833"/>
    <w:rsid w:val="000C225A"/>
    <w:rsid w:val="000C4688"/>
    <w:rsid w:val="000C5D81"/>
    <w:rsid w:val="000C6781"/>
    <w:rsid w:val="000C742F"/>
    <w:rsid w:val="000D3C65"/>
    <w:rsid w:val="000D4FA3"/>
    <w:rsid w:val="000F1874"/>
    <w:rsid w:val="000F5E49"/>
    <w:rsid w:val="000F5FA2"/>
    <w:rsid w:val="000F7A87"/>
    <w:rsid w:val="00101B85"/>
    <w:rsid w:val="001064ED"/>
    <w:rsid w:val="00111BFD"/>
    <w:rsid w:val="0011498B"/>
    <w:rsid w:val="00120147"/>
    <w:rsid w:val="00123140"/>
    <w:rsid w:val="00131622"/>
    <w:rsid w:val="00135830"/>
    <w:rsid w:val="001426E3"/>
    <w:rsid w:val="00145C34"/>
    <w:rsid w:val="001514D7"/>
    <w:rsid w:val="0016309D"/>
    <w:rsid w:val="00163BA3"/>
    <w:rsid w:val="00166B31"/>
    <w:rsid w:val="0017786A"/>
    <w:rsid w:val="00177FA2"/>
    <w:rsid w:val="00180771"/>
    <w:rsid w:val="001809DE"/>
    <w:rsid w:val="00186C06"/>
    <w:rsid w:val="00192808"/>
    <w:rsid w:val="001930A3"/>
    <w:rsid w:val="00194CB6"/>
    <w:rsid w:val="001A02FD"/>
    <w:rsid w:val="001A341E"/>
    <w:rsid w:val="001A751F"/>
    <w:rsid w:val="001B0EA6"/>
    <w:rsid w:val="001B1CDF"/>
    <w:rsid w:val="001B235A"/>
    <w:rsid w:val="001B3C41"/>
    <w:rsid w:val="001B56F4"/>
    <w:rsid w:val="001C24B2"/>
    <w:rsid w:val="001C5462"/>
    <w:rsid w:val="001D0190"/>
    <w:rsid w:val="001D3578"/>
    <w:rsid w:val="001D6302"/>
    <w:rsid w:val="001E4B11"/>
    <w:rsid w:val="001E4D4F"/>
    <w:rsid w:val="001E7DD0"/>
    <w:rsid w:val="001F1BDA"/>
    <w:rsid w:val="0020095E"/>
    <w:rsid w:val="00206EE1"/>
    <w:rsid w:val="00210D30"/>
    <w:rsid w:val="002121AC"/>
    <w:rsid w:val="00213AF4"/>
    <w:rsid w:val="00214938"/>
    <w:rsid w:val="00222151"/>
    <w:rsid w:val="00230DCF"/>
    <w:rsid w:val="00231E93"/>
    <w:rsid w:val="00234A34"/>
    <w:rsid w:val="002363F1"/>
    <w:rsid w:val="002445FC"/>
    <w:rsid w:val="0025255D"/>
    <w:rsid w:val="002614CE"/>
    <w:rsid w:val="00270480"/>
    <w:rsid w:val="002779AF"/>
    <w:rsid w:val="002823D8"/>
    <w:rsid w:val="0028531A"/>
    <w:rsid w:val="00285446"/>
    <w:rsid w:val="00290E04"/>
    <w:rsid w:val="00295593"/>
    <w:rsid w:val="00297D9F"/>
    <w:rsid w:val="002A3483"/>
    <w:rsid w:val="002A386C"/>
    <w:rsid w:val="002A7A9F"/>
    <w:rsid w:val="002B6793"/>
    <w:rsid w:val="002B790C"/>
    <w:rsid w:val="002C30BC"/>
    <w:rsid w:val="002C7A88"/>
    <w:rsid w:val="002D232B"/>
    <w:rsid w:val="002D5E00"/>
    <w:rsid w:val="002D6DAC"/>
    <w:rsid w:val="002D7AD9"/>
    <w:rsid w:val="002E3FAD"/>
    <w:rsid w:val="002E4E16"/>
    <w:rsid w:val="002E7D0E"/>
    <w:rsid w:val="002F5517"/>
    <w:rsid w:val="002F7CCF"/>
    <w:rsid w:val="00301E8C"/>
    <w:rsid w:val="00304ADE"/>
    <w:rsid w:val="00306445"/>
    <w:rsid w:val="00311855"/>
    <w:rsid w:val="00316AA8"/>
    <w:rsid w:val="00320009"/>
    <w:rsid w:val="00320BA2"/>
    <w:rsid w:val="003210F3"/>
    <w:rsid w:val="0032424A"/>
    <w:rsid w:val="0034264B"/>
    <w:rsid w:val="00344E6F"/>
    <w:rsid w:val="00357661"/>
    <w:rsid w:val="00372DBC"/>
    <w:rsid w:val="0037548B"/>
    <w:rsid w:val="0037623A"/>
    <w:rsid w:val="00380AF7"/>
    <w:rsid w:val="00381331"/>
    <w:rsid w:val="0038191F"/>
    <w:rsid w:val="0038517A"/>
    <w:rsid w:val="00394A05"/>
    <w:rsid w:val="00397770"/>
    <w:rsid w:val="00397880"/>
    <w:rsid w:val="003A7016"/>
    <w:rsid w:val="003B5843"/>
    <w:rsid w:val="003B6DFC"/>
    <w:rsid w:val="003C3871"/>
    <w:rsid w:val="003C5897"/>
    <w:rsid w:val="003D35FC"/>
    <w:rsid w:val="003E2A58"/>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3FFA"/>
    <w:rsid w:val="00465972"/>
    <w:rsid w:val="004667E7"/>
    <w:rsid w:val="00475797"/>
    <w:rsid w:val="004811DD"/>
    <w:rsid w:val="00491766"/>
    <w:rsid w:val="0049242F"/>
    <w:rsid w:val="0049253B"/>
    <w:rsid w:val="004A140B"/>
    <w:rsid w:val="004A30DD"/>
    <w:rsid w:val="004A60A4"/>
    <w:rsid w:val="004B7BAA"/>
    <w:rsid w:val="004B7CEC"/>
    <w:rsid w:val="004C2475"/>
    <w:rsid w:val="004C2DF7"/>
    <w:rsid w:val="004C4E0B"/>
    <w:rsid w:val="004C52A7"/>
    <w:rsid w:val="004D497E"/>
    <w:rsid w:val="004D7202"/>
    <w:rsid w:val="004E0FF7"/>
    <w:rsid w:val="004E2FC5"/>
    <w:rsid w:val="004E4809"/>
    <w:rsid w:val="004E6352"/>
    <w:rsid w:val="004E6460"/>
    <w:rsid w:val="004F6B46"/>
    <w:rsid w:val="0050058D"/>
    <w:rsid w:val="0050421B"/>
    <w:rsid w:val="0050695F"/>
    <w:rsid w:val="00507C4B"/>
    <w:rsid w:val="00524FB7"/>
    <w:rsid w:val="00525B80"/>
    <w:rsid w:val="0053098F"/>
    <w:rsid w:val="00545383"/>
    <w:rsid w:val="00546D8E"/>
    <w:rsid w:val="00550876"/>
    <w:rsid w:val="0055660B"/>
    <w:rsid w:val="005639F0"/>
    <w:rsid w:val="00571AE1"/>
    <w:rsid w:val="00575509"/>
    <w:rsid w:val="005806A8"/>
    <w:rsid w:val="005818AE"/>
    <w:rsid w:val="00581C70"/>
    <w:rsid w:val="0058348F"/>
    <w:rsid w:val="00583549"/>
    <w:rsid w:val="00585D8A"/>
    <w:rsid w:val="00592267"/>
    <w:rsid w:val="00594BE4"/>
    <w:rsid w:val="005A23CD"/>
    <w:rsid w:val="005B0AE2"/>
    <w:rsid w:val="005B1F2C"/>
    <w:rsid w:val="005B7D02"/>
    <w:rsid w:val="005C1031"/>
    <w:rsid w:val="005C505D"/>
    <w:rsid w:val="005C53A6"/>
    <w:rsid w:val="005D03D9"/>
    <w:rsid w:val="005D666D"/>
    <w:rsid w:val="005E1F4C"/>
    <w:rsid w:val="005E3C72"/>
    <w:rsid w:val="005E4E6A"/>
    <w:rsid w:val="005E505C"/>
    <w:rsid w:val="005E578B"/>
    <w:rsid w:val="006017DD"/>
    <w:rsid w:val="006108ED"/>
    <w:rsid w:val="00615AB0"/>
    <w:rsid w:val="0061778C"/>
    <w:rsid w:val="00620F1A"/>
    <w:rsid w:val="00630753"/>
    <w:rsid w:val="00636B90"/>
    <w:rsid w:val="00644467"/>
    <w:rsid w:val="0064738B"/>
    <w:rsid w:val="006508EA"/>
    <w:rsid w:val="006533FF"/>
    <w:rsid w:val="00654B5F"/>
    <w:rsid w:val="00656553"/>
    <w:rsid w:val="006600A8"/>
    <w:rsid w:val="0068333D"/>
    <w:rsid w:val="006908AF"/>
    <w:rsid w:val="00697DB5"/>
    <w:rsid w:val="006A492A"/>
    <w:rsid w:val="006A62CB"/>
    <w:rsid w:val="006B1509"/>
    <w:rsid w:val="006C25F8"/>
    <w:rsid w:val="006C65B2"/>
    <w:rsid w:val="006D5576"/>
    <w:rsid w:val="006D5A63"/>
    <w:rsid w:val="006D71E9"/>
    <w:rsid w:val="006D78F0"/>
    <w:rsid w:val="006E5A55"/>
    <w:rsid w:val="006E5E6F"/>
    <w:rsid w:val="006E5FE9"/>
    <w:rsid w:val="006E766D"/>
    <w:rsid w:val="006F38E1"/>
    <w:rsid w:val="006F4489"/>
    <w:rsid w:val="006F501F"/>
    <w:rsid w:val="00703E99"/>
    <w:rsid w:val="00705C9F"/>
    <w:rsid w:val="007111CC"/>
    <w:rsid w:val="00716951"/>
    <w:rsid w:val="007200F1"/>
    <w:rsid w:val="00725988"/>
    <w:rsid w:val="00735D9E"/>
    <w:rsid w:val="00745067"/>
    <w:rsid w:val="007458B4"/>
    <w:rsid w:val="0075136C"/>
    <w:rsid w:val="00754CF7"/>
    <w:rsid w:val="007555A7"/>
    <w:rsid w:val="00771A68"/>
    <w:rsid w:val="00774B89"/>
    <w:rsid w:val="00777D58"/>
    <w:rsid w:val="00780B62"/>
    <w:rsid w:val="00785318"/>
    <w:rsid w:val="0078790E"/>
    <w:rsid w:val="007879FC"/>
    <w:rsid w:val="00787E2F"/>
    <w:rsid w:val="0079155A"/>
    <w:rsid w:val="007944AD"/>
    <w:rsid w:val="007973EC"/>
    <w:rsid w:val="007B2260"/>
    <w:rsid w:val="007C212A"/>
    <w:rsid w:val="007C6931"/>
    <w:rsid w:val="007E2023"/>
    <w:rsid w:val="007E7D21"/>
    <w:rsid w:val="007F482F"/>
    <w:rsid w:val="00801F60"/>
    <w:rsid w:val="0080466B"/>
    <w:rsid w:val="00807CC5"/>
    <w:rsid w:val="00823B49"/>
    <w:rsid w:val="00825C14"/>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03"/>
    <w:rsid w:val="00895358"/>
    <w:rsid w:val="008A2519"/>
    <w:rsid w:val="008A362F"/>
    <w:rsid w:val="008A722F"/>
    <w:rsid w:val="008A7313"/>
    <w:rsid w:val="008A7D91"/>
    <w:rsid w:val="008B7FC7"/>
    <w:rsid w:val="008C17A4"/>
    <w:rsid w:val="008C70A6"/>
    <w:rsid w:val="008E1B4D"/>
    <w:rsid w:val="008E1E4A"/>
    <w:rsid w:val="008E3177"/>
    <w:rsid w:val="008F0615"/>
    <w:rsid w:val="008F1FDB"/>
    <w:rsid w:val="009157FF"/>
    <w:rsid w:val="0093156B"/>
    <w:rsid w:val="00935E09"/>
    <w:rsid w:val="0093637D"/>
    <w:rsid w:val="00943D0F"/>
    <w:rsid w:val="00950605"/>
    <w:rsid w:val="00951ED4"/>
    <w:rsid w:val="00952233"/>
    <w:rsid w:val="00954D66"/>
    <w:rsid w:val="009565C9"/>
    <w:rsid w:val="0096121C"/>
    <w:rsid w:val="009670F2"/>
    <w:rsid w:val="00975D76"/>
    <w:rsid w:val="00982E51"/>
    <w:rsid w:val="0098599F"/>
    <w:rsid w:val="009874B9"/>
    <w:rsid w:val="00990844"/>
    <w:rsid w:val="00993581"/>
    <w:rsid w:val="009A288C"/>
    <w:rsid w:val="009A73A3"/>
    <w:rsid w:val="009B54FD"/>
    <w:rsid w:val="009B6697"/>
    <w:rsid w:val="009C37F2"/>
    <w:rsid w:val="009C4C04"/>
    <w:rsid w:val="009C7A20"/>
    <w:rsid w:val="009C7CE0"/>
    <w:rsid w:val="009C7EEA"/>
    <w:rsid w:val="009F7566"/>
    <w:rsid w:val="00A04B9D"/>
    <w:rsid w:val="00A06BFE"/>
    <w:rsid w:val="00A10F5D"/>
    <w:rsid w:val="00A14AF1"/>
    <w:rsid w:val="00A16891"/>
    <w:rsid w:val="00A20859"/>
    <w:rsid w:val="00A30AB3"/>
    <w:rsid w:val="00A332E8"/>
    <w:rsid w:val="00A3416E"/>
    <w:rsid w:val="00A35911"/>
    <w:rsid w:val="00A35AF5"/>
    <w:rsid w:val="00A35DDF"/>
    <w:rsid w:val="00A36CBA"/>
    <w:rsid w:val="00A50291"/>
    <w:rsid w:val="00A503E5"/>
    <w:rsid w:val="00A56078"/>
    <w:rsid w:val="00A56595"/>
    <w:rsid w:val="00A604CD"/>
    <w:rsid w:val="00A60FE6"/>
    <w:rsid w:val="00A6263D"/>
    <w:rsid w:val="00A654BE"/>
    <w:rsid w:val="00A7348D"/>
    <w:rsid w:val="00A7683B"/>
    <w:rsid w:val="00A83046"/>
    <w:rsid w:val="00A874EF"/>
    <w:rsid w:val="00A92D53"/>
    <w:rsid w:val="00A95415"/>
    <w:rsid w:val="00AA3C89"/>
    <w:rsid w:val="00AC4CDB"/>
    <w:rsid w:val="00AE3C92"/>
    <w:rsid w:val="00AE5A18"/>
    <w:rsid w:val="00AF5EE5"/>
    <w:rsid w:val="00AF638A"/>
    <w:rsid w:val="00AF7C66"/>
    <w:rsid w:val="00B00141"/>
    <w:rsid w:val="00B009AA"/>
    <w:rsid w:val="00B030C8"/>
    <w:rsid w:val="00B056E7"/>
    <w:rsid w:val="00B05B71"/>
    <w:rsid w:val="00B10035"/>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B35A9"/>
    <w:rsid w:val="00BD43B6"/>
    <w:rsid w:val="00BD5720"/>
    <w:rsid w:val="00BE475B"/>
    <w:rsid w:val="00BE496E"/>
    <w:rsid w:val="00BE64B3"/>
    <w:rsid w:val="00BE7253"/>
    <w:rsid w:val="00BF631D"/>
    <w:rsid w:val="00C03F8F"/>
    <w:rsid w:val="00C04BD2"/>
    <w:rsid w:val="00C13EEC"/>
    <w:rsid w:val="00C156A4"/>
    <w:rsid w:val="00C20FAA"/>
    <w:rsid w:val="00C2459D"/>
    <w:rsid w:val="00C354A2"/>
    <w:rsid w:val="00C360EF"/>
    <w:rsid w:val="00C42C95"/>
    <w:rsid w:val="00C439C9"/>
    <w:rsid w:val="00C526F1"/>
    <w:rsid w:val="00C55166"/>
    <w:rsid w:val="00C55E5B"/>
    <w:rsid w:val="00C57695"/>
    <w:rsid w:val="00C720A4"/>
    <w:rsid w:val="00C7611C"/>
    <w:rsid w:val="00C83893"/>
    <w:rsid w:val="00C90EE6"/>
    <w:rsid w:val="00C90F1A"/>
    <w:rsid w:val="00C93633"/>
    <w:rsid w:val="00C94097"/>
    <w:rsid w:val="00CA3DCA"/>
    <w:rsid w:val="00CA4269"/>
    <w:rsid w:val="00CA6A8D"/>
    <w:rsid w:val="00CA7330"/>
    <w:rsid w:val="00CB64F0"/>
    <w:rsid w:val="00CC2909"/>
    <w:rsid w:val="00CD1BBA"/>
    <w:rsid w:val="00D032A3"/>
    <w:rsid w:val="00D05E6F"/>
    <w:rsid w:val="00D33442"/>
    <w:rsid w:val="00D44BAD"/>
    <w:rsid w:val="00D4569B"/>
    <w:rsid w:val="00D45B55"/>
    <w:rsid w:val="00D52AA5"/>
    <w:rsid w:val="00D702F3"/>
    <w:rsid w:val="00D7097B"/>
    <w:rsid w:val="00D71788"/>
    <w:rsid w:val="00D717E0"/>
    <w:rsid w:val="00D759C0"/>
    <w:rsid w:val="00D866DB"/>
    <w:rsid w:val="00D870B3"/>
    <w:rsid w:val="00D91DFA"/>
    <w:rsid w:val="00D97ED3"/>
    <w:rsid w:val="00DB1AB2"/>
    <w:rsid w:val="00DC016F"/>
    <w:rsid w:val="00DC0DA2"/>
    <w:rsid w:val="00DD1EB7"/>
    <w:rsid w:val="00DD3A65"/>
    <w:rsid w:val="00DD62C6"/>
    <w:rsid w:val="00E00498"/>
    <w:rsid w:val="00E2617A"/>
    <w:rsid w:val="00E52E2F"/>
    <w:rsid w:val="00E538E6"/>
    <w:rsid w:val="00E72DA0"/>
    <w:rsid w:val="00E802A2"/>
    <w:rsid w:val="00E82E7A"/>
    <w:rsid w:val="00E85C0B"/>
    <w:rsid w:val="00E86BAA"/>
    <w:rsid w:val="00E93730"/>
    <w:rsid w:val="00E96869"/>
    <w:rsid w:val="00EA39E6"/>
    <w:rsid w:val="00EA5F9B"/>
    <w:rsid w:val="00EB4E90"/>
    <w:rsid w:val="00EC118D"/>
    <w:rsid w:val="00ED2EFB"/>
    <w:rsid w:val="00ED67AF"/>
    <w:rsid w:val="00ED7FF2"/>
    <w:rsid w:val="00EE128C"/>
    <w:rsid w:val="00EE3F26"/>
    <w:rsid w:val="00EF66D9"/>
    <w:rsid w:val="00EF6BA5"/>
    <w:rsid w:val="00EF780D"/>
    <w:rsid w:val="00EF7A98"/>
    <w:rsid w:val="00F0267E"/>
    <w:rsid w:val="00F0406F"/>
    <w:rsid w:val="00F04A35"/>
    <w:rsid w:val="00F15C61"/>
    <w:rsid w:val="00F2163C"/>
    <w:rsid w:val="00F32056"/>
    <w:rsid w:val="00F474C9"/>
    <w:rsid w:val="00F518F7"/>
    <w:rsid w:val="00F61675"/>
    <w:rsid w:val="00F6309C"/>
    <w:rsid w:val="00F6686B"/>
    <w:rsid w:val="00F677A0"/>
    <w:rsid w:val="00F67F74"/>
    <w:rsid w:val="00F73DE3"/>
    <w:rsid w:val="00F80A00"/>
    <w:rsid w:val="00F84DD2"/>
    <w:rsid w:val="00F84FAC"/>
    <w:rsid w:val="00F86BA9"/>
    <w:rsid w:val="00FA26DF"/>
    <w:rsid w:val="00FA3535"/>
    <w:rsid w:val="00FA4C96"/>
    <w:rsid w:val="00FB0872"/>
    <w:rsid w:val="00FB54CC"/>
    <w:rsid w:val="00FD1A37"/>
    <w:rsid w:val="00FD70CD"/>
    <w:rsid w:val="00FF095F"/>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table" w:customStyle="1" w:styleId="TableGrid1">
    <w:name w:val="Table Grid1"/>
    <w:basedOn w:val="TableNormal"/>
    <w:next w:val="TableGrid"/>
    <w:uiPriority w:val="59"/>
    <w:rsid w:val="00C526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17D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table" w:customStyle="1" w:styleId="TableGrid1">
    <w:name w:val="Table Grid1"/>
    <w:basedOn w:val="TableNormal"/>
    <w:next w:val="TableGrid"/>
    <w:uiPriority w:val="59"/>
    <w:rsid w:val="00C526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17D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10498838">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globalcryospherewatch.org/cryonet/variables/recommended_variabl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C6B75"/>
    <w:rsid w:val="005C6CB3"/>
    <w:rsid w:val="008B1D70"/>
    <w:rsid w:val="009F31E8"/>
    <w:rsid w:val="00AE4090"/>
    <w:rsid w:val="00B22731"/>
    <w:rsid w:val="00BB2E62"/>
    <w:rsid w:val="00E34EAC"/>
    <w:rsid w:val="00E51308"/>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0e656187-b300-4fb0-8bf4-3a50f872073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9F9DC91-E4EB-40E3-BD97-E7CB2FC6A2C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11172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TT-WMD-6</cp:keywords>
  <cp:lastModifiedBy>Luis Filipe NUNES</cp:lastModifiedBy>
  <cp:revision>3</cp:revision>
  <cp:lastPrinted>2017-06-14T09:31:00Z</cp:lastPrinted>
  <dcterms:created xsi:type="dcterms:W3CDTF">2017-11-24T13:46:00Z</dcterms:created>
  <dcterms:modified xsi:type="dcterms:W3CDTF">2017-11-24T13:47:00Z</dcterms:modified>
  <cp:category>Doc.4.5</cp:category>
  <cp:contentStatus>Version 2</cp:contentStatus>
</cp:coreProperties>
</file>