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F84FAC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 xml:space="preserve">/Task Team 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o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 xml:space="preserve"> Data 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a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nd Partnerships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F84FAC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Second 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Geneva, Switzerland, 2</w:t>
            </w:r>
            <w:r>
              <w:rPr>
                <w:snapToGrid w:val="0"/>
                <w:color w:val="365F91" w:themeColor="accent1" w:themeShade="BF"/>
                <w:szCs w:val="22"/>
              </w:rPr>
              <w:t>0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135830">
              <w:rPr>
                <w:snapToGrid w:val="0"/>
                <w:color w:val="365F91" w:themeColor="accent1" w:themeShade="BF"/>
                <w:szCs w:val="22"/>
              </w:rPr>
              <w:t>2</w:t>
            </w:r>
            <w:r>
              <w:rPr>
                <w:snapToGrid w:val="0"/>
                <w:color w:val="365F91" w:themeColor="accent1" w:themeShade="BF"/>
                <w:szCs w:val="22"/>
              </w:rPr>
              <w:t>2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</w:rPr>
              <w:t>September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EB0BDA" w:rsidP="001B235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TT-WDP-2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FA3535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8517A">
                  <w:rPr>
                    <w:rFonts w:cs="Tahoma"/>
                    <w:color w:val="365F91" w:themeColor="accent1" w:themeShade="BF"/>
                    <w:lang w:val="en-US"/>
                  </w:rPr>
                  <w:t>Secretariat</w:t>
                </w:r>
              </w:sdtContent>
            </w:sdt>
          </w:p>
          <w:p w:rsidR="00993581" w:rsidRPr="003B6DFC" w:rsidRDefault="006F4489" w:rsidP="001B235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1</w:t>
            </w:r>
            <w:r w:rsidR="001B235A">
              <w:rPr>
                <w:rFonts w:cs="Tahoma"/>
                <w:color w:val="365F91" w:themeColor="accent1" w:themeShade="BF"/>
              </w:rPr>
              <w:t>4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Pr="003B6DFC">
              <w:rPr>
                <w:rFonts w:cs="Tahoma"/>
                <w:color w:val="365F91" w:themeColor="accent1" w:themeShade="BF"/>
              </w:rPr>
              <w:t>0</w:t>
            </w:r>
            <w:r w:rsidR="001B235A">
              <w:rPr>
                <w:rFonts w:cs="Tahoma"/>
                <w:color w:val="365F91" w:themeColor="accent1" w:themeShade="BF"/>
              </w:rPr>
              <w:t>6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83549" w:rsidRPr="00C90F1A" w:rsidRDefault="001B235A" w:rsidP="001B235A">
      <w:pPr>
        <w:pStyle w:val="Heading1"/>
        <w:rPr>
          <w:szCs w:val="24"/>
        </w:rPr>
      </w:pPr>
      <w:r w:rsidRPr="001B235A">
        <w:rPr>
          <w:iCs/>
          <w:szCs w:val="24"/>
        </w:rPr>
        <w:t>DRAFT AGENDA</w:t>
      </w:r>
    </w:p>
    <w:p w:rsidR="00C03F8F" w:rsidRPr="003B6DFC" w:rsidRDefault="00C03F8F" w:rsidP="005639F0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rFonts w:cs="Arial Bold"/>
          <w:b/>
          <w:bCs/>
          <w:caps/>
        </w:rPr>
      </w:pPr>
      <w:bookmarkStart w:id="1" w:name="_Draft_Decision_X.X.X(X)/1"/>
      <w:bookmarkStart w:id="2" w:name="_Toc319327009"/>
      <w:bookmarkEnd w:id="1"/>
      <w:r w:rsidRPr="003B6DFC">
        <w:rPr>
          <w:rFonts w:cs="Arial Bold"/>
          <w:b/>
          <w:bCs/>
          <w:caps/>
        </w:rPr>
        <w:t>Organization of the Session</w:t>
      </w:r>
    </w:p>
    <w:p w:rsidR="00CD1BBA" w:rsidRDefault="00C03F8F" w:rsidP="00ED2EFB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3B6DFC">
        <w:rPr>
          <w:b/>
          <w:bCs/>
        </w:rPr>
        <w:t>Opening</w:t>
      </w:r>
      <w:r w:rsidR="00D870B3" w:rsidRPr="003B6DFC">
        <w:rPr>
          <w:b/>
          <w:bCs/>
        </w:rPr>
        <w:t xml:space="preserve"> of the Session</w:t>
      </w:r>
    </w:p>
    <w:p w:rsidR="00CD1BBA" w:rsidRPr="00CD1BBA" w:rsidRDefault="004A30DD" w:rsidP="00545383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4A30DD">
        <w:t xml:space="preserve">The </w:t>
      </w:r>
      <w:r w:rsidR="00545383">
        <w:t>S</w:t>
      </w:r>
      <w:r>
        <w:t>econd</w:t>
      </w:r>
      <w:r w:rsidRPr="004A30DD">
        <w:t xml:space="preserve"> </w:t>
      </w:r>
      <w:r w:rsidR="00545383">
        <w:t>S</w:t>
      </w:r>
      <w:r w:rsidRPr="004A30DD">
        <w:t>ession of the Inter-Commission Coordination Group on WIGOS/Task Team on WIGOS Data and Partnerships (TT-WDP-</w:t>
      </w:r>
      <w:r>
        <w:t>2</w:t>
      </w:r>
      <w:r w:rsidRPr="004A30DD">
        <w:t xml:space="preserve">) will open at </w:t>
      </w:r>
      <w:r w:rsidRPr="00CD1BBA">
        <w:rPr>
          <w:b/>
          <w:iCs/>
        </w:rPr>
        <w:t>09:00 hours on Wednesday, 20 September 2017</w:t>
      </w:r>
      <w:r w:rsidRPr="004A30DD">
        <w:t xml:space="preserve"> at the WMO Headquarters in Geneva, Switzerland.</w:t>
      </w:r>
    </w:p>
    <w:p w:rsidR="0038191F" w:rsidRDefault="00C03F8F" w:rsidP="00ED2EFB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CD1BBA">
        <w:rPr>
          <w:b/>
          <w:bCs/>
        </w:rPr>
        <w:t>Adoption of the Agenda</w:t>
      </w:r>
    </w:p>
    <w:p w:rsidR="00410A71" w:rsidRPr="00ED2EFB" w:rsidRDefault="00410A71" w:rsidP="00ED2EFB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3B6DFC">
        <w:t xml:space="preserve">The provisional agenda will be submitted to the Session for adoption. </w:t>
      </w:r>
      <w:r w:rsidR="00465972" w:rsidRPr="00465972">
        <w:t>The order of the items may be modified and additional items may be introduced if necessary.</w:t>
      </w:r>
      <w:r w:rsidRPr="003B6DFC">
        <w:t xml:space="preserve"> </w:t>
      </w:r>
    </w:p>
    <w:p w:rsidR="0038191F" w:rsidRDefault="00C03F8F" w:rsidP="00ED2EFB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3B6DFC">
        <w:rPr>
          <w:b/>
          <w:bCs/>
        </w:rPr>
        <w:t>Working Arrangements</w:t>
      </w:r>
    </w:p>
    <w:p w:rsidR="00656553" w:rsidRPr="00ED2EFB" w:rsidRDefault="006B1509" w:rsidP="00545383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ED2EFB">
        <w:rPr>
          <w:rFonts w:eastAsia="SimSun"/>
          <w:lang w:eastAsia="zh-CN"/>
        </w:rPr>
        <w:t xml:space="preserve">The </w:t>
      </w:r>
      <w:r w:rsidR="00545383">
        <w:rPr>
          <w:rFonts w:eastAsia="SimSun"/>
          <w:lang w:eastAsia="zh-CN"/>
        </w:rPr>
        <w:t>S</w:t>
      </w:r>
      <w:r w:rsidRPr="00ED2EFB">
        <w:rPr>
          <w:rFonts w:eastAsia="SimSun"/>
          <w:lang w:eastAsia="zh-CN"/>
        </w:rPr>
        <w:t xml:space="preserve">ession and documentation will be in English only. Working documents for the session will be available on the WMO Server at: </w:t>
      </w:r>
      <w:hyperlink r:id="rId13" w:history="1">
        <w:r w:rsidRPr="00ED2EFB">
          <w:rPr>
            <w:rFonts w:eastAsia="SimSun"/>
            <w:color w:val="0000FF"/>
            <w:lang w:eastAsia="zh-CN"/>
          </w:rPr>
          <w:t>http://www.wmo.int/pages/prog/www/WIGOS-WIS/meetings.html</w:t>
        </w:r>
      </w:hyperlink>
      <w:r w:rsidRPr="00ED2EFB">
        <w:rPr>
          <w:rFonts w:eastAsia="SimSun"/>
          <w:lang w:eastAsia="zh-CN"/>
        </w:rPr>
        <w:t xml:space="preserve">. The documents submitted by the TT-WDP Members are to be sent </w:t>
      </w:r>
      <w:r w:rsidRPr="00ED2EFB">
        <w:rPr>
          <w:rFonts w:eastAsia="Times New Roman"/>
        </w:rPr>
        <w:t xml:space="preserve">via e-mail attachment to </w:t>
      </w:r>
      <w:hyperlink r:id="rId14" w:history="1">
        <w:r w:rsidRPr="00ED2EFB">
          <w:rPr>
            <w:rFonts w:eastAsia="SimSun"/>
            <w:color w:val="0000FF"/>
            <w:u w:val="single"/>
            <w:lang w:eastAsia="zh-CN"/>
          </w:rPr>
          <w:t>IZahumensky@wmo.int</w:t>
        </w:r>
      </w:hyperlink>
      <w:r w:rsidRPr="00ED2EFB">
        <w:rPr>
          <w:rFonts w:eastAsia="SimSun"/>
          <w:lang w:eastAsia="zh-CN"/>
        </w:rPr>
        <w:t xml:space="preserve"> (the WIGOS Project Office) for subsequent posting on the WMO Server.</w:t>
      </w:r>
      <w:r w:rsidR="00656553" w:rsidRPr="00ED2EFB">
        <w:rPr>
          <w:rFonts w:eastAsia="SimSun"/>
          <w:lang w:eastAsia="zh-CN"/>
        </w:rPr>
        <w:t xml:space="preserve"> </w:t>
      </w:r>
    </w:p>
    <w:p w:rsidR="00410A71" w:rsidRDefault="00410A71" w:rsidP="005639F0">
      <w:pPr>
        <w:pStyle w:val="ListParagraph"/>
        <w:spacing w:before="240" w:after="120"/>
        <w:ind w:left="0"/>
        <w:contextualSpacing w:val="0"/>
      </w:pPr>
      <w:r w:rsidRPr="003B6DFC">
        <w:t xml:space="preserve">The </w:t>
      </w:r>
      <w:r w:rsidR="006B1509">
        <w:t>session</w:t>
      </w:r>
      <w:r w:rsidRPr="003B6DFC">
        <w:t xml:space="preserve"> will agree on details concerning the organization of its work, including working hours. </w:t>
      </w:r>
    </w:p>
    <w:p w:rsidR="00287D0A" w:rsidRDefault="00287D0A" w:rsidP="002667CF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Report </w:t>
      </w:r>
      <w:r w:rsidR="002667CF">
        <w:rPr>
          <w:rFonts w:cs="Arial Bold"/>
          <w:b/>
          <w:bCs/>
          <w:caps/>
        </w:rPr>
        <w:t>fr</w:t>
      </w:r>
      <w:r>
        <w:rPr>
          <w:rFonts w:cs="Arial Bold"/>
          <w:b/>
          <w:bCs/>
          <w:caps/>
        </w:rPr>
        <w:t>o</w:t>
      </w:r>
      <w:r w:rsidR="002667CF">
        <w:rPr>
          <w:rFonts w:cs="Arial Bold"/>
          <w:b/>
          <w:bCs/>
          <w:caps/>
        </w:rPr>
        <w:t>m</w:t>
      </w:r>
      <w:r>
        <w:rPr>
          <w:rFonts w:cs="Arial Bold"/>
          <w:b/>
          <w:bCs/>
          <w:caps/>
        </w:rPr>
        <w:t xml:space="preserve"> </w:t>
      </w:r>
      <w:r w:rsidR="002667CF">
        <w:rPr>
          <w:rFonts w:cs="Arial Bold"/>
          <w:b/>
          <w:bCs/>
          <w:caps/>
        </w:rPr>
        <w:t xml:space="preserve">the </w:t>
      </w:r>
      <w:bookmarkStart w:id="3" w:name="_GoBack"/>
      <w:bookmarkEnd w:id="3"/>
      <w:r>
        <w:rPr>
          <w:rFonts w:cs="Arial Bold"/>
          <w:b/>
          <w:bCs/>
          <w:caps/>
        </w:rPr>
        <w:t>Chair</w:t>
      </w:r>
    </w:p>
    <w:p w:rsidR="007B2260" w:rsidRPr="00287D0A" w:rsidRDefault="00656553" w:rsidP="00022D4E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caps/>
        </w:rPr>
      </w:pPr>
      <w:r w:rsidRPr="00287D0A">
        <w:rPr>
          <w:rFonts w:cs="Arial Bold"/>
          <w:b/>
          <w:bCs/>
          <w:caps/>
        </w:rPr>
        <w:t>REVIEW OF OUTCOMES FROM ICG-WIGOS-6</w:t>
      </w:r>
      <w:r w:rsidR="00287D0A" w:rsidRPr="00287D0A">
        <w:rPr>
          <w:rFonts w:cs="Arial Bold"/>
          <w:b/>
          <w:bCs/>
          <w:caps/>
        </w:rPr>
        <w:t xml:space="preserve"> and </w:t>
      </w:r>
      <w:r w:rsidR="0078790E" w:rsidRPr="00287D0A">
        <w:rPr>
          <w:b/>
        </w:rPr>
        <w:t>GUIDANCE FROM EC-6</w:t>
      </w:r>
      <w:r w:rsidR="00022D4E" w:rsidRPr="00287D0A">
        <w:rPr>
          <w:b/>
        </w:rPr>
        <w:t>9</w:t>
      </w:r>
      <w:r w:rsidR="00E52E2F" w:rsidRPr="00287D0A">
        <w:rPr>
          <w:rFonts w:cs="Arial Bold"/>
          <w:b/>
          <w:bCs/>
          <w:caps/>
        </w:rPr>
        <w:t xml:space="preserve"> </w:t>
      </w:r>
    </w:p>
    <w:p w:rsidR="0078790E" w:rsidRPr="00E72DA0" w:rsidRDefault="0078790E" w:rsidP="005639F0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E72DA0">
        <w:rPr>
          <w:b/>
        </w:rPr>
        <w:t>REVIEW OF TERMS OF REFERENCE</w:t>
      </w:r>
    </w:p>
    <w:p w:rsidR="0078790E" w:rsidRPr="00887681" w:rsidRDefault="0078790E" w:rsidP="006600A8">
      <w:pPr>
        <w:pStyle w:val="ECBodyTex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709"/>
          <w:tab w:val="left" w:pos="1134"/>
        </w:tabs>
        <w:spacing w:before="120" w:after="120"/>
        <w:ind w:hanging="6"/>
        <w:rPr>
          <w:szCs w:val="20"/>
        </w:rPr>
      </w:pPr>
      <w:r w:rsidRPr="00887681">
        <w:rPr>
          <w:szCs w:val="20"/>
        </w:rPr>
        <w:t>Phase 1 – WIGOS Data Partnerships</w:t>
      </w:r>
    </w:p>
    <w:p w:rsidR="00EE3F26" w:rsidRDefault="0078790E" w:rsidP="00EE3F26">
      <w:pPr>
        <w:pStyle w:val="ECBodyTex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709"/>
          <w:tab w:val="left" w:pos="1134"/>
        </w:tabs>
        <w:spacing w:before="120" w:after="120"/>
        <w:ind w:left="425" w:firstLine="0"/>
        <w:rPr>
          <w:szCs w:val="20"/>
        </w:rPr>
      </w:pPr>
      <w:r w:rsidRPr="00887681">
        <w:rPr>
          <w:szCs w:val="20"/>
        </w:rPr>
        <w:t>Phase 2 – WIGOS Data Guidance</w:t>
      </w:r>
    </w:p>
    <w:p w:rsidR="00085B5B" w:rsidRDefault="001E4D4F" w:rsidP="00042A0E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phase 1 </w:t>
      </w:r>
      <w:r w:rsidR="00042A0E" w:rsidRPr="00887681">
        <w:rPr>
          <w:rFonts w:eastAsia="Times New Roman"/>
          <w:b/>
          <w:iCs/>
          <w:color w:val="000000" w:themeColor="text1"/>
        </w:rPr>
        <w:t>–</w:t>
      </w:r>
      <w:r w:rsidR="000F5FA2">
        <w:rPr>
          <w:rFonts w:cs="Arial Bold"/>
          <w:b/>
          <w:bCs/>
          <w:caps/>
        </w:rPr>
        <w:t xml:space="preserve"> Guidance on </w:t>
      </w:r>
      <w:r w:rsidR="000F5FA2" w:rsidRPr="000F5FA2">
        <w:rPr>
          <w:rFonts w:cs="Arial Bold"/>
          <w:b/>
          <w:bCs/>
          <w:caps/>
        </w:rPr>
        <w:t>WIGOS Data Partnerships</w:t>
      </w:r>
      <w:r>
        <w:rPr>
          <w:rFonts w:cs="Arial Bold"/>
          <w:b/>
          <w:bCs/>
          <w:caps/>
        </w:rPr>
        <w:t xml:space="preserve"> </w:t>
      </w:r>
    </w:p>
    <w:p w:rsidR="001E4D4F" w:rsidRPr="00887681" w:rsidRDefault="001E4D4F" w:rsidP="005639F0">
      <w:pPr>
        <w:pStyle w:val="Body"/>
        <w:numPr>
          <w:ilvl w:val="0"/>
          <w:numId w:val="21"/>
        </w:numPr>
        <w:spacing w:before="240" w:after="120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PHASE 2 – WIGOS DATA GUIDANCE</w:t>
      </w:r>
    </w:p>
    <w:p w:rsidR="00C360EF" w:rsidRDefault="001E4D4F" w:rsidP="006600A8">
      <w:pPr>
        <w:pStyle w:val="Body"/>
        <w:numPr>
          <w:ilvl w:val="1"/>
          <w:numId w:val="21"/>
        </w:numPr>
        <w:spacing w:before="120" w:after="120"/>
        <w:ind w:left="425" w:firstLine="0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8729C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>Scope</w:t>
      </w:r>
    </w:p>
    <w:p w:rsidR="00C360EF" w:rsidRPr="00C360EF" w:rsidRDefault="001A02FD" w:rsidP="00A35911">
      <w:pPr>
        <w:pStyle w:val="Body"/>
        <w:numPr>
          <w:ilvl w:val="1"/>
          <w:numId w:val="21"/>
        </w:numPr>
        <w:spacing w:before="120" w:after="120"/>
        <w:ind w:left="1202" w:hanging="77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>
        <w:rPr>
          <w:rFonts w:ascii="Verdana" w:eastAsiaTheme="minorEastAsia" w:hAnsi="Verdana"/>
          <w:sz w:val="20"/>
          <w:szCs w:val="20"/>
          <w:lang w:val="en-GB"/>
        </w:rPr>
        <w:t>C</w:t>
      </w:r>
      <w:r w:rsidR="008729C0" w:rsidRPr="00C360EF">
        <w:rPr>
          <w:rFonts w:ascii="Verdana" w:eastAsiaTheme="minorEastAsia" w:hAnsi="Verdana"/>
          <w:sz w:val="20"/>
          <w:szCs w:val="20"/>
          <w:lang w:val="en-GB"/>
        </w:rPr>
        <w:t>urrent and emerging information and communications technologies (ICT), best practices for strategic data management and emerging trends in data and its use, and</w:t>
      </w:r>
    </w:p>
    <w:p w:rsidR="008729C0" w:rsidRPr="00C360EF" w:rsidRDefault="008729C0" w:rsidP="00A35911">
      <w:pPr>
        <w:pStyle w:val="Body"/>
        <w:numPr>
          <w:ilvl w:val="1"/>
          <w:numId w:val="21"/>
        </w:numPr>
        <w:spacing w:before="120" w:after="120"/>
        <w:ind w:left="1202" w:hanging="77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C360EF">
        <w:rPr>
          <w:rFonts w:ascii="Verdana" w:eastAsiaTheme="minorEastAsia" w:hAnsi="Verdana"/>
          <w:sz w:val="20"/>
          <w:szCs w:val="20"/>
          <w:lang w:val="en-GB"/>
        </w:rPr>
        <w:t>WIGOS guidance material on Data Management and Data Stewardship on:</w:t>
      </w:r>
    </w:p>
    <w:p w:rsidR="00C360EF" w:rsidRPr="008729C0" w:rsidRDefault="00C360EF" w:rsidP="009C7CE0">
      <w:pPr>
        <w:numPr>
          <w:ilvl w:val="0"/>
          <w:numId w:val="24"/>
        </w:numPr>
        <w:tabs>
          <w:tab w:val="clear" w:pos="1134"/>
          <w:tab w:val="left" w:pos="1418"/>
        </w:tabs>
        <w:spacing w:before="60" w:after="60"/>
        <w:ind w:left="1134" w:firstLine="0"/>
        <w:jc w:val="left"/>
        <w:rPr>
          <w:rFonts w:eastAsiaTheme="minorEastAsia"/>
          <w:lang w:eastAsia="zh-TW"/>
        </w:rPr>
      </w:pPr>
      <w:r w:rsidRPr="008729C0">
        <w:rPr>
          <w:rFonts w:eastAsiaTheme="minorEastAsia"/>
          <w:lang w:eastAsia="zh-TW"/>
        </w:rPr>
        <w:t>the role of WIS, NMHS and partner systems in the data lifecycle</w:t>
      </w:r>
      <w:r w:rsidR="00042A0E">
        <w:rPr>
          <w:rFonts w:eastAsiaTheme="minorEastAsia"/>
          <w:lang w:eastAsia="zh-TW"/>
        </w:rPr>
        <w:t>,</w:t>
      </w:r>
    </w:p>
    <w:p w:rsidR="00C360EF" w:rsidRPr="008729C0" w:rsidRDefault="00C360EF" w:rsidP="009C7CE0">
      <w:pPr>
        <w:numPr>
          <w:ilvl w:val="0"/>
          <w:numId w:val="24"/>
        </w:numPr>
        <w:tabs>
          <w:tab w:val="clear" w:pos="1134"/>
          <w:tab w:val="left" w:pos="1418"/>
        </w:tabs>
        <w:spacing w:before="60" w:after="60"/>
        <w:ind w:left="1134" w:firstLine="0"/>
        <w:jc w:val="left"/>
        <w:rPr>
          <w:rFonts w:eastAsiaTheme="minorEastAsia"/>
          <w:lang w:eastAsia="zh-TW"/>
        </w:rPr>
      </w:pPr>
      <w:r w:rsidRPr="008729C0">
        <w:rPr>
          <w:rFonts w:eastAsiaTheme="minorEastAsia"/>
          <w:lang w:eastAsia="zh-TW"/>
        </w:rPr>
        <w:t>best practices for data integrity and data preservation</w:t>
      </w:r>
      <w:r w:rsidR="00042A0E">
        <w:rPr>
          <w:rFonts w:eastAsiaTheme="minorEastAsia"/>
          <w:lang w:eastAsia="zh-TW"/>
        </w:rPr>
        <w:t>,</w:t>
      </w:r>
    </w:p>
    <w:p w:rsidR="00C360EF" w:rsidRPr="008729C0" w:rsidRDefault="00C360EF" w:rsidP="009C7CE0">
      <w:pPr>
        <w:numPr>
          <w:ilvl w:val="0"/>
          <w:numId w:val="24"/>
        </w:numPr>
        <w:tabs>
          <w:tab w:val="clear" w:pos="1134"/>
          <w:tab w:val="left" w:pos="1418"/>
        </w:tabs>
        <w:spacing w:before="60" w:after="60"/>
        <w:ind w:left="1418" w:hanging="284"/>
        <w:jc w:val="left"/>
        <w:rPr>
          <w:rFonts w:eastAsiaTheme="minorEastAsia"/>
          <w:lang w:eastAsia="zh-TW"/>
        </w:rPr>
      </w:pPr>
      <w:r w:rsidRPr="008729C0">
        <w:rPr>
          <w:rFonts w:eastAsiaTheme="minorEastAsia"/>
          <w:lang w:eastAsia="zh-TW"/>
        </w:rPr>
        <w:t>the challenge and opportunities of ‘Big Data’ and associated emerging trends in relation to data and its use</w:t>
      </w:r>
      <w:r w:rsidR="00042A0E">
        <w:rPr>
          <w:rFonts w:eastAsiaTheme="minorEastAsia"/>
          <w:lang w:eastAsia="zh-TW"/>
        </w:rPr>
        <w:t>,</w:t>
      </w:r>
    </w:p>
    <w:p w:rsidR="00C360EF" w:rsidRPr="008729C0" w:rsidRDefault="00C360EF" w:rsidP="009C7CE0">
      <w:pPr>
        <w:numPr>
          <w:ilvl w:val="0"/>
          <w:numId w:val="24"/>
        </w:numPr>
        <w:tabs>
          <w:tab w:val="clear" w:pos="1134"/>
          <w:tab w:val="left" w:pos="1418"/>
        </w:tabs>
        <w:spacing w:before="60" w:after="60"/>
        <w:ind w:left="1418" w:hanging="284"/>
        <w:jc w:val="left"/>
        <w:rPr>
          <w:rFonts w:eastAsiaTheme="minorEastAsia"/>
          <w:lang w:eastAsia="zh-TW"/>
        </w:rPr>
      </w:pPr>
      <w:r w:rsidRPr="008729C0">
        <w:rPr>
          <w:rFonts w:eastAsiaTheme="minorEastAsia"/>
          <w:lang w:eastAsia="zh-TW"/>
        </w:rPr>
        <w:t>models and best practices in data stewardship (roles, respon</w:t>
      </w:r>
      <w:r w:rsidR="00042A0E">
        <w:rPr>
          <w:rFonts w:eastAsiaTheme="minorEastAsia"/>
          <w:lang w:eastAsia="zh-TW"/>
        </w:rPr>
        <w:t>sibilities for data governance),</w:t>
      </w:r>
    </w:p>
    <w:p w:rsidR="00C360EF" w:rsidRDefault="00C360EF" w:rsidP="009C7CE0">
      <w:pPr>
        <w:numPr>
          <w:ilvl w:val="0"/>
          <w:numId w:val="24"/>
        </w:numPr>
        <w:tabs>
          <w:tab w:val="clear" w:pos="1134"/>
          <w:tab w:val="left" w:pos="1418"/>
        </w:tabs>
        <w:spacing w:before="60" w:after="60"/>
        <w:ind w:left="1418" w:hanging="284"/>
        <w:jc w:val="left"/>
        <w:rPr>
          <w:rFonts w:eastAsiaTheme="minorEastAsia"/>
          <w:lang w:eastAsia="zh-TW"/>
        </w:rPr>
      </w:pPr>
      <w:r w:rsidRPr="008729C0">
        <w:rPr>
          <w:rFonts w:eastAsiaTheme="minorEastAsia"/>
          <w:lang w:eastAsia="zh-TW"/>
        </w:rPr>
        <w:lastRenderedPageBreak/>
        <w:t>matters of compatibility among the legacy and emerging data management practices of the various WMO Programmes and Commissions (e.g. CBS, CIMO, CCl, CHy)</w:t>
      </w:r>
    </w:p>
    <w:p w:rsidR="00C360EF" w:rsidRPr="00C360EF" w:rsidRDefault="00304ADE" w:rsidP="00E96869">
      <w:pPr>
        <w:tabs>
          <w:tab w:val="clear" w:pos="1134"/>
        </w:tabs>
        <w:spacing w:before="60" w:after="60"/>
        <w:ind w:left="1134"/>
        <w:jc w:val="left"/>
        <w:rPr>
          <w:rFonts w:eastAsiaTheme="minorEastAsia"/>
          <w:lang w:eastAsia="zh-TW"/>
        </w:rPr>
      </w:pPr>
      <w:r>
        <w:rPr>
          <w:rFonts w:eastAsiaTheme="minorEastAsia"/>
        </w:rPr>
        <w:t xml:space="preserve">Note: </w:t>
      </w:r>
      <w:r w:rsidRPr="00304ADE">
        <w:rPr>
          <w:rFonts w:eastAsiaTheme="minorEastAsia"/>
        </w:rPr>
        <w:t>On emerging data issues (e.g., ‘Big’ data, crowdsourcing, commercial data, etc.), maintain awareness of the activities and align guidance material with the direction of the E</w:t>
      </w:r>
      <w:r w:rsidR="00E96869">
        <w:rPr>
          <w:rFonts w:eastAsiaTheme="minorEastAsia"/>
        </w:rPr>
        <w:t>C</w:t>
      </w:r>
      <w:r w:rsidRPr="00304ADE">
        <w:rPr>
          <w:rFonts w:eastAsiaTheme="minorEastAsia"/>
        </w:rPr>
        <w:t xml:space="preserve"> Task Team on Data Policy and Emerging Issues (EC/TT-DPEI), the perspectives of </w:t>
      </w:r>
      <w:r w:rsidR="00E96869">
        <w:rPr>
          <w:rFonts w:eastAsiaTheme="minorEastAsia"/>
        </w:rPr>
        <w:t>t</w:t>
      </w:r>
      <w:r w:rsidRPr="00304ADE">
        <w:rPr>
          <w:rFonts w:eastAsiaTheme="minorEastAsia"/>
        </w:rPr>
        <w:t xml:space="preserve">echnical </w:t>
      </w:r>
      <w:r w:rsidR="00E96869">
        <w:rPr>
          <w:rFonts w:eastAsiaTheme="minorEastAsia"/>
        </w:rPr>
        <w:t>c</w:t>
      </w:r>
      <w:r w:rsidRPr="00304ADE">
        <w:rPr>
          <w:rFonts w:eastAsiaTheme="minorEastAsia"/>
        </w:rPr>
        <w:t>ommissions, and subsequent actions by CBS.</w:t>
      </w:r>
    </w:p>
    <w:p w:rsidR="008729C0" w:rsidRPr="00C360EF" w:rsidRDefault="00C360EF" w:rsidP="007E2023">
      <w:pPr>
        <w:pStyle w:val="Body"/>
        <w:numPr>
          <w:ilvl w:val="1"/>
          <w:numId w:val="21"/>
        </w:numPr>
        <w:spacing w:before="120" w:after="120"/>
        <w:ind w:left="1202" w:hanging="77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8729C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>Provisional Deliverables</w:t>
      </w:r>
      <w:r w:rsidR="007E2023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>,</w:t>
      </w:r>
      <w:r w:rsidRPr="008729C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 xml:space="preserve"> Timelines</w:t>
      </w:r>
      <w:r w:rsidR="007E2023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 xml:space="preserve"> and WorkPlan</w:t>
      </w:r>
    </w:p>
    <w:p w:rsidR="001E4D4F" w:rsidRPr="001E4D4F" w:rsidRDefault="001E4D4F" w:rsidP="005639F0">
      <w:pPr>
        <w:pStyle w:val="Body"/>
        <w:numPr>
          <w:ilvl w:val="0"/>
          <w:numId w:val="21"/>
        </w:numPr>
        <w:spacing w:before="240" w:after="120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ANY OTHER BUSINESS</w:t>
      </w:r>
    </w:p>
    <w:p w:rsidR="005639F0" w:rsidRPr="00887681" w:rsidRDefault="005639F0" w:rsidP="005639F0">
      <w:pPr>
        <w:pStyle w:val="Body"/>
        <w:numPr>
          <w:ilvl w:val="0"/>
          <w:numId w:val="21"/>
        </w:numPr>
        <w:spacing w:before="240" w:after="120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887681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CLOSURE OF THE SESSION</w:t>
      </w:r>
    </w:p>
    <w:p w:rsidR="00D866DB" w:rsidRPr="003B6DFC" w:rsidRDefault="00D866DB" w:rsidP="00022D4E">
      <w:pPr>
        <w:pStyle w:val="ListParagraph"/>
        <w:spacing w:before="240" w:after="120"/>
        <w:ind w:left="360"/>
      </w:pPr>
      <w:r w:rsidRPr="003B6DFC">
        <w:t>The Session is tentatively scheduled to close around 1</w:t>
      </w:r>
      <w:r w:rsidR="00022D4E">
        <w:t>6</w:t>
      </w:r>
      <w:r w:rsidRPr="003B6DFC">
        <w:t xml:space="preserve">:00 on </w:t>
      </w:r>
      <w:r w:rsidR="00022D4E">
        <w:t>Friday 22</w:t>
      </w:r>
      <w:r w:rsidRPr="003B6DFC">
        <w:t xml:space="preserve"> </w:t>
      </w:r>
      <w:r w:rsidR="00022D4E">
        <w:t>September</w:t>
      </w:r>
      <w:r w:rsidRPr="003B6DFC">
        <w:t xml:space="preserve"> 2017.</w:t>
      </w: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2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DA" w:rsidRDefault="00EB0BDA">
      <w:r>
        <w:separator/>
      </w:r>
    </w:p>
    <w:p w:rsidR="00EB0BDA" w:rsidRDefault="00EB0BDA"/>
    <w:p w:rsidR="00EB0BDA" w:rsidRDefault="00EB0BDA"/>
  </w:endnote>
  <w:endnote w:type="continuationSeparator" w:id="0">
    <w:p w:rsidR="00EB0BDA" w:rsidRDefault="00EB0BDA">
      <w:r>
        <w:continuationSeparator/>
      </w:r>
    </w:p>
    <w:p w:rsidR="00EB0BDA" w:rsidRDefault="00EB0BDA"/>
    <w:p w:rsidR="00EB0BDA" w:rsidRDefault="00EB0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DA" w:rsidRDefault="00EB0BDA">
      <w:r>
        <w:separator/>
      </w:r>
    </w:p>
  </w:footnote>
  <w:footnote w:type="continuationSeparator" w:id="0">
    <w:p w:rsidR="00EB0BDA" w:rsidRDefault="00EB0BDA">
      <w:r>
        <w:continuationSeparator/>
      </w:r>
    </w:p>
    <w:p w:rsidR="00EB0BDA" w:rsidRDefault="00EB0BDA"/>
    <w:p w:rsidR="00EB0BDA" w:rsidRDefault="00EB0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EB0BDA">
    <w:pPr>
      <w:pStyle w:val="Header"/>
    </w:pPr>
    <w:r>
      <w:rPr>
        <w:noProof/>
      </w:rPr>
      <w:pict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83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EB0BDA">
    <w:pPr>
      <w:pStyle w:val="Header"/>
    </w:pPr>
    <w:r>
      <w:rPr>
        <w:noProof/>
      </w:rPr>
      <w:pict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82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EB0BDA">
    <w:pPr>
      <w:pStyle w:val="Header"/>
    </w:pPr>
    <w:r>
      <w:rPr>
        <w:noProof/>
      </w:rPr>
      <w:pict>
        <v:shapetype id="_x0000_m20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81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EB0BDA">
    <w:pPr>
      <w:pStyle w:val="Header"/>
    </w:pPr>
    <w:r>
      <w:rPr>
        <w:noProof/>
      </w:rPr>
      <w:pict>
        <v:shapetype id="_x0000_m20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0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EB0BDA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79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EB0BDA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3D007430">
        <v:shapetype id="_x0000_m20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EB0BDA">
    <w:pPr>
      <w:pStyle w:val="Header"/>
    </w:pPr>
    <w:r>
      <w:rPr>
        <w:noProof/>
      </w:rPr>
      <w:pict w14:anchorId="3D007432">
        <v:shape id="_x0000_s2052" type="#_x0000_m2078" style="position:absolute;left:0;text-align:left;margin-left:0;margin-top:0;width:50pt;height:50pt;z-index:251659776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EB0BDA">
    <w:pPr>
      <w:pStyle w:val="Header"/>
    </w:pPr>
    <w:r>
      <w:rPr>
        <w:noProof/>
      </w:rPr>
      <w:pict w14:anchorId="3D007433">
        <v:shape id="_x0000_s2051" type="#_x0000_m2078" style="position:absolute;left:0;text-align:left;margin-left:0;margin-top:0;width:50pt;height:50pt;z-index:251660800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EB0BDA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EB0BDA" w:rsidP="006533FF">
    <w:pPr>
      <w:pStyle w:val="Header"/>
      <w:spacing w:after="120"/>
    </w:pPr>
    <w:r>
      <w:pict w14:anchorId="3D007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7968;visibility:hidden">
          <v:path gradientshapeok="f"/>
          <o:lock v:ext="edit" selection="t"/>
        </v:shape>
      </w:pict>
    </w:r>
    <w:r>
      <w:pict w14:anchorId="3D007438">
        <v:shape id="_x0000_s207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>
        <v:shape id="_x0000_s2070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13"/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8"/>
  </w:num>
  <w:num w:numId="21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3"/>
  </w:num>
  <w:num w:numId="23">
    <w:abstractNumId w:val="14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63BA3"/>
    <w:rsid w:val="00166B31"/>
    <w:rsid w:val="0017786A"/>
    <w:rsid w:val="00180771"/>
    <w:rsid w:val="001809DE"/>
    <w:rsid w:val="00186C06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E4B11"/>
    <w:rsid w:val="001E4D4F"/>
    <w:rsid w:val="001E7DD0"/>
    <w:rsid w:val="001F1BDA"/>
    <w:rsid w:val="0020095E"/>
    <w:rsid w:val="00210D30"/>
    <w:rsid w:val="00213AF4"/>
    <w:rsid w:val="00214938"/>
    <w:rsid w:val="00222151"/>
    <w:rsid w:val="00231E93"/>
    <w:rsid w:val="00234A34"/>
    <w:rsid w:val="002363F1"/>
    <w:rsid w:val="0025255D"/>
    <w:rsid w:val="002614CE"/>
    <w:rsid w:val="002667CF"/>
    <w:rsid w:val="00270480"/>
    <w:rsid w:val="002779AF"/>
    <w:rsid w:val="002823D8"/>
    <w:rsid w:val="0028531A"/>
    <w:rsid w:val="00285446"/>
    <w:rsid w:val="00287D0A"/>
    <w:rsid w:val="00295593"/>
    <w:rsid w:val="002A3483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B7BAA"/>
    <w:rsid w:val="004B7CEC"/>
    <w:rsid w:val="004C2DF7"/>
    <w:rsid w:val="004C4E0B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C1031"/>
    <w:rsid w:val="005C505D"/>
    <w:rsid w:val="005C53A6"/>
    <w:rsid w:val="005D03D9"/>
    <w:rsid w:val="005D666D"/>
    <w:rsid w:val="005E1F4C"/>
    <w:rsid w:val="006108ED"/>
    <w:rsid w:val="00615AB0"/>
    <w:rsid w:val="0061778C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71A68"/>
    <w:rsid w:val="00777D58"/>
    <w:rsid w:val="00780B62"/>
    <w:rsid w:val="00785318"/>
    <w:rsid w:val="0078790E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0BDA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474C9"/>
    <w:rsid w:val="00F61675"/>
    <w:rsid w:val="00F6686B"/>
    <w:rsid w:val="00F677A0"/>
    <w:rsid w:val="00F67F74"/>
    <w:rsid w:val="00F73DE3"/>
    <w:rsid w:val="00F84DD2"/>
    <w:rsid w:val="00F84FAC"/>
    <w:rsid w:val="00F86BA9"/>
    <w:rsid w:val="00FA26DF"/>
    <w:rsid w:val="00FA3535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mo.int/pages/prog/www/WIGOS-WIS/meeting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Zahumensky@wm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5C6CB3"/>
    <w:rsid w:val="00E83AD3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Data and Partnerships</Subject_x0020_>
    <Project_x0020_Identification_x0020__x002f__x0020_Reference xmlns="0e656187-b300-4fb0-8bf4-3a50f872073c">60917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C0EF5-68FF-4DB5-A996-6F781CB36D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WIGOS/ Task Team on WIGOS Data and Partnerships (TT-WDP-2)</vt:lpstr>
    </vt:vector>
  </TitlesOfParts>
  <Company>WMO</Company>
  <LinksUpToDate>false</LinksUpToDate>
  <CharactersWithSpaces>2864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WIGOS/ Task Team on WIGOS Data and Partnerships (TT-WDP-2)</dc:title>
  <dc:subject>GENEVA, SWITZERLAND, 20-22 September 2017</dc:subject>
  <dc:creator>Secretariat</dc:creator>
  <cp:keywords>TT-WDP-2</cp:keywords>
  <cp:lastModifiedBy>Igor Zahumensky</cp:lastModifiedBy>
  <cp:revision>2</cp:revision>
  <cp:lastPrinted>2017-06-14T09:31:00Z</cp:lastPrinted>
  <dcterms:created xsi:type="dcterms:W3CDTF">2017-08-11T09:16:00Z</dcterms:created>
  <dcterms:modified xsi:type="dcterms:W3CDTF">2017-08-11T09:16:00Z</dcterms:modified>
  <cp:category>Doc. 1.2</cp:category>
  <cp:contentStatus>DRAFT 1</cp:contentStatus>
</cp:coreProperties>
</file>